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rPr>
      </w:pPr>
      <w:r>
        <w:rPr>
          <w:rFonts w:ascii="Times New Roman" w:hAnsi="Times New Roman" w:cs="Times New Roman"/>
        </w:rPr>
        <w:t>THE EFFECTIVENESS OF TEACHING FACTORY PROGRAMS</w:t>
      </w:r>
    </w:p>
    <w:p>
      <w:pPr>
        <w:pStyle w:val="10"/>
        <w:jc w:val="center"/>
        <w:rPr>
          <w:rFonts w:ascii="Times New Roman" w:hAnsi="Times New Roman" w:cs="Times New Roman"/>
        </w:rPr>
      </w:pPr>
      <w:r>
        <w:rPr>
          <w:rFonts w:ascii="Times New Roman" w:hAnsi="Times New Roman" w:cs="Times New Roman"/>
        </w:rPr>
        <w:t>IN BUILDING TEACHER QUALITY CULTURE</w:t>
      </w:r>
    </w:p>
    <w:p>
      <w:pPr>
        <w:pStyle w:val="10"/>
        <w:jc w:val="center"/>
        <w:rPr>
          <w:rFonts w:ascii="Times New Roman" w:hAnsi="Times New Roman" w:cs="Times New Roman"/>
        </w:rPr>
      </w:pPr>
      <w:r>
        <w:rPr>
          <w:rFonts w:ascii="Times New Roman" w:hAnsi="Times New Roman" w:cs="Times New Roman"/>
        </w:rPr>
        <w:t>TO REACH THE REVITALIZATION OF NATIONAL EDUCATION STANDARDS</w:t>
      </w:r>
    </w:p>
    <w:p>
      <w:pPr>
        <w:pStyle w:val="10"/>
        <w:jc w:val="center"/>
        <w:rPr>
          <w:rFonts w:ascii="Times New Roman" w:hAnsi="Times New Roman" w:cs="Times New Roman"/>
        </w:rPr>
      </w:pPr>
      <w:r>
        <w:rPr>
          <w:rFonts w:ascii="Times New Roman" w:hAnsi="Times New Roman" w:cs="Times New Roman"/>
        </w:rPr>
        <w:t>OF STATE VOCATIONAL SCHOOL IN KEBUMEN DISTRICT</w:t>
      </w:r>
    </w:p>
    <w:p>
      <w:pPr>
        <w:pStyle w:val="10"/>
        <w:jc w:val="center"/>
        <w:rPr>
          <w:rFonts w:ascii="Times New Roman" w:hAnsi="Times New Roman" w:cs="Times New Roman"/>
        </w:rPr>
      </w:pPr>
    </w:p>
    <w:p>
      <w:pPr>
        <w:numPr>
          <w:ilvl w:val="0"/>
          <w:numId w:val="1"/>
        </w:numPr>
        <w:spacing w:line="312" w:lineRule="auto"/>
        <w:rPr>
          <w:rFonts w:ascii="Times New Roman" w:hAnsi="Times New Roman"/>
          <w:b/>
          <w:color w:val="000000"/>
          <w:sz w:val="22"/>
          <w:szCs w:val="22"/>
        </w:rPr>
      </w:pPr>
      <w:r>
        <w:rPr>
          <w:rFonts w:ascii="Times New Roman" w:hAnsi="Times New Roman"/>
          <w:b/>
          <w:color w:val="000000"/>
          <w:sz w:val="22"/>
          <w:szCs w:val="22"/>
        </w:rPr>
        <w:t>S. Purnami</w:t>
      </w:r>
      <w:r>
        <w:rPr>
          <w:rFonts w:ascii="Times New Roman" w:hAnsi="Times New Roman"/>
          <w:b/>
          <w:color w:val="000000"/>
          <w:sz w:val="22"/>
          <w:szCs w:val="22"/>
          <w:vertAlign w:val="superscript"/>
        </w:rPr>
        <w:t>1</w:t>
      </w:r>
      <w:r>
        <w:rPr>
          <w:rFonts w:ascii="Times New Roman" w:hAnsi="Times New Roman"/>
          <w:b/>
          <w:color w:val="000000"/>
          <w:sz w:val="22"/>
          <w:szCs w:val="22"/>
        </w:rPr>
        <w:t>, Mulyanto</w:t>
      </w:r>
      <w:r>
        <w:rPr>
          <w:rFonts w:ascii="Times New Roman" w:hAnsi="Times New Roman"/>
          <w:b/>
          <w:color w:val="000000"/>
          <w:sz w:val="22"/>
          <w:szCs w:val="22"/>
          <w:vertAlign w:val="superscript"/>
        </w:rPr>
        <w:t>2</w:t>
      </w:r>
      <w:r>
        <w:rPr>
          <w:rFonts w:ascii="Times New Roman" w:hAnsi="Times New Roman"/>
          <w:b/>
          <w:color w:val="000000"/>
          <w:sz w:val="22"/>
          <w:szCs w:val="22"/>
        </w:rPr>
        <w:t>, dan S. Utomo</w:t>
      </w:r>
      <w:r>
        <w:rPr>
          <w:rFonts w:ascii="Times New Roman" w:hAnsi="Times New Roman"/>
          <w:b/>
          <w:color w:val="000000"/>
          <w:sz w:val="22"/>
          <w:szCs w:val="22"/>
          <w:vertAlign w:val="superscript"/>
        </w:rPr>
        <w:t>3</w:t>
      </w:r>
    </w:p>
    <w:p>
      <w:pPr>
        <w:spacing w:line="312" w:lineRule="auto"/>
        <w:rPr>
          <w:rFonts w:ascii="Times New Roman" w:hAnsi="Times New Roman"/>
          <w:b/>
          <w:color w:val="000000"/>
          <w:sz w:val="22"/>
          <w:szCs w:val="22"/>
        </w:rPr>
      </w:pPr>
    </w:p>
    <w:p>
      <w:pPr>
        <w:rPr>
          <w:rFonts w:ascii="Times New Roman" w:hAnsi="Times New Roman"/>
          <w:sz w:val="22"/>
          <w:szCs w:val="22"/>
        </w:rPr>
      </w:pPr>
      <w:r>
        <w:rPr>
          <w:rFonts w:ascii="Times New Roman" w:hAnsi="Times New Roman"/>
          <w:sz w:val="22"/>
          <w:szCs w:val="22"/>
          <w:vertAlign w:val="superscript"/>
        </w:rPr>
        <w:t>1</w:t>
      </w:r>
      <w:r>
        <w:rPr>
          <w:rFonts w:ascii="Times New Roman" w:hAnsi="Times New Roman"/>
          <w:sz w:val="22"/>
          <w:szCs w:val="22"/>
        </w:rPr>
        <w:t>Universitas Sarjanawiyata Tamansiswa, Yogyakarta, Indonesia</w:t>
      </w:r>
    </w:p>
    <w:p>
      <w:pPr>
        <w:rPr>
          <w:rFonts w:ascii="Times New Roman" w:hAnsi="Times New Roman"/>
          <w:sz w:val="22"/>
          <w:szCs w:val="22"/>
        </w:rPr>
      </w:pPr>
      <w:r>
        <w:rPr>
          <w:rFonts w:ascii="Times New Roman" w:hAnsi="Times New Roman"/>
          <w:sz w:val="22"/>
          <w:szCs w:val="22"/>
          <w:vertAlign w:val="superscript"/>
        </w:rPr>
        <w:t>2</w:t>
      </w:r>
      <w:r>
        <w:rPr>
          <w:rFonts w:ascii="Times New Roman" w:hAnsi="Times New Roman"/>
          <w:sz w:val="22"/>
          <w:szCs w:val="22"/>
        </w:rPr>
        <w:t>Universitas Sarjanawiyata Tamansiswa, Yogyakarta, Indonesia</w:t>
      </w:r>
    </w:p>
    <w:p>
      <w:pPr>
        <w:rPr>
          <w:rFonts w:ascii="Times New Roman" w:hAnsi="Times New Roman"/>
          <w:sz w:val="22"/>
          <w:szCs w:val="22"/>
        </w:rPr>
      </w:pPr>
      <w:r>
        <w:rPr>
          <w:rFonts w:ascii="Times New Roman" w:hAnsi="Times New Roman"/>
          <w:sz w:val="22"/>
          <w:szCs w:val="22"/>
          <w:vertAlign w:val="superscript"/>
        </w:rPr>
        <w:t>3</w:t>
      </w:r>
      <w:r>
        <w:rPr>
          <w:rFonts w:ascii="Times New Roman" w:hAnsi="Times New Roman"/>
          <w:sz w:val="22"/>
          <w:szCs w:val="22"/>
        </w:rPr>
        <w:t>Sekolah Menengah Kejuruan Tamtama, Karanganyar, Indonesia</w:t>
      </w:r>
    </w:p>
    <w:p>
      <w:pPr>
        <w:rPr>
          <w:rFonts w:ascii="Times New Roman" w:hAnsi="Times New Roman"/>
          <w:sz w:val="22"/>
          <w:szCs w:val="22"/>
        </w:rPr>
      </w:pPr>
    </w:p>
    <w:p>
      <w:pPr>
        <w:rPr>
          <w:rFonts w:ascii="Times New Roman" w:hAnsi="Times New Roman"/>
          <w:sz w:val="22"/>
          <w:szCs w:val="22"/>
        </w:rPr>
      </w:pPr>
      <w:r>
        <w:fldChar w:fldCharType="begin"/>
      </w:r>
      <w:r>
        <w:instrText xml:space="preserve"> HYPERLINK "mailto:Purnami_mat@yahoo.com" </w:instrText>
      </w:r>
      <w:r>
        <w:fldChar w:fldCharType="separate"/>
      </w:r>
      <w:r>
        <w:rPr>
          <w:rFonts w:hint="default"/>
          <w:lang w:val="en-US"/>
        </w:rPr>
        <w:t>p</w:t>
      </w:r>
      <w:r>
        <w:rPr>
          <w:rStyle w:val="8"/>
          <w:rFonts w:ascii="Times New Roman" w:hAnsi="Times New Roman"/>
          <w:sz w:val="22"/>
          <w:szCs w:val="22"/>
        </w:rPr>
        <w:t>urnami</w:t>
      </w:r>
      <w:r>
        <w:rPr>
          <w:rStyle w:val="8"/>
          <w:rFonts w:hint="default" w:ascii="Times New Roman" w:hAnsi="Times New Roman"/>
          <w:sz w:val="22"/>
          <w:szCs w:val="22"/>
          <w:lang w:val="en-US"/>
        </w:rPr>
        <w:t xml:space="preserve">@ustjogja.ac.id, </w:t>
      </w:r>
      <w:r>
        <w:rPr>
          <w:rStyle w:val="8"/>
          <w:rFonts w:ascii="Times New Roman" w:hAnsi="Times New Roman"/>
          <w:sz w:val="22"/>
          <w:szCs w:val="22"/>
        </w:rPr>
        <w:fldChar w:fldCharType="end"/>
      </w:r>
      <w:r>
        <w:rPr>
          <w:rFonts w:ascii="Times New Roman" w:hAnsi="Times New Roman"/>
          <w:sz w:val="22"/>
          <w:szCs w:val="22"/>
        </w:rPr>
        <w:t xml:space="preserve"> </w:t>
      </w:r>
      <w:r>
        <w:fldChar w:fldCharType="begin"/>
      </w:r>
      <w:r>
        <w:instrText xml:space="preserve"> HYPERLINK "mailto:mulyanto@ustjogja,ac.id" </w:instrText>
      </w:r>
      <w:r>
        <w:fldChar w:fldCharType="separate"/>
      </w:r>
      <w:r>
        <w:rPr>
          <w:rStyle w:val="8"/>
          <w:rFonts w:ascii="Times New Roman" w:hAnsi="Times New Roman"/>
          <w:sz w:val="22"/>
          <w:szCs w:val="22"/>
        </w:rPr>
        <w:t>mulyanto@ustjogja</w:t>
      </w:r>
      <w:r>
        <w:rPr>
          <w:rStyle w:val="8"/>
          <w:rFonts w:hint="default" w:ascii="Times New Roman" w:hAnsi="Times New Roman"/>
          <w:sz w:val="22"/>
          <w:szCs w:val="22"/>
          <w:lang w:val="en-US"/>
        </w:rPr>
        <w:t>.</w:t>
      </w:r>
      <w:bookmarkStart w:id="0" w:name="_GoBack"/>
      <w:bookmarkEnd w:id="0"/>
      <w:r>
        <w:rPr>
          <w:rStyle w:val="8"/>
          <w:rFonts w:ascii="Times New Roman" w:hAnsi="Times New Roman"/>
          <w:sz w:val="22"/>
          <w:szCs w:val="22"/>
        </w:rPr>
        <w:t>ac.id</w:t>
      </w:r>
      <w:r>
        <w:rPr>
          <w:rStyle w:val="8"/>
          <w:rFonts w:ascii="Times New Roman" w:hAnsi="Times New Roman"/>
          <w:sz w:val="22"/>
          <w:szCs w:val="22"/>
        </w:rPr>
        <w:fldChar w:fldCharType="end"/>
      </w:r>
    </w:p>
    <w:p>
      <w:pPr>
        <w:rPr>
          <w:rFonts w:ascii="Times New Roman" w:hAnsi="Times New Roman"/>
          <w:sz w:val="22"/>
          <w:szCs w:val="22"/>
        </w:rPr>
      </w:pPr>
    </w:p>
    <w:p>
      <w:pPr>
        <w:jc w:val="both"/>
        <w:rPr>
          <w:rFonts w:ascii="Times New Roman" w:hAnsi="Times New Roman"/>
          <w:sz w:val="22"/>
          <w:szCs w:val="22"/>
        </w:rPr>
      </w:pPr>
      <w:r>
        <w:rPr>
          <w:rFonts w:ascii="Times New Roman" w:hAnsi="Times New Roman"/>
          <w:b/>
          <w:bCs/>
          <w:sz w:val="22"/>
          <w:szCs w:val="22"/>
        </w:rPr>
        <w:t>Abstract</w:t>
      </w:r>
      <w:r>
        <w:rPr>
          <w:rFonts w:ascii="Times New Roman" w:hAnsi="Times New Roman"/>
          <w:sz w:val="22"/>
          <w:szCs w:val="22"/>
        </w:rPr>
        <w:t>. The industrial revolution 4.0 based on cyber physical systems has brought a very fast leap of progress in the field of digital information. This industrial revolution 4.0 is related to the practice of education in Vocational High Schools (SMK), one of which is the aspect of using practical equipment as a support for achieving student competence. The problem that arises is that the rapid leap forward in the industrial world cannot be matched by advances in the field of equipment and in the technical field by the world of education. Currently, teachers who have a culture of high quality are needed. Government programs with regard to the creation of a quality culture include the teaching factory program, for this reason research is to analyze the magnitude of the effect of the teaching factory program effectiveness on increasing the cultural motivation of teacher quality in the context of revitalizing SNP at State Vocational High Schools in Kebumen Regency.</w:t>
      </w:r>
    </w:p>
    <w:p>
      <w:pPr>
        <w:pStyle w:val="3"/>
        <w:rPr>
          <w:sz w:val="22"/>
          <w:szCs w:val="22"/>
        </w:rPr>
      </w:pPr>
      <w:r>
        <w:rPr>
          <w:sz w:val="22"/>
          <w:szCs w:val="22"/>
        </w:rPr>
        <w:t>This research uses a quantitative approach. The population in this study were all productive teachers of State Vocational High Schools in Kebumen Regency who had implemented the teaching factory learning program. The sample in this study was determined by purposive sampling technique. The data collection technique used a questionnaire. The results showed that: there was a close relationship between the teaching factory program and the quality culture of teachers of R = 0.728, and there was a positive and significant influence between the effectiveness of the teaching factory program on the cultural motivation of teacher quality, the contribution was 53%, the significance test t with p = 0.000</w:t>
      </w:r>
    </w:p>
    <w:p>
      <w:pPr>
        <w:spacing w:line="480" w:lineRule="auto"/>
        <w:jc w:val="both"/>
        <w:rPr>
          <w:rFonts w:ascii="Times New Roman" w:hAnsi="Times New Roman"/>
          <w:sz w:val="22"/>
          <w:szCs w:val="22"/>
        </w:rPr>
      </w:pPr>
    </w:p>
    <w:p>
      <w:pPr>
        <w:pStyle w:val="10"/>
        <w:rPr>
          <w:rFonts w:ascii="Times New Roman" w:hAnsi="Times New Roman" w:cs="Times New Roman"/>
          <w:b/>
          <w:bCs/>
        </w:rPr>
      </w:pPr>
      <w:r>
        <w:rPr>
          <w:rFonts w:ascii="Times New Roman" w:hAnsi="Times New Roman" w:cs="Times New Roman"/>
          <w:b/>
          <w:bCs/>
        </w:rPr>
        <w:t>1. Introduction</w:t>
      </w:r>
    </w:p>
    <w:p>
      <w:pPr>
        <w:pStyle w:val="10"/>
        <w:rPr>
          <w:rFonts w:ascii="Times New Roman" w:hAnsi="Times New Roman" w:cs="Times New Roman"/>
        </w:rPr>
      </w:pPr>
    </w:p>
    <w:p>
      <w:pPr>
        <w:pStyle w:val="10"/>
        <w:jc w:val="both"/>
        <w:rPr>
          <w:rFonts w:ascii="Times New Roman" w:hAnsi="Times New Roman" w:cs="Times New Roman"/>
        </w:rPr>
      </w:pPr>
      <w:r>
        <w:rPr>
          <w:rFonts w:ascii="Times New Roman" w:hAnsi="Times New Roman" w:cs="Times New Roman"/>
        </w:rPr>
        <w:t>Vocational High School (SMK) is one of the education units in Indonesia that aims to produce skilled and professional middle-level workers in their fields, reliable and productive. Ideally, SMK graduates are middle-level workers who are ready to work, in the sense that they can immediately work in the business and industrial world. In addition, SMK graduates must also be adaptive to all developments that occur in the industrial world, especially developments related to industrial technology that are so fast that they can be called an industrial revolution.</w:t>
      </w:r>
    </w:p>
    <w:p>
      <w:pPr>
        <w:pStyle w:val="10"/>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 industrial revolution 4.0 based on cyber physical system has brought a very fast leap of progress in the field of digital information. This industrial revolution 4.0 has a relationship with educational practice in schools, especially Vocational High Schools, one of which is the aspect of using student practice equipment as a support for achieving student competence. The problem that arises is that the rapid leap forward in the industrial world cannot be matched by advances in the field of equipment and in the technical field by the world of education. This technical field includes curriculum, professional competence of educators, learning process to evaluation aspects. As a result, there will be disparities or gaps between the progress achieved by the industrial world and the progress made by vocational schools. An extraordinary leap in digital technology, the 4.0 industrial revolution also resulted in global economic, social and cultural openness between countries, so that in the era of the industrial revolution 4.0,</w:t>
      </w:r>
    </w:p>
    <w:p>
      <w:pPr>
        <w:pStyle w:val="10"/>
        <w:jc w:val="both"/>
        <w:rPr>
          <w:rFonts w:ascii="Times New Roman" w:hAnsi="Times New Roman" w:cs="Times New Roman"/>
        </w:rPr>
      </w:pPr>
      <w:r>
        <w:rPr>
          <w:rFonts w:ascii="Times New Roman" w:hAnsi="Times New Roman" w:cs="Times New Roman"/>
        </w:rPr>
        <w:tab/>
      </w:r>
      <w:r>
        <w:rPr>
          <w:rFonts w:ascii="Times New Roman" w:hAnsi="Times New Roman" w:cs="Times New Roman"/>
        </w:rPr>
        <w:t>lndonesia is faced with increasingly fierce competition, including in the provision of labor that will fill the need for labor in the industrial, trade, tourism and other employment fields both domestically and abroad. The above conditions require a culture of quality. For that we need a culture of teacher quality that must be created in the world of secondary school education, including vocational high schools. This is also reinforced by data. A warning for Indonesia to immediately improve, because the Human Capital Index and Component version of the Word Bank in 2018, where the Human Capital Index is used to measure the degree of humans as capital of a country. This index measures the contribution of health and education to see the productivity of the next generation of workers, which states that the Human Development Index (HDI) ranks Indonesia in 87th place out of 157 countries.</w:t>
      </w:r>
    </w:p>
    <w:p>
      <w:pPr>
        <w:pStyle w:val="10"/>
        <w:jc w:val="both"/>
        <w:rPr>
          <w:rFonts w:ascii="Times New Roman" w:hAnsi="Times New Roman" w:cs="Times New Roman"/>
        </w:rPr>
      </w:pPr>
      <w:r>
        <w:rPr>
          <w:rFonts w:ascii="Times New Roman" w:hAnsi="Times New Roman" w:cs="Times New Roman"/>
        </w:rPr>
        <w:tab/>
      </w:r>
      <w:r>
        <w:rPr>
          <w:rFonts w:ascii="Times New Roman" w:hAnsi="Times New Roman" w:cs="Times New Roman"/>
        </w:rPr>
        <w:t>Demand for labor, the industry stated that the qualifications of graduates were not in accordance with the expectations of the business world / industry, both in mastering the hard skills, soft skills and communication skills needed to anticipate technological developments. To meet the demands of the industrial world, a teaching factory program was held at SMK. In this regard, the government has implemented a vocational revitalization movement, namely a movement to improve the quality of education in vocational schools by revitalizing eight education standards. This movement has been mandated by the President of the Republic of Indonesia through Presidential Instruction No. 9 of 2016. In line with this, the Minister of Education has issued regulation of the minister of education and culture No. 34 of 2018 concerning the National Standards for Vocational High School Education / Madrasah Aliyah Vocational Schools. Based on the data and demands of the industrial world above, research on the Effectiveness of the Teaching Factory Program in Building a Teacher Quality Culture was carried out.</w:t>
      </w:r>
    </w:p>
    <w:p>
      <w:pPr>
        <w:pStyle w:val="10"/>
        <w:jc w:val="both"/>
        <w:rPr>
          <w:rFonts w:ascii="Times New Roman" w:hAnsi="Times New Roman" w:cs="Times New Roman"/>
        </w:rPr>
      </w:pPr>
    </w:p>
    <w:p>
      <w:pPr>
        <w:pStyle w:val="10"/>
        <w:jc w:val="both"/>
        <w:rPr>
          <w:rFonts w:ascii="Times New Roman" w:hAnsi="Times New Roman" w:cs="Times New Roman"/>
          <w:i/>
          <w:iCs/>
        </w:rPr>
      </w:pPr>
      <w:r>
        <w:rPr>
          <w:rFonts w:ascii="Times New Roman" w:hAnsi="Times New Roman" w:cs="Times New Roman"/>
          <w:i/>
          <w:iCs/>
        </w:rPr>
        <w:t>1.1. Quality Culture</w:t>
      </w:r>
    </w:p>
    <w:p>
      <w:pPr>
        <w:pStyle w:val="10"/>
        <w:jc w:val="both"/>
        <w:rPr>
          <w:rFonts w:ascii="Times New Roman" w:hAnsi="Times New Roman" w:cs="Times New Roman"/>
          <w:highlight w:val="none"/>
        </w:rPr>
      </w:pPr>
      <w:r>
        <w:rPr>
          <w:rFonts w:ascii="Times New Roman" w:hAnsi="Times New Roman" w:cs="Times New Roman"/>
        </w:rPr>
        <w:t xml:space="preserve">Culture is the totality in an organization, a way of life, including values, norms and works that are passed down between generations </w:t>
      </w:r>
      <w:r>
        <w:rPr>
          <w:rFonts w:hint="default" w:ascii="Times New Roman" w:hAnsi="Times New Roman" w:cs="Times New Roman"/>
          <w:highlight w:val="none"/>
          <w:lang w:val="en-US"/>
        </w:rPr>
        <w:t xml:space="preserve">[1] </w:t>
      </w:r>
      <w:r>
        <w:rPr>
          <w:rFonts w:ascii="Times New Roman" w:hAnsi="Times New Roman" w:cs="Times New Roman"/>
          <w:highlight w:val="none"/>
        </w:rPr>
        <w:t>. Culture is the total thought, work, and work of humans that are not rooted in instincts</w:t>
      </w:r>
      <w:r>
        <w:rPr>
          <w:rFonts w:hint="default" w:ascii="Times New Roman" w:hAnsi="Times New Roman" w:cs="Times New Roman"/>
          <w:highlight w:val="none"/>
          <w:lang w:val="en-US"/>
        </w:rPr>
        <w:t xml:space="preserve"> [2]</w:t>
      </w:r>
      <w:r>
        <w:rPr>
          <w:rFonts w:ascii="Times New Roman" w:hAnsi="Times New Roman" w:cs="Times New Roman"/>
          <w:highlight w:val="none"/>
        </w:rPr>
        <w:t>. In the world of education, quality is a need that must be conveyed and felt by students, teachers, parents, the community and education stakeholders (those who have an interest in education</w:t>
      </w:r>
      <w:r>
        <w:rPr>
          <w:rFonts w:hint="default" w:ascii="Times New Roman" w:hAnsi="Times New Roman" w:cs="Times New Roman"/>
          <w:highlight w:val="none"/>
          <w:lang w:val="en-US"/>
        </w:rPr>
        <w:t xml:space="preserve"> [3] </w:t>
      </w:r>
      <w:r>
        <w:rPr>
          <w:rFonts w:ascii="Times New Roman" w:hAnsi="Times New Roman" w:cs="Times New Roman"/>
          <w:highlight w:val="none"/>
        </w:rPr>
        <w:t xml:space="preserve"> </w:t>
      </w:r>
      <w:r>
        <w:rPr>
          <w:rFonts w:hint="default" w:ascii="Times New Roman" w:hAnsi="Times New Roman" w:cs="Times New Roman"/>
          <w:highlight w:val="none"/>
          <w:lang w:val="en-US"/>
        </w:rPr>
        <w:t xml:space="preserve">. </w:t>
      </w:r>
      <w:r>
        <w:rPr>
          <w:rFonts w:ascii="Times New Roman" w:hAnsi="Times New Roman" w:cs="Times New Roman"/>
          <w:highlight w:val="none"/>
        </w:rPr>
        <w:t xml:space="preserve">Quality means size, level of provisions and assessment of the quality of a good or service (product) that has absolute and relative characteristics Quality is a high standard which can be called good, superior, good and quality Deming describes quality is conformity with market needs, Juran, quality is the suitability of use product (fitness for use), Crosby quality is conformance to requirements. In addition, quality is also related to measurement and ensuring conformity to predetermined specifications. which has been determined consistently The procedural concept in quality matters emphasizing working on the specified systems and procedures </w:t>
      </w:r>
      <w:r>
        <w:rPr>
          <w:rFonts w:hint="default" w:ascii="Times New Roman" w:hAnsi="Times New Roman" w:cs="Times New Roman"/>
          <w:highlight w:val="none"/>
          <w:lang w:val="en-US"/>
        </w:rPr>
        <w:t xml:space="preserve">[4]. </w:t>
      </w:r>
      <w:r>
        <w:rPr>
          <w:rFonts w:ascii="Times New Roman" w:hAnsi="Times New Roman" w:cs="Times New Roman"/>
          <w:highlight w:val="none"/>
        </w:rPr>
        <w:t>If it is related to the quality culture of teachers, it can be said that teachers who have a quality culture motivation are teachers who have the drive to work in accordance with predetermined work systems and procedures, so that it can be reflected in the productivity of their performance in providing educational services to customers. The culture of teacher quality is related to the commitment of teachers to work professionally, in order to provide satisfaction to customers.</w:t>
      </w:r>
    </w:p>
    <w:p>
      <w:pPr>
        <w:pStyle w:val="10"/>
        <w:jc w:val="both"/>
        <w:rPr>
          <w:rFonts w:ascii="Times New Roman" w:hAnsi="Times New Roman" w:cs="Times New Roman"/>
        </w:rPr>
      </w:pPr>
    </w:p>
    <w:p>
      <w:pPr>
        <w:pStyle w:val="10"/>
        <w:jc w:val="both"/>
        <w:rPr>
          <w:rFonts w:ascii="Times New Roman" w:hAnsi="Times New Roman" w:cs="Times New Roman"/>
        </w:rPr>
      </w:pPr>
    </w:p>
    <w:p>
      <w:pPr>
        <w:pStyle w:val="10"/>
        <w:jc w:val="both"/>
        <w:rPr>
          <w:rFonts w:ascii="Times New Roman" w:hAnsi="Times New Roman" w:cs="Times New Roman"/>
        </w:rPr>
      </w:pPr>
      <w:r>
        <w:rPr>
          <w:rFonts w:ascii="Times New Roman" w:hAnsi="Times New Roman" w:cs="Times New Roman"/>
          <w:i/>
          <w:iCs/>
        </w:rPr>
        <w:t>1.2. Teaching Factory</w:t>
      </w:r>
    </w:p>
    <w:p>
      <w:pPr>
        <w:pStyle w:val="10"/>
        <w:jc w:val="both"/>
        <w:rPr>
          <w:rFonts w:ascii="Times New Roman" w:hAnsi="Times New Roman" w:cs="Times New Roman"/>
        </w:rPr>
      </w:pPr>
      <w:r>
        <w:rPr>
          <w:rFonts w:ascii="Times New Roman" w:hAnsi="Times New Roman" w:cs="Times New Roman"/>
        </w:rPr>
        <w:t>In facing the industrial revolution 4.0 it is urgent to increase the competitiveness of human resources and revitalize vocational education in an integrated manner to meet the demographic bonus. Revitalization of vocational education is defined as more to prepare a workforce that is competitive, skilled, of quality, and relevant to the demands of the world of work. The target is that Indonesia can become a country with the seventh economic power in the world by 2030. Teacher competence needs to be continuously improved to keep pace with developments in the industrial sector. Changes in the practice of educators have occurred in many educational practices.</w:t>
      </w:r>
    </w:p>
    <w:p>
      <w:pPr>
        <w:pStyle w:val="10"/>
        <w:jc w:val="both"/>
        <w:rPr>
          <w:rFonts w:ascii="Times New Roman" w:hAnsi="Times New Roman" w:cs="Times New Roman"/>
          <w:highlight w:val="none"/>
        </w:rPr>
      </w:pPr>
      <w:r>
        <w:rPr>
          <w:rFonts w:ascii="Times New Roman" w:hAnsi="Times New Roman" w:cs="Times New Roman"/>
        </w:rPr>
        <w:tab/>
      </w:r>
      <w:r>
        <w:rPr>
          <w:rFonts w:ascii="Times New Roman" w:hAnsi="Times New Roman" w:cs="Times New Roman"/>
        </w:rPr>
        <w:t xml:space="preserve">The Ministry of Education and Culture has formulated Vocational School revitalization measures that are carried out with the aim of creating superior human resources in every field and having competitiveness both at the national and international levels. The ten steps are: a) Revitalization of human resources; b) Build SIM-based SAS; c) Link and match with industry; d) Industry-based curriculum; e) </w:t>
      </w:r>
      <w:r>
        <w:rPr>
          <w:rFonts w:ascii="Times New Roman" w:hAnsi="Times New Roman" w:cs="Times New Roman"/>
          <w:highlight w:val="none"/>
        </w:rPr>
        <w:t>Teaching factory; f) Use of video tutorials and portfolio based on video e-report skills; g) Professional certification test; h) Fulfillment of facilities and infrastructure; i) Development of local wisdom; j) The role of SMK as a driver of the local economy</w:t>
      </w:r>
      <w:r>
        <w:rPr>
          <w:rFonts w:hint="default" w:ascii="Times New Roman" w:hAnsi="Times New Roman" w:cs="Times New Roman"/>
          <w:highlight w:val="none"/>
          <w:lang w:val="en-US"/>
        </w:rPr>
        <w:t xml:space="preserve"> [5]</w:t>
      </w:r>
      <w:r>
        <w:rPr>
          <w:rFonts w:ascii="Times New Roman" w:hAnsi="Times New Roman" w:cs="Times New Roman"/>
          <w:highlight w:val="none"/>
        </w:rPr>
        <w:t>.</w:t>
      </w:r>
    </w:p>
    <w:p>
      <w:pPr>
        <w:pStyle w:val="10"/>
        <w:jc w:val="both"/>
        <w:rPr>
          <w:rFonts w:ascii="Times New Roman" w:hAnsi="Times New Roman" w:cs="Times New Roman"/>
          <w:highlight w:val="none"/>
        </w:rPr>
      </w:pPr>
      <w:r>
        <w:rPr>
          <w:rFonts w:ascii="Times New Roman" w:hAnsi="Times New Roman" w:cs="Times New Roman"/>
          <w:highlight w:val="none"/>
        </w:rPr>
        <w:tab/>
      </w:r>
      <w:r>
        <w:rPr>
          <w:rFonts w:ascii="Times New Roman" w:hAnsi="Times New Roman" w:cs="Times New Roman"/>
          <w:highlight w:val="none"/>
        </w:rPr>
        <w:t>Teaching factory is a crucial factor to be implemented properly in SMK in order to develop the quality of vocational high school education to equip alumni with competencies that have strong competitiveness in the industrial world.</w:t>
      </w:r>
    </w:p>
    <w:p>
      <w:pPr>
        <w:pStyle w:val="10"/>
        <w:jc w:val="both"/>
        <w:rPr>
          <w:rFonts w:ascii="Times New Roman" w:hAnsi="Times New Roman" w:cs="Times New Roman"/>
          <w:highlight w:val="none"/>
        </w:rPr>
      </w:pPr>
      <w:r>
        <w:rPr>
          <w:rFonts w:ascii="Times New Roman" w:hAnsi="Times New Roman" w:cs="Times New Roman"/>
          <w:highlight w:val="none"/>
        </w:rPr>
        <w:t>Teaching factory learning is a production/service-based learning concept in Vocational Schools that refers to the standards and procedures applicable in the industry, and is carried out in an atmosphere like what happens in the industry</w:t>
      </w:r>
      <w:r>
        <w:rPr>
          <w:rFonts w:hint="default" w:ascii="Times New Roman" w:hAnsi="Times New Roman" w:cs="Times New Roman"/>
          <w:highlight w:val="none"/>
          <w:lang w:val="en-US"/>
        </w:rPr>
        <w:t xml:space="preserve"> [6]. </w:t>
      </w:r>
      <w:r>
        <w:rPr>
          <w:rFonts w:ascii="Times New Roman" w:hAnsi="Times New Roman" w:cs="Times New Roman"/>
          <w:highlight w:val="none"/>
        </w:rPr>
        <w:t xml:space="preserve"> Meanwhile, the Indonesia-German Institute </w:t>
      </w:r>
      <w:r>
        <w:rPr>
          <w:rFonts w:hint="default" w:ascii="Times New Roman" w:hAnsi="Times New Roman" w:cs="Times New Roman"/>
          <w:highlight w:val="none"/>
          <w:lang w:val="en-US"/>
        </w:rPr>
        <w:t>[7]. t</w:t>
      </w:r>
      <w:r>
        <w:rPr>
          <w:rFonts w:ascii="Times New Roman" w:hAnsi="Times New Roman" w:cs="Times New Roman"/>
          <w:highlight w:val="none"/>
        </w:rPr>
        <w:t xml:space="preserve">eaching factory is a learning concept in a real industrial atmosphere, so as to bridge the competency gap between industrial needs and knowledge in schools. </w:t>
      </w:r>
    </w:p>
    <w:p>
      <w:pPr>
        <w:pStyle w:val="10"/>
        <w:jc w:val="both"/>
        <w:rPr>
          <w:rFonts w:ascii="Times New Roman" w:hAnsi="Times New Roman" w:cs="Times New Roman"/>
          <w:highlight w:val="none"/>
        </w:rPr>
      </w:pPr>
      <w:r>
        <w:rPr>
          <w:rFonts w:ascii="Times New Roman" w:hAnsi="Times New Roman" w:cs="Times New Roman"/>
        </w:rPr>
        <w:tab/>
      </w:r>
      <w:r>
        <w:rPr>
          <w:rFonts w:ascii="Times New Roman" w:hAnsi="Times New Roman" w:cs="Times New Roman"/>
        </w:rPr>
        <w:t>The teaching factory program is a production / service-based learning concept in Vocational Schools that refers to the standards and procedures that apply in the industrial world and is implemented in an atmosphere like what happens in the industry. The implementation of the Teaching Factory at SMK can bridge the competency gap between industry needs and the competencies produced by schools. The implementation of the teaching factory requires full involvement from the industry as a relevant party in assessing the quality of</w:t>
      </w:r>
      <w:r>
        <w:rPr>
          <w:rFonts w:ascii="Times New Roman" w:hAnsi="Times New Roman" w:cs="Times New Roman"/>
          <w:highlight w:val="none"/>
        </w:rPr>
        <w:t xml:space="preserve"> educational outcomes at SMK </w:t>
      </w:r>
      <w:r>
        <w:rPr>
          <w:rFonts w:hint="default" w:ascii="Times New Roman" w:hAnsi="Times New Roman" w:cs="Times New Roman"/>
          <w:highlight w:val="none"/>
          <w:lang w:val="en-US"/>
        </w:rPr>
        <w:t xml:space="preserve">[8]. </w:t>
      </w:r>
    </w:p>
    <w:p>
      <w:pPr>
        <w:pStyle w:val="10"/>
        <w:jc w:val="both"/>
        <w:rPr>
          <w:rFonts w:ascii="Times New Roman" w:hAnsi="Times New Roman" w:cs="Times New Roman"/>
          <w:highlight w:val="none"/>
        </w:rPr>
      </w:pPr>
      <w:r>
        <w:rPr>
          <w:rFonts w:ascii="Times New Roman" w:hAnsi="Times New Roman" w:cs="Times New Roman"/>
        </w:rPr>
        <w:tab/>
      </w:r>
      <w:r>
        <w:rPr>
          <w:rFonts w:ascii="Times New Roman" w:hAnsi="Times New Roman" w:cs="Times New Roman"/>
        </w:rPr>
        <w:t>In another sense, teaching factory is production-based learning, which is a learning process of expertise or skills that is designed and implemented based on actual work procedures and standards such as in the industrial world (real jobs) to produce goods or se</w:t>
      </w:r>
      <w:r>
        <w:rPr>
          <w:rFonts w:ascii="Times New Roman" w:hAnsi="Times New Roman" w:cs="Times New Roman"/>
          <w:highlight w:val="none"/>
        </w:rPr>
        <w:t xml:space="preserve">rvices in accordance with market or consumer demands </w:t>
      </w:r>
      <w:r>
        <w:rPr>
          <w:rFonts w:hint="default" w:ascii="Times New Roman" w:hAnsi="Times New Roman" w:cs="Times New Roman"/>
          <w:highlight w:val="none"/>
          <w:lang w:val="en-US"/>
        </w:rPr>
        <w:t xml:space="preserve">[7]. </w:t>
      </w:r>
    </w:p>
    <w:p>
      <w:pPr>
        <w:pStyle w:val="10"/>
        <w:jc w:val="both"/>
        <w:rPr>
          <w:rFonts w:ascii="Times New Roman" w:hAnsi="Times New Roman" w:cs="Times New Roman"/>
        </w:rPr>
      </w:pPr>
      <w:r>
        <w:rPr>
          <w:rFonts w:ascii="Times New Roman" w:hAnsi="Times New Roman" w:cs="Times New Roman"/>
        </w:rPr>
        <w:t>From some of the opinions above, it can be concluded that the teaching factory concept combines learning and a realistic work environment and creates a relevant learning experience. This program applies the concept of production / service-based learning that refers to the standards and procedures applicable in the industry and is implemented in an atmosphere like what happens in the industry. The aim of the Teaching Factory at SMK is to bridge the competency gap between industry needs and the competencies produced by schools.</w:t>
      </w:r>
    </w:p>
    <w:p>
      <w:pPr>
        <w:pStyle w:val="10"/>
        <w:jc w:val="both"/>
        <w:rPr>
          <w:rFonts w:ascii="Times New Roman" w:hAnsi="Times New Roman" w:cs="Times New Roman"/>
        </w:rPr>
      </w:pPr>
    </w:p>
    <w:p>
      <w:pPr>
        <w:pStyle w:val="10"/>
        <w:jc w:val="both"/>
        <w:rPr>
          <w:rFonts w:ascii="Times New Roman" w:hAnsi="Times New Roman" w:cs="Times New Roman"/>
          <w:i/>
          <w:iCs/>
        </w:rPr>
      </w:pPr>
      <w:r>
        <w:rPr>
          <w:rFonts w:ascii="Times New Roman" w:hAnsi="Times New Roman" w:cs="Times New Roman"/>
          <w:i/>
          <w:iCs/>
        </w:rPr>
        <w:t>1.3. Basic Concept of Teaching Factory Implementation</w:t>
      </w:r>
    </w:p>
    <w:p>
      <w:pPr>
        <w:pStyle w:val="10"/>
        <w:jc w:val="both"/>
        <w:rPr>
          <w:rFonts w:ascii="Times New Roman" w:hAnsi="Times New Roman" w:cs="Times New Roman"/>
        </w:rPr>
      </w:pPr>
      <w:r>
        <w:rPr>
          <w:rFonts w:ascii="Times New Roman" w:hAnsi="Times New Roman" w:cs="Times New Roman"/>
        </w:rPr>
        <w:t>Sanggam et al (2017: 8) state that the basic principles in implementing the teaching factory program in SMK are:</w:t>
      </w:r>
    </w:p>
    <w:p>
      <w:pPr>
        <w:pStyle w:val="10"/>
        <w:jc w:val="both"/>
        <w:rPr>
          <w:rFonts w:ascii="Times New Roman" w:hAnsi="Times New Roman" w:cs="Times New Roman"/>
        </w:rPr>
      </w:pPr>
      <w:r>
        <w:rPr>
          <w:rFonts w:ascii="Times New Roman" w:hAnsi="Times New Roman" w:cs="Times New Roman"/>
        </w:rPr>
        <w:t>1) Integration of work experience into the SMK curriculum;</w:t>
      </w:r>
    </w:p>
    <w:p>
      <w:pPr>
        <w:pStyle w:val="10"/>
        <w:jc w:val="both"/>
        <w:rPr>
          <w:rFonts w:ascii="Times New Roman" w:hAnsi="Times New Roman" w:cs="Times New Roman"/>
        </w:rPr>
      </w:pPr>
      <w:r>
        <w:rPr>
          <w:rFonts w:ascii="Times New Roman" w:hAnsi="Times New Roman" w:cs="Times New Roman"/>
        </w:rPr>
        <w:t>2) All equipment, materials and educational actors are designed to carry out the production process with the aim of producing products in the form of goods and services;</w:t>
      </w:r>
    </w:p>
    <w:p>
      <w:pPr>
        <w:pStyle w:val="10"/>
        <w:jc w:val="both"/>
        <w:rPr>
          <w:rFonts w:ascii="Times New Roman" w:hAnsi="Times New Roman" w:cs="Times New Roman"/>
        </w:rPr>
      </w:pPr>
      <w:r>
        <w:rPr>
          <w:rFonts w:ascii="Times New Roman" w:hAnsi="Times New Roman" w:cs="Times New Roman"/>
        </w:rPr>
        <w:t>3) There is a combination of competency learning and production-based learning;</w:t>
      </w:r>
    </w:p>
    <w:p>
      <w:pPr>
        <w:pStyle w:val="10"/>
        <w:jc w:val="both"/>
        <w:rPr>
          <w:rFonts w:ascii="Times New Roman" w:hAnsi="Times New Roman" w:cs="Times New Roman"/>
        </w:rPr>
      </w:pPr>
      <w:r>
        <w:rPr>
          <w:rFonts w:ascii="Times New Roman" w:hAnsi="Times New Roman" w:cs="Times New Roman"/>
        </w:rPr>
        <w:t>4) In production-based learning, students must be directly involved in the production process of both goods and services, so that their competences are built based on production needs.</w:t>
      </w:r>
    </w:p>
    <w:p>
      <w:pPr>
        <w:pStyle w:val="10"/>
        <w:jc w:val="both"/>
        <w:rPr>
          <w:rFonts w:ascii="Times New Roman" w:hAnsi="Times New Roman" w:cs="Times New Roman"/>
        </w:rPr>
      </w:pPr>
    </w:p>
    <w:p>
      <w:pPr>
        <w:pStyle w:val="10"/>
        <w:jc w:val="both"/>
        <w:rPr>
          <w:rFonts w:ascii="Times New Roman" w:hAnsi="Times New Roman" w:cs="Times New Roman"/>
          <w:b/>
        </w:rPr>
      </w:pPr>
      <w:r>
        <w:rPr>
          <w:rFonts w:ascii="Times New Roman" w:hAnsi="Times New Roman" w:cs="Times New Roman"/>
          <w:b/>
        </w:rPr>
        <w:t>Teaching Factory Learning Model</w:t>
      </w:r>
    </w:p>
    <w:p>
      <w:pPr>
        <w:pStyle w:val="10"/>
        <w:jc w:val="both"/>
        <w:rPr>
          <w:rFonts w:ascii="Times New Roman" w:hAnsi="Times New Roman" w:cs="Times New Roman"/>
          <w:b/>
        </w:rPr>
      </w:pPr>
    </w:p>
    <w:p>
      <w:pPr>
        <w:pStyle w:val="10"/>
        <w:jc w:val="both"/>
        <w:rPr>
          <w:rFonts w:ascii="Times New Roman" w:hAnsi="Times New Roman" w:cs="Times New Roman"/>
          <w:b/>
        </w:rPr>
      </w:pPr>
      <w:r>
        <w:rPr>
          <w:rFonts w:ascii="Times New Roman" w:hAnsi="Times New Roman" w:cs="Times New Roman"/>
          <w:b/>
        </w:rPr>
        <w:drawing>
          <wp:inline distT="0" distB="0" distL="0" distR="0">
            <wp:extent cx="5486400" cy="3200400"/>
            <wp:effectExtent l="0" t="0" r="190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pStyle w:val="10"/>
        <w:jc w:val="center"/>
        <w:rPr>
          <w:rFonts w:ascii="Times New Roman" w:hAnsi="Times New Roman" w:cs="Times New Roman"/>
          <w:b/>
        </w:rPr>
      </w:pPr>
      <w:r>
        <w:rPr>
          <w:rFonts w:ascii="Times New Roman" w:hAnsi="Times New Roman" w:cs="Times New Roman"/>
          <w:b/>
        </w:rPr>
        <w:t>Figure 1: Model of  Teaching Factory</w:t>
      </w:r>
    </w:p>
    <w:p>
      <w:pPr>
        <w:pStyle w:val="10"/>
        <w:jc w:val="center"/>
        <w:rPr>
          <w:rFonts w:ascii="Times New Roman" w:hAnsi="Times New Roman" w:cs="Times New Roman"/>
          <w:b/>
        </w:rPr>
      </w:pPr>
      <w:r>
        <w:rPr>
          <w:rFonts w:ascii="Times New Roman" w:hAnsi="Times New Roman" w:cs="Times New Roman"/>
          <w:b/>
        </w:rPr>
        <w:t>Source:  Adam &amp; Rahayu (2017: 108)</w:t>
      </w:r>
    </w:p>
    <w:p>
      <w:pPr>
        <w:pStyle w:val="10"/>
        <w:jc w:val="center"/>
        <w:rPr>
          <w:rFonts w:ascii="Times New Roman" w:hAnsi="Times New Roman" w:cs="Times New Roman"/>
          <w:b/>
        </w:rPr>
      </w:pPr>
    </w:p>
    <w:p>
      <w:pPr>
        <w:pStyle w:val="10"/>
        <w:jc w:val="both"/>
        <w:rPr>
          <w:rFonts w:ascii="Times New Roman" w:hAnsi="Times New Roman" w:cs="Times New Roman"/>
          <w:b/>
          <w:highlight w:val="none"/>
        </w:rPr>
      </w:pPr>
      <w:r>
        <w:rPr>
          <w:rFonts w:ascii="Times New Roman" w:hAnsi="Times New Roman" w:cs="Times New Roman"/>
        </w:rPr>
        <w:t xml:space="preserve">Of the three teaching factory models above, the first model is the most widely applied to education in SMK. So this teaching factory is a learning model for Industry-based students in the framework of making a product which will later be returned to partner Industry or it can also be sold and distributed through the department's production unit. The important benefits of holding a teaching factory are: 1) increasing the competence of teachers and students, 2) encouraging the creation of a quality culture, 3) creating an industrial culture, 4) encouraging the creativity and innovation of students and teachers, 5) means of developing entrepreneurship, 6) an internship and shelter for graduates who have not yet got a job in the industrial world </w:t>
      </w:r>
      <w:r>
        <w:rPr>
          <w:rFonts w:hint="default" w:ascii="Times New Roman" w:hAnsi="Times New Roman" w:cs="Times New Roman"/>
          <w:highlight w:val="none"/>
          <w:lang w:val="en-US"/>
        </w:rPr>
        <w:t>[6].</w:t>
      </w:r>
      <w:r>
        <w:rPr>
          <w:rFonts w:ascii="Times New Roman" w:hAnsi="Times New Roman" w:cs="Times New Roman"/>
          <w:highlight w:val="none"/>
        </w:rPr>
        <w:t xml:space="preserve"> There are so many benefits of teaching factory both for students and for teachers themselves in increasing their competence and productivity. The benefits for schools are the main thing is the creation of a quality culture</w:t>
      </w:r>
      <w:r>
        <w:rPr>
          <w:rFonts w:ascii="Times New Roman" w:hAnsi="Times New Roman" w:cs="Times New Roman"/>
          <w:b/>
          <w:highlight w:val="none"/>
        </w:rPr>
        <w:t>.</w:t>
      </w:r>
    </w:p>
    <w:p>
      <w:pPr>
        <w:pStyle w:val="10"/>
        <w:jc w:val="both"/>
        <w:rPr>
          <w:rFonts w:ascii="Times New Roman" w:hAnsi="Times New Roman" w:cs="Times New Roman"/>
          <w:b/>
        </w:rPr>
      </w:pPr>
    </w:p>
    <w:p>
      <w:pPr>
        <w:pStyle w:val="10"/>
        <w:jc w:val="both"/>
        <w:rPr>
          <w:rFonts w:ascii="Times New Roman" w:hAnsi="Times New Roman" w:cs="Times New Roman"/>
          <w:i/>
          <w:iCs/>
        </w:rPr>
      </w:pPr>
      <w:r>
        <w:rPr>
          <w:rFonts w:ascii="Times New Roman" w:hAnsi="Times New Roman" w:cs="Times New Roman"/>
          <w:i/>
          <w:iCs/>
        </w:rPr>
        <w:t>1.4. Framework of Mind</w:t>
      </w:r>
    </w:p>
    <w:p>
      <w:pPr>
        <w:pStyle w:val="10"/>
        <w:jc w:val="both"/>
        <w:rPr>
          <w:rFonts w:ascii="Times New Roman" w:hAnsi="Times New Roman" w:cs="Times New Roman"/>
        </w:rPr>
      </w:pPr>
      <w:r>
        <w:rPr>
          <w:rFonts w:ascii="Times New Roman" w:hAnsi="Times New Roman" w:cs="Times New Roman"/>
        </w:rPr>
        <w:t>Teaching factory is a production / service-based learning concept in SMK which refers to the standards and procedures that apply in the industry and is carried out in an atmosphere like what happens in the industry. The implementation of teaching factory in SMK can bridge the competency gap between industrial needs and the competencies produced by schools. The implementation of the teaching factory requires absolute involvement of the industry as the relevant party in assessing the quality of educational outcomes from SMK. In this model, school management and teachers have to do recognition because the teacher changes the role of the teacher as the main source of learning to become a facilitator, namely as an assessor or consultant. The ideal conditions in the implementation of teaching factory can be influenced by 5 aspects, namely: (1) Learning, (2) Human Resources (Teachers), (3) Facilities, (4) Implementation of practical activities (adjusting industry standards), (5) Network</w:t>
      </w:r>
    </w:p>
    <w:p>
      <w:pPr>
        <w:pStyle w:val="10"/>
        <w:jc w:val="both"/>
        <w:rPr>
          <w:rFonts w:ascii="Times New Roman" w:hAnsi="Times New Roman" w:cs="Times New Roman"/>
        </w:rPr>
      </w:pPr>
      <w:r>
        <w:rPr>
          <w:rFonts w:ascii="Times New Roman" w:hAnsi="Times New Roman" w:cs="Times New Roman"/>
        </w:rPr>
        <w:t>On the basis of theoretical studies and thinking frameworks, the hypotheses in this study are: There is a positive and significant influence between the effectiveness of the SPMI program on the cultural motivation of teacher quality in the context of revitalizing the National Education Standards for public vocational schools in Kebumen Regency;</w:t>
      </w:r>
    </w:p>
    <w:p>
      <w:pPr>
        <w:pStyle w:val="10"/>
        <w:jc w:val="both"/>
        <w:rPr>
          <w:rFonts w:ascii="Times New Roman" w:hAnsi="Times New Roman" w:cs="Times New Roman"/>
        </w:rPr>
      </w:pPr>
    </w:p>
    <w:p>
      <w:pPr>
        <w:pStyle w:val="10"/>
        <w:jc w:val="both"/>
        <w:rPr>
          <w:rFonts w:ascii="Times New Roman" w:hAnsi="Times New Roman" w:cs="Times New Roman"/>
        </w:rPr>
      </w:pPr>
    </w:p>
    <w:p>
      <w:pPr>
        <w:pStyle w:val="10"/>
        <w:jc w:val="both"/>
        <w:rPr>
          <w:rFonts w:ascii="Times New Roman" w:hAnsi="Times New Roman" w:cs="Times New Roman"/>
        </w:rPr>
      </w:pPr>
      <w:r>
        <w:rPr>
          <w:rFonts w:ascii="Times New Roman" w:hAnsi="Times New Roman" w:cs="Times New Roman"/>
          <w:b/>
          <w:bCs/>
        </w:rPr>
        <w:t>2. Research Methods</w:t>
      </w:r>
    </w:p>
    <w:p>
      <w:pPr>
        <w:pStyle w:val="10"/>
        <w:jc w:val="both"/>
        <w:rPr>
          <w:rFonts w:ascii="Times New Roman" w:hAnsi="Times New Roman" w:cs="Times New Roman"/>
        </w:rPr>
      </w:pPr>
      <w:r>
        <w:rPr>
          <w:rFonts w:ascii="Times New Roman" w:hAnsi="Times New Roman" w:cs="Times New Roman"/>
        </w:rPr>
        <w:t>This type of research is quantitative and is a correlational research. In this case the researcher will statistically measure the relationship between variables, namely between the independent variables, namely X: The effectiveness of the Teaching Factory Program bound, namely Y: Teacher Quality Culture. The population in this study were all productive teachers of State Vocational High Schools in Kebumen Regency, amounting to 8 schools. The sample of this research was selected public schools in Kebumen Regency which have intensively implemented the teaching factory program of SMK Negeri 1 Kebuman, SMK Negeri 2 Kebumen, and SMK Negeri Gombong, with a sample size of 96 teachers.</w:t>
      </w:r>
    </w:p>
    <w:p>
      <w:pPr>
        <w:pStyle w:val="10"/>
        <w:jc w:val="both"/>
        <w:rPr>
          <w:rFonts w:hint="default" w:ascii="Times New Roman" w:hAnsi="Times New Roman" w:cs="Times New Roman"/>
          <w:lang w:val="en-US"/>
        </w:rPr>
      </w:pPr>
      <w:r>
        <w:rPr>
          <w:rFonts w:ascii="Times New Roman" w:hAnsi="Times New Roman" w:cs="Times New Roman"/>
        </w:rPr>
        <w:t>During this pandemic, data collection used a questionnaire technique using google form media. Before the questionnaire was used to retrieve data, the instrument had been tested, so that a good instrument for retrieving data was obtained. Before performing the data analysis technique, the data analysis prerequisite test was carried out which included the distribution normality test with the Kolmogorov-Smirnov formula and the relationship linearity test with the F test at the 5% significance level. The data analysis technique used simple linear regression followed by a significance test with the t test</w:t>
      </w:r>
      <w:r>
        <w:rPr>
          <w:rFonts w:hint="default" w:ascii="Times New Roman" w:hAnsi="Times New Roman" w:cs="Times New Roman"/>
          <w:lang w:val="en-US"/>
        </w:rPr>
        <w:t xml:space="preserve"> [8].</w:t>
      </w:r>
    </w:p>
    <w:p>
      <w:pPr>
        <w:pStyle w:val="10"/>
        <w:jc w:val="both"/>
        <w:rPr>
          <w:rFonts w:ascii="Times New Roman" w:hAnsi="Times New Roman" w:cs="Times New Roman"/>
        </w:rPr>
      </w:pPr>
    </w:p>
    <w:p>
      <w:pPr>
        <w:pStyle w:val="10"/>
        <w:jc w:val="both"/>
        <w:rPr>
          <w:rFonts w:ascii="Times New Roman" w:hAnsi="Times New Roman" w:cs="Times New Roman"/>
          <w:b/>
          <w:bCs/>
        </w:rPr>
      </w:pPr>
      <w:r>
        <w:rPr>
          <w:rFonts w:ascii="Times New Roman" w:hAnsi="Times New Roman" w:cs="Times New Roman"/>
          <w:b/>
          <w:bCs/>
        </w:rPr>
        <w:t>3. Research Results and Discussion</w:t>
      </w:r>
    </w:p>
    <w:p>
      <w:pPr>
        <w:pStyle w:val="10"/>
        <w:jc w:val="both"/>
        <w:rPr>
          <w:rFonts w:ascii="Times New Roman" w:hAnsi="Times New Roman" w:cs="Times New Roman"/>
        </w:rPr>
      </w:pPr>
      <w:r>
        <w:rPr>
          <w:rFonts w:ascii="Times New Roman" w:hAnsi="Times New Roman" w:cs="Times New Roman"/>
          <w:i/>
          <w:iCs/>
        </w:rPr>
        <w:t>3.1 Research Results</w:t>
      </w:r>
    </w:p>
    <w:p>
      <w:pPr>
        <w:pStyle w:val="10"/>
        <w:jc w:val="both"/>
        <w:rPr>
          <w:rFonts w:ascii="Times New Roman" w:hAnsi="Times New Roman" w:cs="Times New Roman"/>
        </w:rPr>
      </w:pPr>
      <w:r>
        <w:rPr>
          <w:rFonts w:ascii="Times New Roman" w:hAnsi="Times New Roman" w:cs="Times New Roman"/>
        </w:rPr>
        <w:t>The following shows the results of the analysis prerequisite test first</w:t>
      </w:r>
    </w:p>
    <w:p>
      <w:pPr>
        <w:pStyle w:val="10"/>
        <w:jc w:val="both"/>
        <w:rPr>
          <w:rFonts w:ascii="Times New Roman" w:hAnsi="Times New Roman" w:cs="Times New Roman"/>
        </w:rPr>
      </w:pPr>
    </w:p>
    <w:p>
      <w:pPr>
        <w:pStyle w:val="10"/>
        <w:rPr>
          <w:rFonts w:ascii="Times New Roman" w:hAnsi="Times New Roman" w:cs="Times New Roman"/>
        </w:rPr>
      </w:pPr>
      <w:r>
        <w:rPr>
          <w:rFonts w:ascii="Times New Roman" w:hAnsi="Times New Roman" w:cs="Times New Roman"/>
        </w:rPr>
        <w:t xml:space="preserve">                                      Table 1. Normality Test Results</w:t>
      </w:r>
    </w:p>
    <w:p>
      <w:pPr>
        <w:pStyle w:val="10"/>
        <w:rPr>
          <w:rFonts w:ascii="Times New Roman" w:hAnsi="Times New Roman" w:cs="Times New Roman"/>
        </w:rPr>
      </w:pPr>
      <w:r>
        <w:rPr>
          <w:rFonts w:ascii="Times New Roman" w:hAnsi="Times New Roman" w:cs="Times New Roman"/>
        </w:rPr>
        <w:t xml:space="preserve">                                One-Sample Kolmogorov-Smirnov Test</w:t>
      </w:r>
    </w:p>
    <w:p>
      <w:pPr>
        <w:pStyle w:val="10"/>
        <w:jc w:val="both"/>
        <w:rPr>
          <w:rFonts w:ascii="Times New Roman" w:hAnsi="Times New Roman" w:cs="Times New Roman"/>
        </w:rPr>
      </w:pPr>
    </w:p>
    <w:tbl>
      <w:tblPr>
        <w:tblStyle w:val="9"/>
        <w:tblW w:w="6436" w:type="dxa"/>
        <w:tblInd w:w="460" w:type="dxa"/>
        <w:tblLayout w:type="fixed"/>
        <w:tblCellMar>
          <w:top w:w="0" w:type="dxa"/>
          <w:left w:w="93" w:type="dxa"/>
          <w:bottom w:w="0" w:type="dxa"/>
          <w:right w:w="93" w:type="dxa"/>
        </w:tblCellMar>
      </w:tblPr>
      <w:tblGrid>
        <w:gridCol w:w="2430"/>
        <w:gridCol w:w="1545"/>
        <w:gridCol w:w="1324"/>
        <w:gridCol w:w="1137"/>
      </w:tblGrid>
      <w:tr>
        <w:tblPrEx>
          <w:tblCellMar>
            <w:top w:w="0" w:type="dxa"/>
            <w:left w:w="93" w:type="dxa"/>
            <w:bottom w:w="0" w:type="dxa"/>
            <w:right w:w="93" w:type="dxa"/>
          </w:tblCellMar>
        </w:tblPrEx>
        <w:trPr>
          <w:trHeight w:val="734" w:hRule="atLeast"/>
        </w:trPr>
        <w:tc>
          <w:tcPr>
            <w:tcW w:w="3975" w:type="dxa"/>
            <w:gridSpan w:val="2"/>
            <w:tcBorders>
              <w:top w:val="single" w:color="000000" w:sz="12" w:space="0"/>
              <w:left w:val="single" w:color="000000" w:sz="12" w:space="0"/>
              <w:bottom w:val="single" w:color="000000" w:sz="12" w:space="0"/>
              <w:right w:val="single" w:color="000000" w:sz="12" w:space="0"/>
            </w:tcBorders>
            <w:shd w:val="clear" w:color="000000" w:fill="FFFFFF"/>
            <w:vAlign w:val="bottom"/>
          </w:tcPr>
          <w:p>
            <w:pPr>
              <w:autoSpaceDE w:val="0"/>
              <w:autoSpaceDN w:val="0"/>
              <w:adjustRightInd w:val="0"/>
              <w:rPr>
                <w:rFonts w:ascii="Arial" w:hAnsi="Arial" w:cs="Arial"/>
                <w:color w:val="000000"/>
                <w:sz w:val="18"/>
                <w:szCs w:val="18"/>
              </w:rPr>
            </w:pPr>
          </w:p>
        </w:tc>
        <w:tc>
          <w:tcPr>
            <w:tcW w:w="1324" w:type="dxa"/>
            <w:tcBorders>
              <w:top w:val="single" w:color="000000" w:sz="12" w:space="0"/>
              <w:left w:val="single" w:color="000000" w:sz="1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Times New Roman" w:hAnsi="Times New Roman" w:cs="Times New Roman"/>
              </w:rPr>
              <w:t xml:space="preserve">Teacher Quality Culture. </w:t>
            </w:r>
          </w:p>
        </w:tc>
        <w:tc>
          <w:tcPr>
            <w:tcW w:w="1137" w:type="dxa"/>
            <w:tcBorders>
              <w:top w:val="single" w:color="000000" w:sz="12" w:space="0"/>
              <w:left w:val="single" w:color="000000" w:sz="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Program Teaching Factory</w:t>
            </w:r>
          </w:p>
        </w:tc>
      </w:tr>
      <w:tr>
        <w:tblPrEx>
          <w:tblCellMar>
            <w:top w:w="0" w:type="dxa"/>
            <w:left w:w="93" w:type="dxa"/>
            <w:bottom w:w="0" w:type="dxa"/>
            <w:right w:w="93" w:type="dxa"/>
          </w:tblCellMar>
        </w:tblPrEx>
        <w:trPr>
          <w:trHeight w:val="273" w:hRule="atLeast"/>
        </w:trPr>
        <w:tc>
          <w:tcPr>
            <w:tcW w:w="3975" w:type="dxa"/>
            <w:gridSpan w:val="2"/>
            <w:tcBorders>
              <w:top w:val="single" w:color="000000" w:sz="12" w:space="0"/>
              <w:left w:val="single" w:color="000000" w:sz="12" w:space="0"/>
              <w:bottom w:val="nil"/>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N</w:t>
            </w:r>
          </w:p>
        </w:tc>
        <w:tc>
          <w:tcPr>
            <w:tcW w:w="1324" w:type="dxa"/>
            <w:tcBorders>
              <w:top w:val="single" w:color="000000" w:sz="12" w:space="0"/>
              <w:left w:val="single" w:color="000000" w:sz="1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79</w:t>
            </w:r>
          </w:p>
        </w:tc>
        <w:tc>
          <w:tcPr>
            <w:tcW w:w="1137" w:type="dxa"/>
            <w:tcBorders>
              <w:top w:val="single" w:color="000000" w:sz="12" w:space="0"/>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79</w:t>
            </w:r>
          </w:p>
        </w:tc>
      </w:tr>
      <w:tr>
        <w:tblPrEx>
          <w:tblCellMar>
            <w:top w:w="0" w:type="dxa"/>
            <w:left w:w="93" w:type="dxa"/>
            <w:bottom w:w="0" w:type="dxa"/>
            <w:right w:w="93" w:type="dxa"/>
          </w:tblCellMar>
        </w:tblPrEx>
        <w:trPr>
          <w:trHeight w:val="273" w:hRule="atLeast"/>
        </w:trPr>
        <w:tc>
          <w:tcPr>
            <w:tcW w:w="2430" w:type="dxa"/>
            <w:tcBorders>
              <w:top w:val="nil"/>
              <w:left w:val="single" w:color="000000" w:sz="12" w:space="0"/>
              <w:bottom w:val="nil"/>
              <w:right w:val="nil"/>
            </w:tcBorders>
            <w:shd w:val="clear" w:color="000000" w:fill="FFFFFF"/>
            <w:vAlign w:val="center"/>
          </w:tcPr>
          <w:p>
            <w:pPr>
              <w:autoSpaceDE w:val="0"/>
              <w:autoSpaceDN w:val="0"/>
              <w:adjustRightInd w:val="0"/>
              <w:rPr>
                <w:rFonts w:ascii="Arial" w:hAnsi="Arial" w:cs="Arial"/>
                <w:color w:val="000000"/>
                <w:sz w:val="18"/>
                <w:szCs w:val="18"/>
              </w:rPr>
            </w:pPr>
            <w:r>
              <w:rPr>
                <w:rFonts w:ascii="Arial" w:hAnsi="Arial" w:cs="Arial"/>
                <w:color w:val="000000"/>
                <w:sz w:val="18"/>
                <w:szCs w:val="18"/>
              </w:rPr>
              <w:t>Normal Parameters(a,b)</w:t>
            </w:r>
          </w:p>
        </w:tc>
        <w:tc>
          <w:tcPr>
            <w:tcW w:w="1545" w:type="dxa"/>
            <w:tcBorders>
              <w:top w:val="nil"/>
              <w:left w:val="nil"/>
              <w:bottom w:val="nil"/>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Mean</w:t>
            </w:r>
          </w:p>
        </w:tc>
        <w:tc>
          <w:tcPr>
            <w:tcW w:w="1324"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103,13</w:t>
            </w:r>
          </w:p>
        </w:tc>
        <w:tc>
          <w:tcPr>
            <w:tcW w:w="1137"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101,67</w:t>
            </w:r>
          </w:p>
        </w:tc>
      </w:tr>
      <w:tr>
        <w:tblPrEx>
          <w:tblCellMar>
            <w:top w:w="0" w:type="dxa"/>
            <w:left w:w="93" w:type="dxa"/>
            <w:bottom w:w="0" w:type="dxa"/>
            <w:right w:w="93" w:type="dxa"/>
          </w:tblCellMar>
        </w:tblPrEx>
        <w:trPr>
          <w:trHeight w:val="273" w:hRule="atLeast"/>
        </w:trPr>
        <w:tc>
          <w:tcPr>
            <w:tcW w:w="2430" w:type="dxa"/>
            <w:tcBorders>
              <w:top w:val="nil"/>
              <w:left w:val="single" w:color="000000" w:sz="12" w:space="0"/>
              <w:bottom w:val="nil"/>
              <w:right w:val="nil"/>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1545" w:type="dxa"/>
            <w:tcBorders>
              <w:top w:val="nil"/>
              <w:left w:val="nil"/>
              <w:bottom w:val="nil"/>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Std. Deviation</w:t>
            </w:r>
          </w:p>
        </w:tc>
        <w:tc>
          <w:tcPr>
            <w:tcW w:w="1324"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9,972</w:t>
            </w:r>
          </w:p>
        </w:tc>
        <w:tc>
          <w:tcPr>
            <w:tcW w:w="1137"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9,201</w:t>
            </w:r>
          </w:p>
        </w:tc>
      </w:tr>
      <w:tr>
        <w:tblPrEx>
          <w:tblCellMar>
            <w:top w:w="0" w:type="dxa"/>
            <w:left w:w="93" w:type="dxa"/>
            <w:bottom w:w="0" w:type="dxa"/>
            <w:right w:w="93" w:type="dxa"/>
          </w:tblCellMar>
        </w:tblPrEx>
        <w:trPr>
          <w:trHeight w:val="273" w:hRule="atLeast"/>
        </w:trPr>
        <w:tc>
          <w:tcPr>
            <w:tcW w:w="2430" w:type="dxa"/>
            <w:tcBorders>
              <w:top w:val="nil"/>
              <w:left w:val="single" w:color="000000" w:sz="12" w:space="0"/>
              <w:bottom w:val="nil"/>
              <w:right w:val="nil"/>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Most Extreme Differences</w:t>
            </w:r>
          </w:p>
        </w:tc>
        <w:tc>
          <w:tcPr>
            <w:tcW w:w="1545" w:type="dxa"/>
            <w:tcBorders>
              <w:top w:val="nil"/>
              <w:left w:val="nil"/>
              <w:bottom w:val="nil"/>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Absolute</w:t>
            </w:r>
          </w:p>
        </w:tc>
        <w:tc>
          <w:tcPr>
            <w:tcW w:w="1324"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,144</w:t>
            </w:r>
          </w:p>
        </w:tc>
        <w:tc>
          <w:tcPr>
            <w:tcW w:w="1137"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,124</w:t>
            </w:r>
          </w:p>
        </w:tc>
      </w:tr>
      <w:tr>
        <w:tblPrEx>
          <w:tblCellMar>
            <w:top w:w="0" w:type="dxa"/>
            <w:left w:w="93" w:type="dxa"/>
            <w:bottom w:w="0" w:type="dxa"/>
            <w:right w:w="93" w:type="dxa"/>
          </w:tblCellMar>
        </w:tblPrEx>
        <w:trPr>
          <w:trHeight w:val="273" w:hRule="atLeast"/>
        </w:trPr>
        <w:tc>
          <w:tcPr>
            <w:tcW w:w="2430" w:type="dxa"/>
            <w:tcBorders>
              <w:top w:val="nil"/>
              <w:left w:val="single" w:color="000000" w:sz="12" w:space="0"/>
              <w:bottom w:val="nil"/>
              <w:right w:val="nil"/>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1545" w:type="dxa"/>
            <w:tcBorders>
              <w:top w:val="nil"/>
              <w:left w:val="nil"/>
              <w:bottom w:val="nil"/>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Positive</w:t>
            </w:r>
          </w:p>
        </w:tc>
        <w:tc>
          <w:tcPr>
            <w:tcW w:w="1324"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,103</w:t>
            </w:r>
          </w:p>
        </w:tc>
        <w:tc>
          <w:tcPr>
            <w:tcW w:w="1137"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,081</w:t>
            </w:r>
          </w:p>
        </w:tc>
      </w:tr>
      <w:tr>
        <w:tblPrEx>
          <w:tblCellMar>
            <w:top w:w="0" w:type="dxa"/>
            <w:left w:w="93" w:type="dxa"/>
            <w:bottom w:w="0" w:type="dxa"/>
            <w:right w:w="93" w:type="dxa"/>
          </w:tblCellMar>
        </w:tblPrEx>
        <w:trPr>
          <w:trHeight w:val="273" w:hRule="atLeast"/>
        </w:trPr>
        <w:tc>
          <w:tcPr>
            <w:tcW w:w="2430" w:type="dxa"/>
            <w:tcBorders>
              <w:top w:val="nil"/>
              <w:left w:val="single" w:color="000000" w:sz="12" w:space="0"/>
              <w:bottom w:val="nil"/>
              <w:right w:val="nil"/>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1545" w:type="dxa"/>
            <w:tcBorders>
              <w:top w:val="nil"/>
              <w:left w:val="nil"/>
              <w:bottom w:val="nil"/>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Negative</w:t>
            </w:r>
          </w:p>
        </w:tc>
        <w:tc>
          <w:tcPr>
            <w:tcW w:w="1324"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-,144</w:t>
            </w:r>
          </w:p>
        </w:tc>
        <w:tc>
          <w:tcPr>
            <w:tcW w:w="1137"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-,124</w:t>
            </w:r>
          </w:p>
        </w:tc>
      </w:tr>
      <w:tr>
        <w:tblPrEx>
          <w:tblCellMar>
            <w:top w:w="0" w:type="dxa"/>
            <w:left w:w="93" w:type="dxa"/>
            <w:bottom w:w="0" w:type="dxa"/>
            <w:right w:w="93" w:type="dxa"/>
          </w:tblCellMar>
        </w:tblPrEx>
        <w:trPr>
          <w:trHeight w:val="273" w:hRule="atLeast"/>
        </w:trPr>
        <w:tc>
          <w:tcPr>
            <w:tcW w:w="3975" w:type="dxa"/>
            <w:gridSpan w:val="2"/>
            <w:tcBorders>
              <w:top w:val="nil"/>
              <w:left w:val="single" w:color="000000" w:sz="12" w:space="0"/>
              <w:bottom w:val="nil"/>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Kolmogorov-Smirnov Z</w:t>
            </w:r>
          </w:p>
        </w:tc>
        <w:tc>
          <w:tcPr>
            <w:tcW w:w="1324"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1,281</w:t>
            </w:r>
          </w:p>
        </w:tc>
        <w:tc>
          <w:tcPr>
            <w:tcW w:w="1137"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1,101</w:t>
            </w:r>
          </w:p>
        </w:tc>
      </w:tr>
      <w:tr>
        <w:tblPrEx>
          <w:tblCellMar>
            <w:top w:w="0" w:type="dxa"/>
            <w:left w:w="93" w:type="dxa"/>
            <w:bottom w:w="0" w:type="dxa"/>
            <w:right w:w="93" w:type="dxa"/>
          </w:tblCellMar>
        </w:tblPrEx>
        <w:trPr>
          <w:trHeight w:val="273" w:hRule="atLeast"/>
        </w:trPr>
        <w:tc>
          <w:tcPr>
            <w:tcW w:w="3975" w:type="dxa"/>
            <w:gridSpan w:val="2"/>
            <w:tcBorders>
              <w:top w:val="nil"/>
              <w:left w:val="single" w:color="000000" w:sz="12" w:space="0"/>
              <w:bottom w:val="single" w:color="000000" w:sz="12" w:space="0"/>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Asymp. Sig. (2-tailed)</w:t>
            </w:r>
          </w:p>
        </w:tc>
        <w:tc>
          <w:tcPr>
            <w:tcW w:w="1324" w:type="dxa"/>
            <w:tcBorders>
              <w:top w:val="nil"/>
              <w:left w:val="single" w:color="000000" w:sz="1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,075</w:t>
            </w:r>
          </w:p>
        </w:tc>
        <w:tc>
          <w:tcPr>
            <w:tcW w:w="1137" w:type="dxa"/>
            <w:tcBorders>
              <w:top w:val="nil"/>
              <w:left w:val="single" w:color="000000" w:sz="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,177</w:t>
            </w:r>
          </w:p>
        </w:tc>
      </w:tr>
    </w:tbl>
    <w:p>
      <w:pPr>
        <w:autoSpaceDE w:val="0"/>
        <w:autoSpaceDN w:val="0"/>
        <w:adjustRightInd w:val="0"/>
        <w:ind w:left="720"/>
        <w:rPr>
          <w:rFonts w:ascii="Arial" w:hAnsi="Arial" w:cs="Arial"/>
          <w:color w:val="000000"/>
          <w:sz w:val="18"/>
          <w:szCs w:val="18"/>
        </w:rPr>
      </w:pPr>
    </w:p>
    <w:p>
      <w:pPr>
        <w:autoSpaceDE w:val="0"/>
        <w:autoSpaceDN w:val="0"/>
        <w:adjustRightInd w:val="0"/>
        <w:ind w:left="720"/>
        <w:rPr>
          <w:rFonts w:ascii="Arial" w:hAnsi="Arial" w:cs="Arial"/>
          <w:color w:val="000000"/>
          <w:sz w:val="18"/>
          <w:szCs w:val="18"/>
        </w:rPr>
      </w:pPr>
      <w:r>
        <w:rPr>
          <w:rFonts w:ascii="Arial" w:hAnsi="Arial" w:cs="Arial"/>
          <w:color w:val="000000"/>
          <w:sz w:val="18"/>
          <w:szCs w:val="18"/>
        </w:rPr>
        <w:t>a  Test distribution is Normal.</w:t>
      </w:r>
    </w:p>
    <w:p>
      <w:pPr>
        <w:autoSpaceDE w:val="0"/>
        <w:autoSpaceDN w:val="0"/>
        <w:adjustRightInd w:val="0"/>
        <w:ind w:left="720"/>
        <w:rPr>
          <w:rFonts w:ascii="Arial" w:hAnsi="Arial" w:cs="Arial"/>
          <w:color w:val="000000"/>
          <w:sz w:val="18"/>
          <w:szCs w:val="18"/>
        </w:rPr>
      </w:pPr>
      <w:r>
        <w:rPr>
          <w:rFonts w:ascii="Arial" w:hAnsi="Arial" w:cs="Arial"/>
          <w:color w:val="000000"/>
          <w:sz w:val="18"/>
          <w:szCs w:val="18"/>
        </w:rPr>
        <w:t>b  Calculated from data.</w:t>
      </w:r>
    </w:p>
    <w:p>
      <w:pPr>
        <w:pStyle w:val="6"/>
        <w:tabs>
          <w:tab w:val="left" w:pos="0"/>
        </w:tabs>
        <w:spacing w:before="0" w:beforeAutospacing="0" w:after="0" w:afterAutospacing="0"/>
        <w:jc w:val="both"/>
        <w:rPr>
          <w:color w:val="000000"/>
        </w:rPr>
      </w:pPr>
    </w:p>
    <w:p>
      <w:pPr>
        <w:pStyle w:val="6"/>
        <w:tabs>
          <w:tab w:val="left" w:pos="0"/>
        </w:tabs>
        <w:spacing w:before="0" w:beforeAutospacing="0" w:after="0" w:afterAutospacing="0"/>
        <w:jc w:val="both"/>
        <w:rPr>
          <w:color w:val="000000"/>
          <w:sz w:val="22"/>
          <w:szCs w:val="22"/>
        </w:rPr>
      </w:pPr>
      <w:r>
        <w:rPr>
          <w:color w:val="000000"/>
          <w:sz w:val="22"/>
          <w:szCs w:val="22"/>
        </w:rPr>
        <w:t>The results of the calculation of Table 1, obtained the Asymp value. Sig. (2-tailed) for the quality of teacher's cultural motivation is 0.075, and the teaching factory program is 0.177 because of the Asymp value. Sig. (2-tailed) is greater than 0.05, so the teacher quality culture motivation data and the teaching factory program are all normally distributed.</w:t>
      </w:r>
    </w:p>
    <w:p>
      <w:pPr>
        <w:pStyle w:val="6"/>
        <w:tabs>
          <w:tab w:val="left" w:pos="0"/>
        </w:tabs>
        <w:spacing w:before="0" w:beforeAutospacing="0" w:after="0" w:afterAutospacing="0"/>
        <w:jc w:val="both"/>
        <w:rPr>
          <w:color w:val="000000"/>
        </w:rPr>
      </w:pPr>
    </w:p>
    <w:p>
      <w:pPr>
        <w:pStyle w:val="6"/>
        <w:tabs>
          <w:tab w:val="left" w:pos="0"/>
        </w:tabs>
        <w:spacing w:before="0" w:beforeAutospacing="0" w:after="0" w:afterAutospacing="0"/>
        <w:jc w:val="both"/>
        <w:rPr>
          <w:color w:val="000000"/>
        </w:rPr>
      </w:pPr>
    </w:p>
    <w:p>
      <w:pPr>
        <w:pStyle w:val="6"/>
        <w:tabs>
          <w:tab w:val="left" w:pos="0"/>
        </w:tabs>
        <w:spacing w:before="0" w:beforeAutospacing="0" w:after="0" w:afterAutospacing="0"/>
        <w:jc w:val="both"/>
        <w:rPr>
          <w:color w:val="000000"/>
        </w:rPr>
      </w:pPr>
    </w:p>
    <w:p>
      <w:pPr>
        <w:pStyle w:val="6"/>
        <w:tabs>
          <w:tab w:val="left" w:pos="0"/>
        </w:tabs>
        <w:spacing w:before="0" w:beforeAutospacing="0" w:after="0" w:afterAutospacing="0"/>
        <w:jc w:val="both"/>
        <w:rPr>
          <w:color w:val="000000"/>
        </w:rPr>
      </w:pPr>
    </w:p>
    <w:p>
      <w:pPr>
        <w:pStyle w:val="6"/>
        <w:tabs>
          <w:tab w:val="left" w:pos="0"/>
        </w:tabs>
        <w:spacing w:before="0" w:beforeAutospacing="0" w:after="0" w:afterAutospacing="0"/>
        <w:jc w:val="both"/>
        <w:rPr>
          <w:color w:val="000000"/>
        </w:rPr>
      </w:pPr>
    </w:p>
    <w:p>
      <w:pPr>
        <w:pStyle w:val="6"/>
        <w:tabs>
          <w:tab w:val="left" w:pos="0"/>
        </w:tabs>
        <w:spacing w:before="0" w:beforeAutospacing="0" w:after="0" w:afterAutospacing="0"/>
        <w:jc w:val="both"/>
        <w:rPr>
          <w:color w:val="000000"/>
        </w:rPr>
      </w:pPr>
    </w:p>
    <w:p>
      <w:pPr>
        <w:pStyle w:val="6"/>
        <w:tabs>
          <w:tab w:val="left" w:pos="0"/>
        </w:tabs>
        <w:spacing w:before="0" w:beforeAutospacing="0" w:after="0" w:afterAutospacing="0"/>
        <w:jc w:val="both"/>
        <w:rPr>
          <w:color w:val="000000"/>
        </w:rPr>
      </w:pPr>
    </w:p>
    <w:p>
      <w:pPr>
        <w:pStyle w:val="6"/>
        <w:tabs>
          <w:tab w:val="left" w:pos="0"/>
        </w:tabs>
        <w:spacing w:before="0" w:beforeAutospacing="0" w:after="0" w:afterAutospacing="0"/>
        <w:jc w:val="both"/>
        <w:rPr>
          <w:color w:val="000000"/>
        </w:rPr>
      </w:pPr>
    </w:p>
    <w:p>
      <w:pPr>
        <w:pStyle w:val="6"/>
        <w:tabs>
          <w:tab w:val="left" w:pos="0"/>
        </w:tabs>
        <w:jc w:val="center"/>
        <w:rPr>
          <w:color w:val="000000"/>
          <w:sz w:val="22"/>
          <w:szCs w:val="22"/>
        </w:rPr>
      </w:pPr>
      <w:r>
        <w:rPr>
          <w:color w:val="000000"/>
          <w:sz w:val="22"/>
          <w:szCs w:val="22"/>
        </w:rPr>
        <w:t>Table 2 Data Linearity Test Results X and Y</w:t>
      </w:r>
    </w:p>
    <w:p>
      <w:pPr>
        <w:pStyle w:val="6"/>
        <w:tabs>
          <w:tab w:val="left" w:pos="0"/>
        </w:tabs>
        <w:spacing w:before="0" w:beforeAutospacing="0" w:after="0" w:afterAutospacing="0"/>
        <w:jc w:val="center"/>
        <w:rPr>
          <w:color w:val="000000"/>
        </w:rPr>
      </w:pPr>
      <w:r>
        <w:rPr>
          <w:color w:val="000000"/>
        </w:rPr>
        <w:t>ANOVA Table</w:t>
      </w:r>
    </w:p>
    <w:tbl>
      <w:tblPr>
        <w:tblStyle w:val="9"/>
        <w:tblW w:w="7650" w:type="dxa"/>
        <w:tblInd w:w="615" w:type="dxa"/>
        <w:tblLayout w:type="fixed"/>
        <w:tblCellMar>
          <w:top w:w="0" w:type="dxa"/>
          <w:left w:w="93" w:type="dxa"/>
          <w:bottom w:w="0" w:type="dxa"/>
          <w:right w:w="93" w:type="dxa"/>
        </w:tblCellMar>
      </w:tblPr>
      <w:tblGrid>
        <w:gridCol w:w="1170"/>
        <w:gridCol w:w="1260"/>
        <w:gridCol w:w="1350"/>
        <w:gridCol w:w="990"/>
        <w:gridCol w:w="450"/>
        <w:gridCol w:w="990"/>
        <w:gridCol w:w="810"/>
        <w:gridCol w:w="630"/>
      </w:tblGrid>
      <w:tr>
        <w:tblPrEx>
          <w:tblCellMar>
            <w:top w:w="0" w:type="dxa"/>
            <w:left w:w="93" w:type="dxa"/>
            <w:bottom w:w="0" w:type="dxa"/>
            <w:right w:w="93" w:type="dxa"/>
          </w:tblCellMar>
        </w:tblPrEx>
        <w:trPr>
          <w:trHeight w:val="504" w:hRule="atLeast"/>
        </w:trPr>
        <w:tc>
          <w:tcPr>
            <w:tcW w:w="1170" w:type="dxa"/>
            <w:tcBorders>
              <w:top w:val="single" w:color="000000" w:sz="12" w:space="0"/>
              <w:left w:val="single" w:color="000000" w:sz="12" w:space="0"/>
              <w:bottom w:val="single" w:color="000000" w:sz="12" w:space="0"/>
              <w:right w:val="nil"/>
            </w:tcBorders>
            <w:shd w:val="clear" w:color="000000" w:fill="FFFFFF"/>
            <w:vAlign w:val="bottom"/>
          </w:tcPr>
          <w:p>
            <w:pPr>
              <w:autoSpaceDE w:val="0"/>
              <w:autoSpaceDN w:val="0"/>
              <w:adjustRightInd w:val="0"/>
              <w:spacing w:line="336" w:lineRule="auto"/>
              <w:rPr>
                <w:rFonts w:ascii="Arial" w:hAnsi="Arial" w:cs="Arial"/>
                <w:color w:val="000000"/>
                <w:sz w:val="18"/>
                <w:szCs w:val="18"/>
              </w:rPr>
            </w:pPr>
          </w:p>
        </w:tc>
        <w:tc>
          <w:tcPr>
            <w:tcW w:w="2610" w:type="dxa"/>
            <w:gridSpan w:val="2"/>
            <w:tcBorders>
              <w:top w:val="single" w:color="000000" w:sz="12" w:space="0"/>
              <w:left w:val="nil"/>
              <w:bottom w:val="single" w:color="000000" w:sz="12" w:space="0"/>
              <w:right w:val="single" w:color="000000" w:sz="12" w:space="0"/>
            </w:tcBorders>
            <w:shd w:val="clear" w:color="000000" w:fill="FFFFFF"/>
            <w:vAlign w:val="bottom"/>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 xml:space="preserve"> </w:t>
            </w:r>
          </w:p>
        </w:tc>
        <w:tc>
          <w:tcPr>
            <w:tcW w:w="990" w:type="dxa"/>
            <w:tcBorders>
              <w:top w:val="single" w:color="000000" w:sz="12" w:space="0"/>
              <w:left w:val="single" w:color="000000" w:sz="12" w:space="0"/>
              <w:bottom w:val="single" w:color="000000" w:sz="12" w:space="0"/>
              <w:right w:val="single" w:color="000000" w:sz="2" w:space="0"/>
            </w:tcBorders>
            <w:shd w:val="clear" w:color="000000" w:fill="FFFFFF"/>
            <w:vAlign w:val="bottom"/>
          </w:tcPr>
          <w:p>
            <w:pPr>
              <w:autoSpaceDE w:val="0"/>
              <w:autoSpaceDN w:val="0"/>
              <w:adjustRightInd w:val="0"/>
              <w:spacing w:line="336" w:lineRule="auto"/>
              <w:jc w:val="center"/>
              <w:rPr>
                <w:rFonts w:ascii="Arial" w:hAnsi="Arial" w:cs="Arial"/>
                <w:color w:val="000000"/>
                <w:sz w:val="18"/>
                <w:szCs w:val="18"/>
              </w:rPr>
            </w:pPr>
            <w:r>
              <w:rPr>
                <w:rFonts w:ascii="Arial" w:hAnsi="Arial" w:cs="Arial"/>
                <w:color w:val="000000"/>
                <w:sz w:val="18"/>
                <w:szCs w:val="18"/>
              </w:rPr>
              <w:t>Sum of Squares</w:t>
            </w:r>
          </w:p>
        </w:tc>
        <w:tc>
          <w:tcPr>
            <w:tcW w:w="450" w:type="dxa"/>
            <w:tcBorders>
              <w:top w:val="single" w:color="000000" w:sz="12" w:space="0"/>
              <w:left w:val="single" w:color="000000" w:sz="2" w:space="0"/>
              <w:bottom w:val="single" w:color="000000" w:sz="12" w:space="0"/>
              <w:right w:val="single" w:color="000000" w:sz="2" w:space="0"/>
            </w:tcBorders>
            <w:shd w:val="clear" w:color="000000" w:fill="FFFFFF"/>
            <w:vAlign w:val="bottom"/>
          </w:tcPr>
          <w:p>
            <w:pPr>
              <w:autoSpaceDE w:val="0"/>
              <w:autoSpaceDN w:val="0"/>
              <w:adjustRightInd w:val="0"/>
              <w:spacing w:line="336" w:lineRule="auto"/>
              <w:jc w:val="center"/>
              <w:rPr>
                <w:rFonts w:ascii="Arial" w:hAnsi="Arial" w:cs="Arial"/>
                <w:color w:val="000000"/>
                <w:sz w:val="18"/>
                <w:szCs w:val="18"/>
              </w:rPr>
            </w:pPr>
            <w:r>
              <w:rPr>
                <w:rFonts w:ascii="Arial" w:hAnsi="Arial" w:cs="Arial"/>
                <w:color w:val="000000"/>
                <w:sz w:val="18"/>
                <w:szCs w:val="18"/>
              </w:rPr>
              <w:t>df</w:t>
            </w:r>
          </w:p>
        </w:tc>
        <w:tc>
          <w:tcPr>
            <w:tcW w:w="990" w:type="dxa"/>
            <w:tcBorders>
              <w:top w:val="single" w:color="000000" w:sz="12" w:space="0"/>
              <w:left w:val="single" w:color="000000" w:sz="2" w:space="0"/>
              <w:bottom w:val="single" w:color="000000" w:sz="12" w:space="0"/>
              <w:right w:val="single" w:color="000000" w:sz="2" w:space="0"/>
            </w:tcBorders>
            <w:shd w:val="clear" w:color="000000" w:fill="FFFFFF"/>
            <w:vAlign w:val="bottom"/>
          </w:tcPr>
          <w:p>
            <w:pPr>
              <w:autoSpaceDE w:val="0"/>
              <w:autoSpaceDN w:val="0"/>
              <w:adjustRightInd w:val="0"/>
              <w:spacing w:line="336" w:lineRule="auto"/>
              <w:jc w:val="center"/>
              <w:rPr>
                <w:rFonts w:ascii="Arial" w:hAnsi="Arial" w:cs="Arial"/>
                <w:color w:val="000000"/>
                <w:sz w:val="18"/>
                <w:szCs w:val="18"/>
              </w:rPr>
            </w:pPr>
            <w:r>
              <w:rPr>
                <w:rFonts w:ascii="Arial" w:hAnsi="Arial" w:cs="Arial"/>
                <w:color w:val="000000"/>
                <w:sz w:val="18"/>
                <w:szCs w:val="18"/>
              </w:rPr>
              <w:t>Mean Square</w:t>
            </w:r>
          </w:p>
        </w:tc>
        <w:tc>
          <w:tcPr>
            <w:tcW w:w="810" w:type="dxa"/>
            <w:tcBorders>
              <w:top w:val="single" w:color="000000" w:sz="12" w:space="0"/>
              <w:left w:val="single" w:color="000000" w:sz="2" w:space="0"/>
              <w:bottom w:val="single" w:color="000000" w:sz="12" w:space="0"/>
              <w:right w:val="single" w:color="000000" w:sz="2" w:space="0"/>
            </w:tcBorders>
            <w:shd w:val="clear" w:color="000000" w:fill="FFFFFF"/>
            <w:vAlign w:val="bottom"/>
          </w:tcPr>
          <w:p>
            <w:pPr>
              <w:autoSpaceDE w:val="0"/>
              <w:autoSpaceDN w:val="0"/>
              <w:adjustRightInd w:val="0"/>
              <w:spacing w:line="336" w:lineRule="auto"/>
              <w:jc w:val="center"/>
              <w:rPr>
                <w:rFonts w:ascii="Arial" w:hAnsi="Arial" w:cs="Arial"/>
                <w:color w:val="000000"/>
                <w:sz w:val="18"/>
                <w:szCs w:val="18"/>
              </w:rPr>
            </w:pPr>
            <w:r>
              <w:rPr>
                <w:rFonts w:ascii="Arial" w:hAnsi="Arial" w:cs="Arial"/>
                <w:color w:val="000000"/>
                <w:sz w:val="18"/>
                <w:szCs w:val="18"/>
              </w:rPr>
              <w:t>F</w:t>
            </w:r>
          </w:p>
        </w:tc>
        <w:tc>
          <w:tcPr>
            <w:tcW w:w="630" w:type="dxa"/>
            <w:tcBorders>
              <w:top w:val="single" w:color="000000" w:sz="12" w:space="0"/>
              <w:left w:val="single" w:color="000000" w:sz="2" w:space="0"/>
              <w:bottom w:val="single" w:color="000000" w:sz="12" w:space="0"/>
              <w:right w:val="single" w:color="000000" w:sz="12" w:space="0"/>
            </w:tcBorders>
            <w:shd w:val="clear" w:color="000000" w:fill="FFFFFF"/>
            <w:vAlign w:val="bottom"/>
          </w:tcPr>
          <w:p>
            <w:pPr>
              <w:autoSpaceDE w:val="0"/>
              <w:autoSpaceDN w:val="0"/>
              <w:adjustRightInd w:val="0"/>
              <w:spacing w:line="336" w:lineRule="auto"/>
              <w:jc w:val="center"/>
              <w:rPr>
                <w:rFonts w:ascii="Arial" w:hAnsi="Arial" w:cs="Arial"/>
                <w:color w:val="000000"/>
                <w:sz w:val="18"/>
                <w:szCs w:val="18"/>
              </w:rPr>
            </w:pPr>
            <w:r>
              <w:rPr>
                <w:rFonts w:ascii="Arial" w:hAnsi="Arial" w:cs="Arial"/>
                <w:color w:val="000000"/>
                <w:sz w:val="18"/>
                <w:szCs w:val="18"/>
              </w:rPr>
              <w:t>Sig.</w:t>
            </w:r>
          </w:p>
        </w:tc>
      </w:tr>
      <w:tr>
        <w:tblPrEx>
          <w:tblCellMar>
            <w:top w:w="0" w:type="dxa"/>
            <w:left w:w="93" w:type="dxa"/>
            <w:bottom w:w="0" w:type="dxa"/>
            <w:right w:w="93" w:type="dxa"/>
          </w:tblCellMar>
        </w:tblPrEx>
        <w:trPr>
          <w:trHeight w:val="273" w:hRule="atLeast"/>
        </w:trPr>
        <w:tc>
          <w:tcPr>
            <w:tcW w:w="1170" w:type="dxa"/>
            <w:tcBorders>
              <w:top w:val="single" w:color="000000" w:sz="12" w:space="0"/>
              <w:left w:val="single" w:color="000000" w:sz="12" w:space="0"/>
              <w:bottom w:val="nil"/>
              <w:right w:val="nil"/>
            </w:tcBorders>
            <w:shd w:val="clear" w:color="000000" w:fill="FFFFFF"/>
          </w:tcPr>
          <w:p>
            <w:pPr>
              <w:autoSpaceDE w:val="0"/>
              <w:autoSpaceDN w:val="0"/>
              <w:adjustRightInd w:val="0"/>
              <w:spacing w:line="336" w:lineRule="auto"/>
              <w:rPr>
                <w:rFonts w:ascii="Arial" w:hAnsi="Arial" w:cs="Arial"/>
                <w:color w:val="000000"/>
                <w:sz w:val="18"/>
                <w:szCs w:val="18"/>
              </w:rPr>
            </w:pPr>
            <w:r>
              <w:rPr>
                <w:rFonts w:ascii="Times New Roman" w:hAnsi="Times New Roman" w:cs="Times New Roman"/>
              </w:rPr>
              <w:t xml:space="preserve">Teacher Quality Culture. </w:t>
            </w:r>
            <w:r>
              <w:rPr>
                <w:rFonts w:ascii="Arial" w:hAnsi="Arial" w:cs="Arial"/>
                <w:color w:val="000000"/>
                <w:sz w:val="18"/>
                <w:szCs w:val="18"/>
              </w:rPr>
              <w:t xml:space="preserve"> * Program Teaching Factory</w:t>
            </w:r>
          </w:p>
        </w:tc>
        <w:tc>
          <w:tcPr>
            <w:tcW w:w="1260" w:type="dxa"/>
            <w:tcBorders>
              <w:top w:val="single" w:color="000000" w:sz="12" w:space="0"/>
              <w:left w:val="nil"/>
              <w:bottom w:val="nil"/>
              <w:right w:val="nil"/>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Between Groups</w:t>
            </w:r>
          </w:p>
        </w:tc>
        <w:tc>
          <w:tcPr>
            <w:tcW w:w="1350" w:type="dxa"/>
            <w:tcBorders>
              <w:top w:val="single" w:color="000000" w:sz="12" w:space="0"/>
              <w:left w:val="nil"/>
              <w:bottom w:val="nil"/>
              <w:right w:val="single" w:color="000000" w:sz="12" w:space="0"/>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(Combined)</w:t>
            </w:r>
          </w:p>
        </w:tc>
        <w:tc>
          <w:tcPr>
            <w:tcW w:w="990" w:type="dxa"/>
            <w:tcBorders>
              <w:top w:val="single" w:color="000000" w:sz="12" w:space="0"/>
              <w:left w:val="single" w:color="000000" w:sz="1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5662,568</w:t>
            </w:r>
          </w:p>
        </w:tc>
        <w:tc>
          <w:tcPr>
            <w:tcW w:w="450" w:type="dxa"/>
            <w:tcBorders>
              <w:top w:val="single" w:color="000000" w:sz="12" w:space="0"/>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28</w:t>
            </w:r>
          </w:p>
        </w:tc>
        <w:tc>
          <w:tcPr>
            <w:tcW w:w="990" w:type="dxa"/>
            <w:tcBorders>
              <w:top w:val="single" w:color="000000" w:sz="12" w:space="0"/>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202,235</w:t>
            </w:r>
          </w:p>
        </w:tc>
        <w:tc>
          <w:tcPr>
            <w:tcW w:w="810" w:type="dxa"/>
            <w:tcBorders>
              <w:top w:val="single" w:color="000000" w:sz="12" w:space="0"/>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4,829</w:t>
            </w:r>
          </w:p>
        </w:tc>
        <w:tc>
          <w:tcPr>
            <w:tcW w:w="630" w:type="dxa"/>
            <w:tcBorders>
              <w:top w:val="single" w:color="000000" w:sz="12" w:space="0"/>
              <w:left w:val="single" w:color="000000" w:sz="2" w:space="0"/>
              <w:bottom w:val="nil"/>
              <w:right w:val="single" w:color="000000" w:sz="1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,000</w:t>
            </w:r>
          </w:p>
        </w:tc>
      </w:tr>
      <w:tr>
        <w:tblPrEx>
          <w:tblCellMar>
            <w:top w:w="0" w:type="dxa"/>
            <w:left w:w="93" w:type="dxa"/>
            <w:bottom w:w="0" w:type="dxa"/>
            <w:right w:w="93" w:type="dxa"/>
          </w:tblCellMar>
        </w:tblPrEx>
        <w:trPr>
          <w:trHeight w:val="273" w:hRule="atLeast"/>
        </w:trPr>
        <w:tc>
          <w:tcPr>
            <w:tcW w:w="1170" w:type="dxa"/>
            <w:tcBorders>
              <w:top w:val="nil"/>
              <w:left w:val="single" w:color="000000" w:sz="12" w:space="0"/>
              <w:bottom w:val="nil"/>
              <w:right w:val="nil"/>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 xml:space="preserve"> </w:t>
            </w:r>
          </w:p>
        </w:tc>
        <w:tc>
          <w:tcPr>
            <w:tcW w:w="1260" w:type="dxa"/>
            <w:tcBorders>
              <w:top w:val="nil"/>
              <w:left w:val="nil"/>
              <w:bottom w:val="nil"/>
              <w:right w:val="nil"/>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 xml:space="preserve"> </w:t>
            </w:r>
          </w:p>
        </w:tc>
        <w:tc>
          <w:tcPr>
            <w:tcW w:w="1350" w:type="dxa"/>
            <w:tcBorders>
              <w:top w:val="nil"/>
              <w:left w:val="nil"/>
              <w:bottom w:val="nil"/>
              <w:right w:val="single" w:color="000000" w:sz="12" w:space="0"/>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Linearity</w:t>
            </w:r>
          </w:p>
        </w:tc>
        <w:tc>
          <w:tcPr>
            <w:tcW w:w="990"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4114,214</w:t>
            </w:r>
          </w:p>
        </w:tc>
        <w:tc>
          <w:tcPr>
            <w:tcW w:w="45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1</w:t>
            </w:r>
          </w:p>
        </w:tc>
        <w:tc>
          <w:tcPr>
            <w:tcW w:w="99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4114,214</w:t>
            </w:r>
          </w:p>
        </w:tc>
        <w:tc>
          <w:tcPr>
            <w:tcW w:w="81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98,230</w:t>
            </w:r>
          </w:p>
        </w:tc>
        <w:tc>
          <w:tcPr>
            <w:tcW w:w="630" w:type="dxa"/>
            <w:tcBorders>
              <w:top w:val="nil"/>
              <w:left w:val="single" w:color="000000" w:sz="2" w:space="0"/>
              <w:bottom w:val="nil"/>
              <w:right w:val="single" w:color="000000" w:sz="1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,000</w:t>
            </w:r>
          </w:p>
        </w:tc>
      </w:tr>
      <w:tr>
        <w:tblPrEx>
          <w:tblCellMar>
            <w:top w:w="0" w:type="dxa"/>
            <w:left w:w="93" w:type="dxa"/>
            <w:bottom w:w="0" w:type="dxa"/>
            <w:right w:w="93" w:type="dxa"/>
          </w:tblCellMar>
        </w:tblPrEx>
        <w:trPr>
          <w:trHeight w:val="273" w:hRule="atLeast"/>
        </w:trPr>
        <w:tc>
          <w:tcPr>
            <w:tcW w:w="1170" w:type="dxa"/>
            <w:tcBorders>
              <w:top w:val="nil"/>
              <w:left w:val="single" w:color="000000" w:sz="12" w:space="0"/>
              <w:bottom w:val="nil"/>
              <w:right w:val="nil"/>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 xml:space="preserve"> </w:t>
            </w:r>
          </w:p>
        </w:tc>
        <w:tc>
          <w:tcPr>
            <w:tcW w:w="1260" w:type="dxa"/>
            <w:tcBorders>
              <w:top w:val="nil"/>
              <w:left w:val="nil"/>
              <w:bottom w:val="nil"/>
              <w:right w:val="nil"/>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 xml:space="preserve"> </w:t>
            </w:r>
          </w:p>
        </w:tc>
        <w:tc>
          <w:tcPr>
            <w:tcW w:w="1350" w:type="dxa"/>
            <w:tcBorders>
              <w:top w:val="nil"/>
              <w:left w:val="nil"/>
              <w:bottom w:val="nil"/>
              <w:right w:val="single" w:color="000000" w:sz="12" w:space="0"/>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Deviation from Linearity</w:t>
            </w:r>
          </w:p>
        </w:tc>
        <w:tc>
          <w:tcPr>
            <w:tcW w:w="990"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1548,353</w:t>
            </w:r>
          </w:p>
        </w:tc>
        <w:tc>
          <w:tcPr>
            <w:tcW w:w="45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27</w:t>
            </w:r>
          </w:p>
        </w:tc>
        <w:tc>
          <w:tcPr>
            <w:tcW w:w="99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57,346</w:t>
            </w:r>
          </w:p>
        </w:tc>
        <w:tc>
          <w:tcPr>
            <w:tcW w:w="81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1,369</w:t>
            </w:r>
          </w:p>
        </w:tc>
        <w:tc>
          <w:tcPr>
            <w:tcW w:w="630" w:type="dxa"/>
            <w:tcBorders>
              <w:top w:val="nil"/>
              <w:left w:val="single" w:color="000000" w:sz="2" w:space="0"/>
              <w:bottom w:val="nil"/>
              <w:right w:val="single" w:color="000000" w:sz="1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,166</w:t>
            </w:r>
          </w:p>
        </w:tc>
      </w:tr>
      <w:tr>
        <w:tblPrEx>
          <w:tblCellMar>
            <w:top w:w="0" w:type="dxa"/>
            <w:left w:w="93" w:type="dxa"/>
            <w:bottom w:w="0" w:type="dxa"/>
            <w:right w:w="93" w:type="dxa"/>
          </w:tblCellMar>
        </w:tblPrEx>
        <w:trPr>
          <w:trHeight w:val="273" w:hRule="atLeast"/>
        </w:trPr>
        <w:tc>
          <w:tcPr>
            <w:tcW w:w="1170" w:type="dxa"/>
            <w:tcBorders>
              <w:top w:val="nil"/>
              <w:left w:val="single" w:color="000000" w:sz="12" w:space="0"/>
              <w:bottom w:val="nil"/>
              <w:right w:val="nil"/>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 xml:space="preserve"> </w:t>
            </w:r>
          </w:p>
        </w:tc>
        <w:tc>
          <w:tcPr>
            <w:tcW w:w="2610" w:type="dxa"/>
            <w:gridSpan w:val="2"/>
            <w:tcBorders>
              <w:top w:val="nil"/>
              <w:left w:val="nil"/>
              <w:bottom w:val="nil"/>
              <w:right w:val="single" w:color="000000" w:sz="12" w:space="0"/>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Within Groups</w:t>
            </w:r>
          </w:p>
        </w:tc>
        <w:tc>
          <w:tcPr>
            <w:tcW w:w="990" w:type="dxa"/>
            <w:tcBorders>
              <w:top w:val="nil"/>
              <w:left w:val="single" w:color="000000" w:sz="1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2094,167</w:t>
            </w:r>
          </w:p>
        </w:tc>
        <w:tc>
          <w:tcPr>
            <w:tcW w:w="45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50</w:t>
            </w:r>
          </w:p>
        </w:tc>
        <w:tc>
          <w:tcPr>
            <w:tcW w:w="99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41,883</w:t>
            </w:r>
          </w:p>
        </w:tc>
        <w:tc>
          <w:tcPr>
            <w:tcW w:w="810" w:type="dxa"/>
            <w:tcBorders>
              <w:top w:val="nil"/>
              <w:left w:val="single" w:color="000000" w:sz="2" w:space="0"/>
              <w:bottom w:val="nil"/>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 xml:space="preserve"> </w:t>
            </w:r>
          </w:p>
        </w:tc>
        <w:tc>
          <w:tcPr>
            <w:tcW w:w="630" w:type="dxa"/>
            <w:tcBorders>
              <w:top w:val="nil"/>
              <w:left w:val="single" w:color="000000" w:sz="2" w:space="0"/>
              <w:bottom w:val="nil"/>
              <w:right w:val="single" w:color="000000" w:sz="1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 xml:space="preserve"> </w:t>
            </w:r>
          </w:p>
        </w:tc>
      </w:tr>
      <w:tr>
        <w:tblPrEx>
          <w:tblCellMar>
            <w:top w:w="0" w:type="dxa"/>
            <w:left w:w="93" w:type="dxa"/>
            <w:bottom w:w="0" w:type="dxa"/>
            <w:right w:w="93" w:type="dxa"/>
          </w:tblCellMar>
        </w:tblPrEx>
        <w:trPr>
          <w:trHeight w:val="273" w:hRule="atLeast"/>
        </w:trPr>
        <w:tc>
          <w:tcPr>
            <w:tcW w:w="1170" w:type="dxa"/>
            <w:tcBorders>
              <w:top w:val="nil"/>
              <w:left w:val="single" w:color="000000" w:sz="12" w:space="0"/>
              <w:bottom w:val="single" w:color="000000" w:sz="12" w:space="0"/>
              <w:right w:val="nil"/>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 xml:space="preserve"> </w:t>
            </w:r>
          </w:p>
        </w:tc>
        <w:tc>
          <w:tcPr>
            <w:tcW w:w="2610" w:type="dxa"/>
            <w:gridSpan w:val="2"/>
            <w:tcBorders>
              <w:top w:val="nil"/>
              <w:left w:val="nil"/>
              <w:bottom w:val="single" w:color="000000" w:sz="12" w:space="0"/>
              <w:right w:val="single" w:color="000000" w:sz="12" w:space="0"/>
            </w:tcBorders>
            <w:shd w:val="clear" w:color="000000" w:fill="FFFFFF"/>
          </w:tcPr>
          <w:p>
            <w:pPr>
              <w:autoSpaceDE w:val="0"/>
              <w:autoSpaceDN w:val="0"/>
              <w:adjustRightInd w:val="0"/>
              <w:spacing w:line="336" w:lineRule="auto"/>
              <w:rPr>
                <w:rFonts w:ascii="Arial" w:hAnsi="Arial" w:cs="Arial"/>
                <w:color w:val="000000"/>
                <w:sz w:val="18"/>
                <w:szCs w:val="18"/>
              </w:rPr>
            </w:pPr>
            <w:r>
              <w:rPr>
                <w:rFonts w:ascii="Arial" w:hAnsi="Arial" w:cs="Arial"/>
                <w:color w:val="000000"/>
                <w:sz w:val="18"/>
                <w:szCs w:val="18"/>
              </w:rPr>
              <w:t>Total</w:t>
            </w:r>
          </w:p>
        </w:tc>
        <w:tc>
          <w:tcPr>
            <w:tcW w:w="990" w:type="dxa"/>
            <w:tcBorders>
              <w:top w:val="nil"/>
              <w:left w:val="single" w:color="000000" w:sz="12" w:space="0"/>
              <w:bottom w:val="single" w:color="000000" w:sz="12" w:space="0"/>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7756,734</w:t>
            </w:r>
          </w:p>
        </w:tc>
        <w:tc>
          <w:tcPr>
            <w:tcW w:w="450" w:type="dxa"/>
            <w:tcBorders>
              <w:top w:val="nil"/>
              <w:left w:val="single" w:color="000000" w:sz="2" w:space="0"/>
              <w:bottom w:val="single" w:color="000000" w:sz="12" w:space="0"/>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78</w:t>
            </w:r>
          </w:p>
        </w:tc>
        <w:tc>
          <w:tcPr>
            <w:tcW w:w="990" w:type="dxa"/>
            <w:tcBorders>
              <w:top w:val="nil"/>
              <w:left w:val="single" w:color="000000" w:sz="2" w:space="0"/>
              <w:bottom w:val="single" w:color="000000" w:sz="12" w:space="0"/>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 xml:space="preserve"> </w:t>
            </w:r>
          </w:p>
        </w:tc>
        <w:tc>
          <w:tcPr>
            <w:tcW w:w="810" w:type="dxa"/>
            <w:tcBorders>
              <w:top w:val="nil"/>
              <w:left w:val="single" w:color="000000" w:sz="2" w:space="0"/>
              <w:bottom w:val="single" w:color="000000" w:sz="12" w:space="0"/>
              <w:right w:val="single" w:color="000000" w:sz="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 xml:space="preserve"> </w:t>
            </w:r>
          </w:p>
        </w:tc>
        <w:tc>
          <w:tcPr>
            <w:tcW w:w="630" w:type="dxa"/>
            <w:tcBorders>
              <w:top w:val="nil"/>
              <w:left w:val="single" w:color="000000" w:sz="2" w:space="0"/>
              <w:bottom w:val="single" w:color="000000" w:sz="12" w:space="0"/>
              <w:right w:val="single" w:color="000000" w:sz="12" w:space="0"/>
            </w:tcBorders>
            <w:shd w:val="clear" w:color="000000" w:fill="FFFFFF"/>
            <w:vAlign w:val="center"/>
          </w:tcPr>
          <w:p>
            <w:pPr>
              <w:autoSpaceDE w:val="0"/>
              <w:autoSpaceDN w:val="0"/>
              <w:adjustRightInd w:val="0"/>
              <w:spacing w:line="336" w:lineRule="auto"/>
              <w:jc w:val="right"/>
              <w:rPr>
                <w:rFonts w:ascii="Arial" w:hAnsi="Arial" w:cs="Arial"/>
                <w:color w:val="000000"/>
                <w:sz w:val="18"/>
                <w:szCs w:val="18"/>
              </w:rPr>
            </w:pPr>
            <w:r>
              <w:rPr>
                <w:rFonts w:ascii="Arial" w:hAnsi="Arial" w:cs="Arial"/>
                <w:color w:val="000000"/>
                <w:sz w:val="18"/>
                <w:szCs w:val="18"/>
              </w:rPr>
              <w:t xml:space="preserve"> </w:t>
            </w:r>
          </w:p>
        </w:tc>
      </w:tr>
    </w:tbl>
    <w:p>
      <w:pPr>
        <w:pStyle w:val="10"/>
        <w:jc w:val="both"/>
        <w:rPr>
          <w:rFonts w:ascii="Times New Roman" w:hAnsi="Times New Roman" w:cs="Times New Roman"/>
        </w:rPr>
      </w:pPr>
    </w:p>
    <w:p>
      <w:pPr>
        <w:pStyle w:val="10"/>
        <w:jc w:val="both"/>
        <w:rPr>
          <w:rFonts w:ascii="Times New Roman" w:hAnsi="Times New Roman" w:cs="Times New Roman"/>
        </w:rPr>
      </w:pPr>
      <w:r>
        <w:rPr>
          <w:rFonts w:ascii="Times New Roman" w:hAnsi="Times New Roman" w:cs="Times New Roman"/>
        </w:rPr>
        <w:t>Based on the results of the calculation of the linearity test of teacher quality culture motivation data with the effectiveness of the teaching factory program contained in Table 2, it can be seen that the value of Deviation from linearity Sig. amounted to 0.166. This shows that the cultural variable of teacher quality and the effectiveness of the teaching factory program has a linear relationship because the value of Dviation from linearity Sig. amounting to 0.166&gt; 0.05.</w:t>
      </w:r>
    </w:p>
    <w:p>
      <w:pPr>
        <w:pStyle w:val="10"/>
        <w:jc w:val="both"/>
        <w:rPr>
          <w:rFonts w:ascii="Times New Roman" w:hAnsi="Times New Roman" w:cs="Times New Roman"/>
        </w:rPr>
      </w:pPr>
    </w:p>
    <w:p>
      <w:pPr>
        <w:pStyle w:val="10"/>
        <w:jc w:val="both"/>
        <w:rPr>
          <w:rFonts w:ascii="Times New Roman" w:hAnsi="Times New Roman" w:cs="Times New Roman"/>
          <w:i/>
          <w:iCs/>
        </w:rPr>
      </w:pPr>
      <w:r>
        <w:rPr>
          <w:rFonts w:ascii="Times New Roman" w:hAnsi="Times New Roman" w:cs="Times New Roman"/>
          <w:i/>
          <w:iCs/>
        </w:rPr>
        <w:t>3.1.1. Hypothesis Testing Results</w:t>
      </w:r>
    </w:p>
    <w:p>
      <w:pPr>
        <w:pStyle w:val="10"/>
        <w:jc w:val="both"/>
        <w:rPr>
          <w:rFonts w:ascii="Times New Roman" w:hAnsi="Times New Roman" w:cs="Times New Roman"/>
        </w:rPr>
      </w:pPr>
      <w:r>
        <w:rPr>
          <w:rFonts w:ascii="Times New Roman" w:hAnsi="Times New Roman" w:cs="Times New Roman"/>
        </w:rPr>
        <w:t>The results of the final analysis in this study consisted of the results of simple linear regression analysis obtained by the regression line equation Y = 22.875 + 0.789 X, obtained the value of R = 0.728, R2 = 0.530 followed by the t test, the obtained value t = 9.326 with a significance of 0.000 as in the following table.</w:t>
      </w:r>
    </w:p>
    <w:p>
      <w:pPr>
        <w:tabs>
          <w:tab w:val="center" w:pos="4262"/>
        </w:tabs>
        <w:autoSpaceDE w:val="0"/>
        <w:autoSpaceDN w:val="0"/>
        <w:adjustRightInd w:val="0"/>
        <w:jc w:val="center"/>
        <w:rPr>
          <w:rFonts w:ascii="Arial" w:hAnsi="Arial" w:cs="Arial"/>
          <w:b/>
          <w:bCs/>
          <w:color w:val="000000"/>
          <w:sz w:val="18"/>
          <w:szCs w:val="18"/>
        </w:rPr>
      </w:pPr>
    </w:p>
    <w:p>
      <w:pPr>
        <w:pStyle w:val="6"/>
        <w:tabs>
          <w:tab w:val="left" w:pos="0"/>
        </w:tabs>
        <w:jc w:val="center"/>
        <w:rPr>
          <w:rFonts w:ascii="Arial" w:hAnsi="Arial" w:cs="Arial"/>
          <w:b/>
          <w:bCs/>
          <w:color w:val="000000"/>
          <w:sz w:val="18"/>
          <w:szCs w:val="18"/>
        </w:rPr>
      </w:pPr>
      <w:r>
        <w:rPr>
          <w:color w:val="000000"/>
          <w:sz w:val="22"/>
          <w:szCs w:val="22"/>
        </w:rPr>
        <w:t xml:space="preserve">Table </w:t>
      </w:r>
      <w:r>
        <w:rPr>
          <w:rFonts w:hint="default"/>
          <w:color w:val="000000"/>
          <w:sz w:val="22"/>
          <w:szCs w:val="22"/>
          <w:lang w:val="en-US"/>
        </w:rPr>
        <w:t xml:space="preserve">3 </w:t>
      </w:r>
      <w:r>
        <w:rPr>
          <w:rFonts w:ascii="Arial" w:hAnsi="Arial" w:cs="Arial"/>
          <w:b/>
          <w:bCs/>
          <w:color w:val="000000"/>
          <w:sz w:val="18"/>
          <w:szCs w:val="18"/>
        </w:rPr>
        <w:t>Coefficients(a)</w:t>
      </w:r>
    </w:p>
    <w:p>
      <w:pPr>
        <w:tabs>
          <w:tab w:val="center" w:pos="4262"/>
        </w:tabs>
        <w:autoSpaceDE w:val="0"/>
        <w:autoSpaceDN w:val="0"/>
        <w:adjustRightInd w:val="0"/>
        <w:jc w:val="center"/>
        <w:rPr>
          <w:rFonts w:ascii="Arial" w:hAnsi="Arial" w:cs="Arial"/>
          <w:b/>
          <w:bCs/>
          <w:color w:val="000000"/>
          <w:sz w:val="18"/>
          <w:szCs w:val="18"/>
        </w:rPr>
      </w:pPr>
    </w:p>
    <w:tbl>
      <w:tblPr>
        <w:tblStyle w:val="9"/>
        <w:tblW w:w="7304" w:type="dxa"/>
        <w:tblInd w:w="705" w:type="dxa"/>
        <w:tblLayout w:type="fixed"/>
        <w:tblCellMar>
          <w:top w:w="0" w:type="dxa"/>
          <w:left w:w="93" w:type="dxa"/>
          <w:bottom w:w="0" w:type="dxa"/>
          <w:right w:w="93" w:type="dxa"/>
        </w:tblCellMar>
      </w:tblPr>
      <w:tblGrid>
        <w:gridCol w:w="763"/>
        <w:gridCol w:w="1037"/>
        <w:gridCol w:w="900"/>
        <w:gridCol w:w="990"/>
        <w:gridCol w:w="1454"/>
        <w:gridCol w:w="1080"/>
        <w:gridCol w:w="1080"/>
      </w:tblGrid>
      <w:tr>
        <w:tblPrEx>
          <w:tblCellMar>
            <w:top w:w="0" w:type="dxa"/>
            <w:left w:w="93" w:type="dxa"/>
            <w:bottom w:w="0" w:type="dxa"/>
            <w:right w:w="93" w:type="dxa"/>
          </w:tblCellMar>
        </w:tblPrEx>
        <w:trPr>
          <w:trHeight w:val="388" w:hRule="atLeast"/>
        </w:trPr>
        <w:tc>
          <w:tcPr>
            <w:tcW w:w="763" w:type="dxa"/>
            <w:tcBorders>
              <w:top w:val="single" w:color="000000" w:sz="12" w:space="0"/>
              <w:left w:val="single" w:color="000000" w:sz="12" w:space="0"/>
              <w:bottom w:val="single" w:color="000000" w:sz="12" w:space="0"/>
              <w:right w:val="nil"/>
            </w:tcBorders>
            <w:shd w:val="clear" w:color="000000" w:fill="FFFFFF"/>
            <w:vAlign w:val="bottom"/>
          </w:tcPr>
          <w:p>
            <w:pPr>
              <w:autoSpaceDE w:val="0"/>
              <w:autoSpaceDN w:val="0"/>
              <w:adjustRightInd w:val="0"/>
              <w:rPr>
                <w:rFonts w:ascii="Arial" w:hAnsi="Arial" w:cs="Arial"/>
                <w:color w:val="000000"/>
                <w:sz w:val="18"/>
                <w:szCs w:val="18"/>
              </w:rPr>
            </w:pPr>
            <w:r>
              <w:rPr>
                <w:rFonts w:ascii="Arial" w:hAnsi="Arial" w:cs="Arial"/>
                <w:color w:val="000000"/>
                <w:sz w:val="18"/>
                <w:szCs w:val="18"/>
              </w:rPr>
              <w:t>Model</w:t>
            </w:r>
          </w:p>
        </w:tc>
        <w:tc>
          <w:tcPr>
            <w:tcW w:w="1037" w:type="dxa"/>
            <w:tcBorders>
              <w:top w:val="single" w:color="000000" w:sz="12" w:space="0"/>
              <w:left w:val="nil"/>
              <w:bottom w:val="single" w:color="000000" w:sz="12" w:space="0"/>
              <w:right w:val="single" w:color="000000" w:sz="12" w:space="0"/>
            </w:tcBorders>
            <w:shd w:val="clear" w:color="000000" w:fill="FFFFFF"/>
            <w:vAlign w:val="bottom"/>
          </w:tcPr>
          <w:p>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1890" w:type="dxa"/>
            <w:gridSpan w:val="2"/>
            <w:tcBorders>
              <w:top w:val="single" w:color="000000" w:sz="12" w:space="0"/>
              <w:left w:val="single" w:color="000000" w:sz="12" w:space="0"/>
              <w:bottom w:val="single" w:color="000000" w:sz="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color="000000" w:sz="1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color="000000" w:sz="12" w:space="0"/>
              <w:left w:val="single" w:color="000000" w:sz="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color="000000" w:sz="12" w:space="0"/>
              <w:left w:val="single" w:color="000000" w:sz="2" w:space="0"/>
              <w:right w:val="single" w:color="000000" w:sz="1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Sig.</w:t>
            </w:r>
          </w:p>
        </w:tc>
      </w:tr>
      <w:tr>
        <w:tblPrEx>
          <w:tblCellMar>
            <w:top w:w="0" w:type="dxa"/>
            <w:left w:w="93" w:type="dxa"/>
            <w:bottom w:w="0" w:type="dxa"/>
            <w:right w:w="93" w:type="dxa"/>
          </w:tblCellMar>
        </w:tblPrEx>
        <w:trPr>
          <w:trHeight w:val="388" w:hRule="atLeast"/>
        </w:trPr>
        <w:tc>
          <w:tcPr>
            <w:tcW w:w="763" w:type="dxa"/>
            <w:tcBorders>
              <w:top w:val="nil"/>
              <w:left w:val="single" w:color="000000" w:sz="12" w:space="0"/>
              <w:bottom w:val="single" w:color="000000" w:sz="12" w:space="0"/>
              <w:right w:val="nil"/>
            </w:tcBorders>
            <w:shd w:val="clear" w:color="000000" w:fill="FFFFFF"/>
            <w:vAlign w:val="bottom"/>
          </w:tcPr>
          <w:p>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1037" w:type="dxa"/>
            <w:tcBorders>
              <w:top w:val="nil"/>
              <w:left w:val="nil"/>
              <w:bottom w:val="single" w:color="000000" w:sz="12" w:space="0"/>
              <w:right w:val="single" w:color="000000" w:sz="12" w:space="0"/>
            </w:tcBorders>
            <w:shd w:val="clear" w:color="000000" w:fill="FFFFFF"/>
            <w:vAlign w:val="bottom"/>
          </w:tcPr>
          <w:p>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900" w:type="dxa"/>
            <w:tcBorders>
              <w:top w:val="single" w:color="000000" w:sz="2" w:space="0"/>
              <w:left w:val="single" w:color="000000" w:sz="1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B</w:t>
            </w:r>
          </w:p>
        </w:tc>
        <w:tc>
          <w:tcPr>
            <w:tcW w:w="990" w:type="dxa"/>
            <w:tcBorders>
              <w:top w:val="single" w:color="000000" w:sz="2" w:space="0"/>
              <w:left w:val="single" w:color="000000" w:sz="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color="000000" w:sz="2" w:space="0"/>
              <w:left w:val="single" w:color="000000" w:sz="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Beta</w:t>
            </w:r>
          </w:p>
        </w:tc>
        <w:tc>
          <w:tcPr>
            <w:tcW w:w="1080" w:type="dxa"/>
            <w:vMerge w:val="continue"/>
            <w:tcBorders>
              <w:left w:val="single" w:color="000000" w:sz="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p>
        </w:tc>
        <w:tc>
          <w:tcPr>
            <w:tcW w:w="1080" w:type="dxa"/>
            <w:vMerge w:val="continue"/>
            <w:tcBorders>
              <w:left w:val="single" w:color="000000" w:sz="2" w:space="0"/>
              <w:bottom w:val="single" w:color="000000" w:sz="12" w:space="0"/>
              <w:right w:val="single" w:color="000000" w:sz="12" w:space="0"/>
            </w:tcBorders>
            <w:shd w:val="clear" w:color="000000" w:fill="FFFFFF"/>
            <w:vAlign w:val="bottom"/>
          </w:tcPr>
          <w:p>
            <w:pPr>
              <w:autoSpaceDE w:val="0"/>
              <w:autoSpaceDN w:val="0"/>
              <w:adjustRightInd w:val="0"/>
              <w:jc w:val="center"/>
              <w:rPr>
                <w:rFonts w:ascii="Arial" w:hAnsi="Arial" w:cs="Arial"/>
                <w:color w:val="000000"/>
                <w:sz w:val="18"/>
                <w:szCs w:val="18"/>
              </w:rPr>
            </w:pPr>
          </w:p>
        </w:tc>
      </w:tr>
      <w:tr>
        <w:tblPrEx>
          <w:tblCellMar>
            <w:top w:w="0" w:type="dxa"/>
            <w:left w:w="93" w:type="dxa"/>
            <w:bottom w:w="0" w:type="dxa"/>
            <w:right w:w="93" w:type="dxa"/>
          </w:tblCellMar>
        </w:tblPrEx>
        <w:trPr>
          <w:trHeight w:val="273" w:hRule="atLeast"/>
        </w:trPr>
        <w:tc>
          <w:tcPr>
            <w:tcW w:w="763" w:type="dxa"/>
            <w:tcBorders>
              <w:top w:val="single" w:color="000000" w:sz="12" w:space="0"/>
              <w:left w:val="single" w:color="000000" w:sz="12" w:space="0"/>
              <w:bottom w:val="nil"/>
              <w:right w:val="nil"/>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1</w:t>
            </w:r>
          </w:p>
        </w:tc>
        <w:tc>
          <w:tcPr>
            <w:tcW w:w="1037" w:type="dxa"/>
            <w:tcBorders>
              <w:top w:val="single" w:color="000000" w:sz="12" w:space="0"/>
              <w:left w:val="nil"/>
              <w:bottom w:val="nil"/>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(Constant)</w:t>
            </w:r>
          </w:p>
        </w:tc>
        <w:tc>
          <w:tcPr>
            <w:tcW w:w="900" w:type="dxa"/>
            <w:tcBorders>
              <w:top w:val="single" w:color="000000" w:sz="12" w:space="0"/>
              <w:left w:val="single" w:color="000000" w:sz="1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22,875</w:t>
            </w:r>
          </w:p>
        </w:tc>
        <w:tc>
          <w:tcPr>
            <w:tcW w:w="990" w:type="dxa"/>
            <w:tcBorders>
              <w:top w:val="single" w:color="000000" w:sz="12" w:space="0"/>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8,640</w:t>
            </w:r>
          </w:p>
        </w:tc>
        <w:tc>
          <w:tcPr>
            <w:tcW w:w="1454" w:type="dxa"/>
            <w:tcBorders>
              <w:top w:val="single" w:color="000000" w:sz="12" w:space="0"/>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color="000000" w:sz="12" w:space="0"/>
              <w:left w:val="single" w:color="000000" w:sz="2" w:space="0"/>
              <w:bottom w:val="nil"/>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2,648</w:t>
            </w:r>
          </w:p>
        </w:tc>
        <w:tc>
          <w:tcPr>
            <w:tcW w:w="1080" w:type="dxa"/>
            <w:tcBorders>
              <w:top w:val="single" w:color="000000" w:sz="12" w:space="0"/>
              <w:left w:val="single" w:color="000000" w:sz="2" w:space="0"/>
              <w:bottom w:val="nil"/>
              <w:right w:val="single" w:color="000000" w:sz="1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,010</w:t>
            </w:r>
          </w:p>
        </w:tc>
      </w:tr>
      <w:tr>
        <w:tblPrEx>
          <w:tblCellMar>
            <w:top w:w="0" w:type="dxa"/>
            <w:left w:w="93" w:type="dxa"/>
            <w:bottom w:w="0" w:type="dxa"/>
            <w:right w:w="93" w:type="dxa"/>
          </w:tblCellMar>
        </w:tblPrEx>
        <w:trPr>
          <w:trHeight w:val="504" w:hRule="atLeast"/>
        </w:trPr>
        <w:tc>
          <w:tcPr>
            <w:tcW w:w="763" w:type="dxa"/>
            <w:tcBorders>
              <w:top w:val="nil"/>
              <w:left w:val="single" w:color="000000" w:sz="12" w:space="0"/>
              <w:bottom w:val="single" w:color="000000" w:sz="12" w:space="0"/>
              <w:right w:val="nil"/>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1037" w:type="dxa"/>
            <w:tcBorders>
              <w:top w:val="nil"/>
              <w:left w:val="nil"/>
              <w:bottom w:val="single" w:color="000000" w:sz="12" w:space="0"/>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Program Teaching Factory</w:t>
            </w:r>
          </w:p>
        </w:tc>
        <w:tc>
          <w:tcPr>
            <w:tcW w:w="900" w:type="dxa"/>
            <w:tcBorders>
              <w:top w:val="nil"/>
              <w:left w:val="single" w:color="000000" w:sz="1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,789</w:t>
            </w:r>
          </w:p>
        </w:tc>
        <w:tc>
          <w:tcPr>
            <w:tcW w:w="990" w:type="dxa"/>
            <w:tcBorders>
              <w:top w:val="nil"/>
              <w:left w:val="single" w:color="000000" w:sz="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,085</w:t>
            </w:r>
          </w:p>
        </w:tc>
        <w:tc>
          <w:tcPr>
            <w:tcW w:w="1454" w:type="dxa"/>
            <w:tcBorders>
              <w:top w:val="nil"/>
              <w:left w:val="single" w:color="000000" w:sz="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,728</w:t>
            </w:r>
          </w:p>
        </w:tc>
        <w:tc>
          <w:tcPr>
            <w:tcW w:w="1080" w:type="dxa"/>
            <w:tcBorders>
              <w:top w:val="nil"/>
              <w:left w:val="single" w:color="000000" w:sz="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9,326</w:t>
            </w:r>
          </w:p>
        </w:tc>
        <w:tc>
          <w:tcPr>
            <w:tcW w:w="1080" w:type="dxa"/>
            <w:tcBorders>
              <w:top w:val="nil"/>
              <w:left w:val="single" w:color="000000" w:sz="2" w:space="0"/>
              <w:bottom w:val="single" w:color="000000" w:sz="12" w:space="0"/>
              <w:right w:val="single" w:color="000000" w:sz="1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,000</w:t>
            </w:r>
          </w:p>
        </w:tc>
      </w:tr>
    </w:tbl>
    <w:p>
      <w:pPr>
        <w:pStyle w:val="10"/>
        <w:jc w:val="both"/>
        <w:rPr>
          <w:rFonts w:ascii="Times New Roman" w:hAnsi="Times New Roman" w:cs="Times New Roman"/>
        </w:rPr>
      </w:pPr>
    </w:p>
    <w:p>
      <w:pPr>
        <w:pStyle w:val="10"/>
        <w:jc w:val="both"/>
        <w:rPr>
          <w:rFonts w:ascii="Times New Roman" w:hAnsi="Times New Roman" w:cs="Times New Roman"/>
        </w:rPr>
      </w:pPr>
      <w:r>
        <w:rPr>
          <w:rFonts w:ascii="Times New Roman" w:hAnsi="Times New Roman" w:cs="Times New Roman"/>
        </w:rPr>
        <w:t>a Dependent Variable: Teacher Quality Culture</w:t>
      </w:r>
    </w:p>
    <w:p>
      <w:pPr>
        <w:pStyle w:val="10"/>
        <w:jc w:val="both"/>
        <w:rPr>
          <w:rFonts w:ascii="Times New Roman" w:hAnsi="Times New Roman" w:cs="Times New Roman"/>
        </w:rPr>
      </w:pPr>
    </w:p>
    <w:p>
      <w:pPr>
        <w:pStyle w:val="10"/>
        <w:jc w:val="both"/>
        <w:rPr>
          <w:rFonts w:ascii="Times New Roman" w:hAnsi="Times New Roman" w:cs="Times New Roman"/>
        </w:rPr>
      </w:pPr>
      <w:r>
        <w:rPr>
          <w:rFonts w:ascii="Times New Roman" w:hAnsi="Times New Roman" w:cs="Times New Roman"/>
        </w:rPr>
        <w:t>From the above calculations, it is found that the teaching factory program has a positive and significant effect on the culture of teacher quality.</w:t>
      </w:r>
    </w:p>
    <w:p>
      <w:pPr>
        <w:pStyle w:val="10"/>
        <w:jc w:val="both"/>
        <w:rPr>
          <w:rFonts w:ascii="Times New Roman" w:hAnsi="Times New Roman" w:cs="Times New Roman"/>
        </w:rPr>
      </w:pPr>
    </w:p>
    <w:p>
      <w:pPr>
        <w:pStyle w:val="10"/>
        <w:jc w:val="both"/>
        <w:rPr>
          <w:rFonts w:ascii="Times New Roman" w:hAnsi="Times New Roman" w:cs="Times New Roman"/>
        </w:rPr>
      </w:pPr>
    </w:p>
    <w:p>
      <w:pPr>
        <w:pStyle w:val="10"/>
        <w:jc w:val="both"/>
        <w:rPr>
          <w:rFonts w:ascii="Times New Roman" w:hAnsi="Times New Roman" w:cs="Times New Roman"/>
        </w:rPr>
      </w:pPr>
    </w:p>
    <w:p>
      <w:pPr>
        <w:pStyle w:val="10"/>
        <w:jc w:val="both"/>
        <w:rPr>
          <w:rFonts w:ascii="Times New Roman" w:hAnsi="Times New Roman" w:cs="Times New Roman"/>
        </w:rPr>
      </w:pPr>
    </w:p>
    <w:p>
      <w:pPr>
        <w:pStyle w:val="10"/>
        <w:jc w:val="both"/>
        <w:rPr>
          <w:rFonts w:ascii="Times New Roman" w:hAnsi="Times New Roman" w:cs="Times New Roman"/>
        </w:rPr>
      </w:pPr>
    </w:p>
    <w:p>
      <w:pPr>
        <w:pStyle w:val="10"/>
        <w:jc w:val="both"/>
        <w:rPr>
          <w:rFonts w:ascii="Times New Roman" w:hAnsi="Times New Roman" w:cs="Times New Roman"/>
        </w:rPr>
      </w:pPr>
    </w:p>
    <w:p>
      <w:pPr>
        <w:pStyle w:val="10"/>
        <w:jc w:val="center"/>
        <w:rPr>
          <w:rFonts w:ascii="Times New Roman" w:hAnsi="Times New Roman" w:cs="Times New Roman"/>
        </w:rPr>
      </w:pPr>
      <w:r>
        <w:rPr>
          <w:rFonts w:ascii="Times New Roman" w:hAnsi="Times New Roman" w:cs="Times New Roman"/>
        </w:rPr>
        <w:t>Table 4 Results of Correlation Analysis of Determination X and Y</w:t>
      </w:r>
    </w:p>
    <w:p>
      <w:pPr>
        <w:pStyle w:val="10"/>
        <w:jc w:val="center"/>
        <w:rPr>
          <w:rFonts w:ascii="Times New Roman" w:hAnsi="Times New Roman" w:cs="Times New Roman"/>
        </w:rPr>
      </w:pPr>
      <w:r>
        <w:rPr>
          <w:rFonts w:ascii="Times New Roman" w:hAnsi="Times New Roman" w:cs="Times New Roman"/>
        </w:rPr>
        <w:t xml:space="preserve"> Summary Model</w:t>
      </w:r>
    </w:p>
    <w:p>
      <w:pPr>
        <w:pStyle w:val="10"/>
        <w:rPr>
          <w:rFonts w:ascii="Times New Roman" w:hAnsi="Times New Roman" w:cs="Times New Roman"/>
        </w:rPr>
      </w:pPr>
      <w:r>
        <w:rPr>
          <w:rFonts w:ascii="Times New Roman" w:hAnsi="Times New Roman" w:cs="Times New Roman"/>
        </w:rPr>
        <w:t xml:space="preserve"> </w:t>
      </w:r>
    </w:p>
    <w:tbl>
      <w:tblPr>
        <w:tblStyle w:val="9"/>
        <w:tblW w:w="0" w:type="auto"/>
        <w:tblInd w:w="1110" w:type="dxa"/>
        <w:tblLayout w:type="fixed"/>
        <w:tblCellMar>
          <w:top w:w="0" w:type="dxa"/>
          <w:left w:w="93" w:type="dxa"/>
          <w:bottom w:w="0" w:type="dxa"/>
          <w:right w:w="93" w:type="dxa"/>
        </w:tblCellMar>
      </w:tblPr>
      <w:tblGrid>
        <w:gridCol w:w="990"/>
        <w:gridCol w:w="1260"/>
        <w:gridCol w:w="1350"/>
        <w:gridCol w:w="1710"/>
        <w:gridCol w:w="1833"/>
      </w:tblGrid>
      <w:tr>
        <w:tblPrEx>
          <w:tblCellMar>
            <w:top w:w="0" w:type="dxa"/>
            <w:left w:w="93" w:type="dxa"/>
            <w:bottom w:w="0" w:type="dxa"/>
            <w:right w:w="93" w:type="dxa"/>
          </w:tblCellMar>
        </w:tblPrEx>
        <w:trPr>
          <w:trHeight w:val="504" w:hRule="atLeast"/>
        </w:trPr>
        <w:tc>
          <w:tcPr>
            <w:tcW w:w="990" w:type="dxa"/>
            <w:tcBorders>
              <w:top w:val="single" w:color="000000" w:sz="12" w:space="0"/>
              <w:left w:val="single" w:color="000000" w:sz="12" w:space="0"/>
              <w:bottom w:val="single" w:color="000000" w:sz="12" w:space="0"/>
              <w:right w:val="single" w:color="000000" w:sz="12" w:space="0"/>
            </w:tcBorders>
            <w:shd w:val="clear" w:color="000000" w:fill="FFFFFF"/>
            <w:vAlign w:val="bottom"/>
          </w:tcPr>
          <w:p>
            <w:pPr>
              <w:autoSpaceDE w:val="0"/>
              <w:autoSpaceDN w:val="0"/>
              <w:adjustRightInd w:val="0"/>
              <w:rPr>
                <w:rFonts w:ascii="Arial" w:hAnsi="Arial" w:cs="Arial"/>
                <w:color w:val="000000"/>
                <w:sz w:val="18"/>
                <w:szCs w:val="18"/>
              </w:rPr>
            </w:pPr>
            <w:r>
              <w:rPr>
                <w:rFonts w:ascii="Arial" w:hAnsi="Arial" w:cs="Arial"/>
                <w:color w:val="000000"/>
                <w:sz w:val="18"/>
                <w:szCs w:val="18"/>
              </w:rPr>
              <w:t>Model</w:t>
            </w:r>
          </w:p>
        </w:tc>
        <w:tc>
          <w:tcPr>
            <w:tcW w:w="1260" w:type="dxa"/>
            <w:tcBorders>
              <w:top w:val="single" w:color="000000" w:sz="12" w:space="0"/>
              <w:left w:val="single" w:color="000000" w:sz="1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R</w:t>
            </w:r>
          </w:p>
        </w:tc>
        <w:tc>
          <w:tcPr>
            <w:tcW w:w="1350" w:type="dxa"/>
            <w:tcBorders>
              <w:top w:val="single" w:color="000000" w:sz="12" w:space="0"/>
              <w:left w:val="single" w:color="000000" w:sz="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R Square</w:t>
            </w:r>
          </w:p>
        </w:tc>
        <w:tc>
          <w:tcPr>
            <w:tcW w:w="1710" w:type="dxa"/>
            <w:tcBorders>
              <w:top w:val="single" w:color="000000" w:sz="12" w:space="0"/>
              <w:left w:val="single" w:color="000000" w:sz="2" w:space="0"/>
              <w:bottom w:val="single" w:color="000000" w:sz="12" w:space="0"/>
              <w:right w:val="single" w:color="000000" w:sz="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Adjusted R Square</w:t>
            </w:r>
          </w:p>
        </w:tc>
        <w:tc>
          <w:tcPr>
            <w:tcW w:w="1833" w:type="dxa"/>
            <w:tcBorders>
              <w:top w:val="single" w:color="000000" w:sz="12" w:space="0"/>
              <w:left w:val="single" w:color="000000" w:sz="2" w:space="0"/>
              <w:bottom w:val="single" w:color="000000" w:sz="12" w:space="0"/>
              <w:right w:val="single" w:color="000000" w:sz="12" w:space="0"/>
            </w:tcBorders>
            <w:shd w:val="clear" w:color="000000" w:fill="FFFFFF"/>
            <w:vAlign w:val="bottom"/>
          </w:tcPr>
          <w:p>
            <w:pPr>
              <w:autoSpaceDE w:val="0"/>
              <w:autoSpaceDN w:val="0"/>
              <w:adjustRightInd w:val="0"/>
              <w:jc w:val="center"/>
              <w:rPr>
                <w:rFonts w:ascii="Arial" w:hAnsi="Arial" w:cs="Arial"/>
                <w:color w:val="000000"/>
                <w:sz w:val="18"/>
                <w:szCs w:val="18"/>
              </w:rPr>
            </w:pPr>
            <w:r>
              <w:rPr>
                <w:rFonts w:ascii="Arial" w:hAnsi="Arial" w:cs="Arial"/>
                <w:color w:val="000000"/>
                <w:sz w:val="18"/>
                <w:szCs w:val="18"/>
              </w:rPr>
              <w:t>Std. Error of the Estimate</w:t>
            </w:r>
          </w:p>
        </w:tc>
      </w:tr>
      <w:tr>
        <w:tblPrEx>
          <w:tblCellMar>
            <w:top w:w="0" w:type="dxa"/>
            <w:left w:w="93" w:type="dxa"/>
            <w:bottom w:w="0" w:type="dxa"/>
            <w:right w:w="93" w:type="dxa"/>
          </w:tblCellMar>
        </w:tblPrEx>
        <w:trPr>
          <w:trHeight w:val="273" w:hRule="atLeast"/>
        </w:trPr>
        <w:tc>
          <w:tcPr>
            <w:tcW w:w="990" w:type="dxa"/>
            <w:tcBorders>
              <w:top w:val="single" w:color="000000" w:sz="12" w:space="0"/>
              <w:left w:val="single" w:color="000000" w:sz="12" w:space="0"/>
              <w:bottom w:val="single" w:color="000000" w:sz="12" w:space="0"/>
              <w:right w:val="single" w:color="000000" w:sz="12" w:space="0"/>
            </w:tcBorders>
            <w:shd w:val="clear" w:color="000000" w:fill="FFFFFF"/>
          </w:tcPr>
          <w:p>
            <w:pPr>
              <w:autoSpaceDE w:val="0"/>
              <w:autoSpaceDN w:val="0"/>
              <w:adjustRightInd w:val="0"/>
              <w:rPr>
                <w:rFonts w:ascii="Arial" w:hAnsi="Arial" w:cs="Arial"/>
                <w:color w:val="000000"/>
                <w:sz w:val="18"/>
                <w:szCs w:val="18"/>
              </w:rPr>
            </w:pPr>
            <w:r>
              <w:rPr>
                <w:rFonts w:ascii="Arial" w:hAnsi="Arial" w:cs="Arial"/>
                <w:color w:val="000000"/>
                <w:sz w:val="18"/>
                <w:szCs w:val="18"/>
              </w:rPr>
              <w:t>1</w:t>
            </w:r>
          </w:p>
        </w:tc>
        <w:tc>
          <w:tcPr>
            <w:tcW w:w="1260" w:type="dxa"/>
            <w:tcBorders>
              <w:top w:val="single" w:color="000000" w:sz="12" w:space="0"/>
              <w:left w:val="single" w:color="000000" w:sz="1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,728(a)</w:t>
            </w:r>
          </w:p>
        </w:tc>
        <w:tc>
          <w:tcPr>
            <w:tcW w:w="1350" w:type="dxa"/>
            <w:tcBorders>
              <w:top w:val="single" w:color="000000" w:sz="12" w:space="0"/>
              <w:left w:val="single" w:color="000000" w:sz="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,530</w:t>
            </w:r>
          </w:p>
        </w:tc>
        <w:tc>
          <w:tcPr>
            <w:tcW w:w="1710" w:type="dxa"/>
            <w:tcBorders>
              <w:top w:val="single" w:color="000000" w:sz="12" w:space="0"/>
              <w:left w:val="single" w:color="000000" w:sz="2" w:space="0"/>
              <w:bottom w:val="single" w:color="000000" w:sz="12" w:space="0"/>
              <w:right w:val="single" w:color="000000" w:sz="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,524</w:t>
            </w:r>
          </w:p>
        </w:tc>
        <w:tc>
          <w:tcPr>
            <w:tcW w:w="1833" w:type="dxa"/>
            <w:tcBorders>
              <w:top w:val="single" w:color="000000" w:sz="12" w:space="0"/>
              <w:left w:val="single" w:color="000000" w:sz="2" w:space="0"/>
              <w:bottom w:val="single" w:color="000000" w:sz="12" w:space="0"/>
              <w:right w:val="single" w:color="000000" w:sz="12" w:space="0"/>
            </w:tcBorders>
            <w:shd w:val="clear" w:color="000000" w:fill="FFFFFF"/>
            <w:vAlign w:val="center"/>
          </w:tcPr>
          <w:p>
            <w:pPr>
              <w:autoSpaceDE w:val="0"/>
              <w:autoSpaceDN w:val="0"/>
              <w:adjustRightInd w:val="0"/>
              <w:jc w:val="right"/>
              <w:rPr>
                <w:rFonts w:ascii="Arial" w:hAnsi="Arial" w:cs="Arial"/>
                <w:color w:val="000000"/>
                <w:sz w:val="18"/>
                <w:szCs w:val="18"/>
              </w:rPr>
            </w:pPr>
            <w:r>
              <w:rPr>
                <w:rFonts w:ascii="Arial" w:hAnsi="Arial" w:cs="Arial"/>
                <w:color w:val="000000"/>
                <w:sz w:val="18"/>
                <w:szCs w:val="18"/>
              </w:rPr>
              <w:t>6,878</w:t>
            </w:r>
          </w:p>
        </w:tc>
      </w:tr>
    </w:tbl>
    <w:p>
      <w:pPr>
        <w:pStyle w:val="10"/>
        <w:jc w:val="center"/>
        <w:rPr>
          <w:rFonts w:ascii="Times New Roman" w:hAnsi="Times New Roman" w:cs="Times New Roman"/>
        </w:rPr>
      </w:pPr>
    </w:p>
    <w:p>
      <w:pPr>
        <w:pStyle w:val="10"/>
        <w:jc w:val="center"/>
        <w:rPr>
          <w:rFonts w:ascii="Times New Roman" w:hAnsi="Times New Roman" w:cs="Times New Roman"/>
        </w:rPr>
      </w:pPr>
    </w:p>
    <w:p>
      <w:pPr>
        <w:pStyle w:val="10"/>
        <w:rPr>
          <w:rFonts w:ascii="Times New Roman" w:hAnsi="Times New Roman" w:cs="Times New Roman"/>
        </w:rPr>
      </w:pPr>
      <w:r>
        <w:rPr>
          <w:rFonts w:ascii="Times New Roman" w:hAnsi="Times New Roman" w:cs="Times New Roman"/>
          <w:i/>
          <w:iCs/>
        </w:rPr>
        <w:t>3.1.2. Discussion</w:t>
      </w:r>
    </w:p>
    <w:p>
      <w:pPr>
        <w:pStyle w:val="10"/>
        <w:jc w:val="both"/>
        <w:rPr>
          <w:rFonts w:ascii="Times New Roman" w:hAnsi="Times New Roman" w:cs="Times New Roman"/>
        </w:rPr>
      </w:pPr>
      <w:r>
        <w:rPr>
          <w:rFonts w:ascii="Times New Roman" w:hAnsi="Times New Roman" w:cs="Times New Roman"/>
        </w:rPr>
        <w:t>From the theory referred to, it is evident that the teaching factory program has succeeded in bringing the world of education closer together, in this case SMK with the real world. Demands and requests for labor from industry state that the qualifications of graduates are not in accordance with the expectations of the business world / industrial world, both in mastering hard skills, soft skills and communication skills, therefore vocational students need to be introduced, given experience, and entered into in the real world. This is able to anticipate technological developments. In order to meet the demands of the industrial world, the teaching factory program at SMK was implemented. In this regard, the government has implemented a vocational revitalization movement, namely a movement to improve the quality of education in vocational schools by revitalizing eight education standards. The results show that the teaching factory program has a positive and significant impact on the culture of teacher quality, which in turn will increase the mastery of hard skills, soft skills and communication skills for SMK graduates. Thus, the revitalization of the national standard for public vocational education in Kebumen Regency can be realized.</w:t>
      </w:r>
    </w:p>
    <w:p>
      <w:pPr>
        <w:pStyle w:val="10"/>
        <w:jc w:val="both"/>
        <w:rPr>
          <w:rFonts w:ascii="Times New Roman" w:hAnsi="Times New Roman" w:cs="Times New Roman"/>
        </w:rPr>
      </w:pPr>
    </w:p>
    <w:p>
      <w:pPr>
        <w:pStyle w:val="10"/>
        <w:jc w:val="both"/>
        <w:rPr>
          <w:rFonts w:hint="default" w:ascii="Times New Roman" w:hAnsi="Times New Roman"/>
        </w:rPr>
      </w:pPr>
      <w:r>
        <w:rPr>
          <w:rFonts w:ascii="Times New Roman" w:hAnsi="Times New Roman" w:eastAsia="Times New Roman" w:cs="Times New Roman"/>
          <w:b/>
          <w:rtl w:val="0"/>
        </w:rPr>
        <w:t>Acknowledgments</w:t>
      </w:r>
    </w:p>
    <w:p>
      <w:pPr>
        <w:pStyle w:val="10"/>
        <w:jc w:val="both"/>
        <w:rPr>
          <w:rFonts w:hint="default" w:ascii="Times New Roman" w:hAnsi="Times New Roman"/>
          <w:sz w:val="22"/>
          <w:szCs w:val="22"/>
        </w:rPr>
      </w:pPr>
      <w:r>
        <w:rPr>
          <w:rFonts w:hint="default" w:ascii="Times New Roman" w:hAnsi="Times New Roman"/>
          <w:sz w:val="22"/>
          <w:szCs w:val="22"/>
        </w:rPr>
        <w:t>We would like to take this opportunity to thank the Directorate of Research and Community Service (DRPM), Directorate General of Research and Development Strengthening, for providing financial support, so that this research can be carried out. In addition, we also express our gratitude to the leaders of the Sarjanawiyata Tamansiswa University who have facilitated inclusively so that research and reporting can be well structured.</w:t>
      </w:r>
    </w:p>
    <w:p>
      <w:pPr>
        <w:pStyle w:val="10"/>
        <w:jc w:val="both"/>
        <w:rPr>
          <w:rFonts w:hint="default" w:ascii="Times New Roman" w:hAnsi="Times New Roman"/>
          <w:sz w:val="22"/>
          <w:szCs w:val="22"/>
        </w:rPr>
      </w:pPr>
    </w:p>
    <w:p>
      <w:pPr>
        <w:keepNext w:val="0"/>
        <w:keepLines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Chars="0" w:right="0" w:rightChars="0"/>
        <w:jc w:val="left"/>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References </w:t>
      </w:r>
    </w:p>
    <w:p>
      <w:pPr>
        <w:keepNext w:val="0"/>
        <w:keepLines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394" w:leftChars="0" w:right="0" w:rightChars="0" w:hanging="394" w:hangingChars="179"/>
        <w:jc w:val="left"/>
        <w:rPr>
          <w:rFonts w:ascii="Times New Roman" w:hAnsi="Times New Roman" w:cs="Times New Roman"/>
          <w:sz w:val="22"/>
          <w:szCs w:val="22"/>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n-US"/>
        </w:rPr>
        <w:t xml:space="preserve">Rahmat, A., and </w:t>
      </w:r>
      <w:r>
        <w:rPr>
          <w:rFonts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lang w:val="en-US"/>
          <w14:textFill>
            <w14:solidFill>
              <w14:schemeClr w14:val="tx1"/>
            </w14:solidFill>
          </w14:textFill>
        </w:rPr>
        <w:t>Kadir, A. (2017)</w:t>
      </w:r>
      <w:r>
        <w:rPr>
          <w:rFonts w:ascii="Times New Roman" w:hAnsi="Times New Roman" w:cs="Times New Roman"/>
          <w:color w:val="000000" w:themeColor="text1"/>
          <w:sz w:val="22"/>
          <w:szCs w:val="22"/>
          <w14:textFill>
            <w14:solidFill>
              <w14:schemeClr w14:val="tx1"/>
            </w14:solidFill>
          </w14:textFill>
        </w:rPr>
        <w:t xml:space="preserve">. </w:t>
      </w:r>
      <w:r>
        <w:rPr>
          <w:rFonts w:ascii="Times New Roman" w:hAnsi="Times New Roman" w:cs="Times New Roman"/>
          <w:i/>
          <w:iCs/>
          <w:color w:val="000000" w:themeColor="text1"/>
          <w:sz w:val="22"/>
          <w:szCs w:val="22"/>
          <w14:textFill>
            <w14:solidFill>
              <w14:schemeClr w14:val="tx1"/>
            </w14:solidFill>
          </w14:textFill>
        </w:rPr>
        <w:t>Kepemimpinan Pendidikan dan Budaya Mutu</w:t>
      </w:r>
      <w:r>
        <w:rPr>
          <w:rFonts w:ascii="Times New Roman" w:hAnsi="Times New Roman" w:cs="Times New Roman"/>
          <w:color w:val="000000" w:themeColor="text1"/>
          <w:sz w:val="22"/>
          <w:szCs w:val="22"/>
          <w14:textFill>
            <w14:solidFill>
              <w14:schemeClr w14:val="tx1"/>
            </w14:solidFill>
          </w14:textFill>
        </w:rPr>
        <w:t>. Yogyakarta. Zahir Publishing</w:t>
      </w:r>
      <w:r>
        <w:rPr>
          <w:rFonts w:hint="default" w:ascii="Times New Roman" w:hAnsi="Times New Roman" w:cs="Times New Roman"/>
          <w:color w:val="000000" w:themeColor="text1"/>
          <w:sz w:val="22"/>
          <w:szCs w:val="22"/>
          <w:lang w:val="en-US"/>
          <w14:textFill>
            <w14:solidFill>
              <w14:schemeClr w14:val="tx1"/>
            </w14:solidFill>
          </w14:textFill>
        </w:rPr>
        <w:t>. p. 7</w:t>
      </w:r>
    </w:p>
    <w:p>
      <w:pPr>
        <w:keepNext w:val="0"/>
        <w:keepLines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393" w:leftChars="0" w:right="0" w:rightChars="0" w:hanging="393" w:hangingChars="179"/>
        <w:jc w:val="left"/>
        <w:rPr>
          <w:rFonts w:hint="default" w:ascii="Times New Roman" w:hAnsi="Times New Roman" w:cs="Times New Roman"/>
          <w:sz w:val="22"/>
          <w:szCs w:val="22"/>
          <w:lang w:val="en-US"/>
        </w:rPr>
      </w:pPr>
      <w:r>
        <w:rPr>
          <w:rFonts w:ascii="Times New Roman" w:hAnsi="Times New Roman" w:cs="Times New Roman"/>
          <w:color w:val="000000" w:themeColor="text1"/>
          <w:sz w:val="22"/>
          <w:szCs w:val="22"/>
          <w14:textFill>
            <w14:solidFill>
              <w14:schemeClr w14:val="tx1"/>
            </w14:solidFill>
          </w14:textFill>
        </w:rPr>
        <w:t xml:space="preserve">Sutarto HP. (2015). </w:t>
      </w:r>
      <w:r>
        <w:rPr>
          <w:rFonts w:ascii="Times New Roman" w:hAnsi="Times New Roman" w:cs="Times New Roman"/>
          <w:i/>
          <w:iCs/>
          <w:color w:val="000000" w:themeColor="text1"/>
          <w:sz w:val="22"/>
          <w:szCs w:val="22"/>
          <w14:textFill>
            <w14:solidFill>
              <w14:schemeClr w14:val="tx1"/>
            </w14:solidFill>
          </w14:textFill>
        </w:rPr>
        <w:t>Manajemen Mutu Terpadu (MMT-TQM) Teori Dan Penerapan di Lembaga Pendidikan</w:t>
      </w:r>
      <w:r>
        <w:rPr>
          <w:rFonts w:ascii="Times New Roman" w:hAnsi="Times New Roman" w:cs="Times New Roman"/>
          <w:color w:val="000000" w:themeColor="text1"/>
          <w:sz w:val="22"/>
          <w:szCs w:val="22"/>
          <w14:textFill>
            <w14:solidFill>
              <w14:schemeClr w14:val="tx1"/>
            </w14:solidFill>
          </w14:textFill>
        </w:rPr>
        <w:t>. Yogyakarta. UNY Press.</w:t>
      </w:r>
      <w:r>
        <w:rPr>
          <w:rFonts w:ascii="Times New Roman" w:hAnsi="Times New Roman" w:cs="Times New Roman"/>
          <w:sz w:val="22"/>
          <w:szCs w:val="22"/>
        </w:rPr>
        <w:t>Syahrum,</w:t>
      </w:r>
      <w:r>
        <w:rPr>
          <w:rFonts w:ascii="Times New Roman" w:hAnsi="Times New Roman" w:cs="Times New Roman"/>
          <w:sz w:val="22"/>
          <w:szCs w:val="22"/>
          <w:lang w:val="en-US"/>
        </w:rPr>
        <w:t xml:space="preserve"> Drs.</w:t>
      </w:r>
      <w:r>
        <w:rPr>
          <w:rFonts w:ascii="Times New Roman" w:hAnsi="Times New Roman" w:cs="Times New Roman"/>
          <w:sz w:val="22"/>
          <w:szCs w:val="22"/>
        </w:rPr>
        <w:t xml:space="preserve"> &amp; Salim, M. P. (2012). </w:t>
      </w:r>
      <w:r>
        <w:rPr>
          <w:rFonts w:ascii="Times New Roman" w:hAnsi="Times New Roman" w:cs="Times New Roman"/>
          <w:i/>
          <w:iCs/>
          <w:sz w:val="22"/>
          <w:szCs w:val="22"/>
        </w:rPr>
        <w:t>Metodologi Penelitian Kuantitatif</w:t>
      </w:r>
      <w:r>
        <w:rPr>
          <w:rFonts w:ascii="Times New Roman" w:hAnsi="Times New Roman" w:cs="Times New Roman"/>
          <w:sz w:val="22"/>
          <w:szCs w:val="22"/>
        </w:rPr>
        <w:t>. Bandung</w:t>
      </w:r>
      <w:r>
        <w:rPr>
          <w:rFonts w:ascii="Times New Roman" w:hAnsi="Times New Roman" w:cs="Times New Roman"/>
          <w:sz w:val="22"/>
          <w:szCs w:val="22"/>
          <w:lang w:val="en-US"/>
        </w:rPr>
        <w:t>.</w:t>
      </w:r>
      <w:r>
        <w:rPr>
          <w:rFonts w:ascii="Times New Roman" w:hAnsi="Times New Roman" w:cs="Times New Roman"/>
          <w:sz w:val="22"/>
          <w:szCs w:val="22"/>
        </w:rPr>
        <w:t xml:space="preserve"> Cipustaka Media</w:t>
      </w:r>
      <w:r>
        <w:rPr>
          <w:rFonts w:hint="default" w:ascii="Times New Roman" w:hAnsi="Times New Roman" w:cs="Times New Roman"/>
          <w:sz w:val="22"/>
          <w:szCs w:val="22"/>
          <w:lang w:val="en-US"/>
        </w:rPr>
        <w:t>. p. 65</w:t>
      </w:r>
    </w:p>
    <w:p>
      <w:pPr>
        <w:keepNext w:val="0"/>
        <w:keepLines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398" w:leftChars="0" w:right="0" w:rightChars="0" w:hanging="398" w:hangingChars="181"/>
        <w:jc w:val="left"/>
        <w:rPr>
          <w:rFonts w:hint="default" w:ascii="Times New Roman" w:hAnsi="Times New Roman" w:cs="Times New Roman"/>
          <w:sz w:val="22"/>
          <w:szCs w:val="22"/>
          <w:lang w:val="en-US"/>
        </w:rPr>
      </w:pPr>
      <w:r>
        <w:rPr>
          <w:rFonts w:hint="default" w:ascii="Times New Roman" w:hAnsi="Times New Roman" w:cs="Times New Roman"/>
          <w:color w:val="000000" w:themeColor="text1"/>
          <w:sz w:val="22"/>
          <w:szCs w:val="22"/>
          <w:lang w:val="en-US"/>
          <w14:textFill>
            <w14:solidFill>
              <w14:schemeClr w14:val="tx1"/>
            </w14:solidFill>
          </w14:textFill>
        </w:rPr>
        <w:t xml:space="preserve"> Said, A., </w:t>
      </w:r>
      <w:r>
        <w:rPr>
          <w:rFonts w:ascii="Times New Roman" w:hAnsi="Times New Roman" w:cs="Times New Roman"/>
          <w:color w:val="000000" w:themeColor="text1"/>
          <w:sz w:val="22"/>
          <w:szCs w:val="22"/>
          <w14:textFill>
            <w14:solidFill>
              <w14:schemeClr w14:val="tx1"/>
            </w14:solidFill>
          </w14:textFill>
        </w:rPr>
        <w:t xml:space="preserve">(2015). </w:t>
      </w:r>
      <w:r>
        <w:rPr>
          <w:rFonts w:ascii="Times New Roman" w:hAnsi="Times New Roman" w:cs="Times New Roman"/>
          <w:i/>
          <w:iCs/>
          <w:color w:val="000000" w:themeColor="text1"/>
          <w:sz w:val="22"/>
          <w:szCs w:val="22"/>
          <w14:textFill>
            <w14:solidFill>
              <w14:schemeClr w14:val="tx1"/>
            </w14:solidFill>
          </w14:textFill>
        </w:rPr>
        <w:t>Kepemimpinan Kepala Sekolah Dalam Melestarikan Budaya Mutu Sekolah</w:t>
      </w:r>
      <w:r>
        <w:rPr>
          <w:rFonts w:ascii="Times New Roman" w:hAnsi="Times New Roman" w:cs="Times New Roman"/>
          <w:color w:val="000000" w:themeColor="text1"/>
          <w:sz w:val="22"/>
          <w:szCs w:val="22"/>
          <w14:textFill>
            <w14:solidFill>
              <w14:schemeClr w14:val="tx1"/>
            </w14:solidFill>
          </w14:textFill>
        </w:rPr>
        <w:t>. Tesis. Universitas Islam Negri Maulana Malik Ibrahim Malang</w:t>
      </w:r>
      <w:r>
        <w:rPr>
          <w:rFonts w:ascii="Times New Roman" w:hAnsi="Times New Roman" w:cs="Times New Roman"/>
          <w:sz w:val="22"/>
          <w:szCs w:val="22"/>
        </w:rPr>
        <w:t xml:space="preserve"> Amri Amir, </w:t>
      </w:r>
      <w:r>
        <w:rPr>
          <w:rFonts w:ascii="Times New Roman" w:hAnsi="Times New Roman" w:cs="Times New Roman"/>
          <w:sz w:val="22"/>
          <w:szCs w:val="22"/>
          <w:lang w:val="en-US"/>
        </w:rPr>
        <w:t xml:space="preserve">H., </w:t>
      </w:r>
      <w:r>
        <w:rPr>
          <w:rFonts w:ascii="Times New Roman" w:hAnsi="Times New Roman" w:cs="Times New Roman"/>
          <w:sz w:val="22"/>
          <w:szCs w:val="22"/>
        </w:rPr>
        <w:t xml:space="preserve">Prof. Dr. SE., M. (2009). </w:t>
      </w:r>
      <w:r>
        <w:rPr>
          <w:rFonts w:ascii="Times New Roman" w:hAnsi="Times New Roman" w:cs="Times New Roman"/>
          <w:i/>
          <w:iCs/>
          <w:sz w:val="22"/>
          <w:szCs w:val="22"/>
        </w:rPr>
        <w:t>Metodologi Penelitian Ekonomi dan Penerapannya</w:t>
      </w:r>
      <w:r>
        <w:rPr>
          <w:rFonts w:ascii="Times New Roman" w:hAnsi="Times New Roman" w:cs="Times New Roman"/>
          <w:sz w:val="22"/>
          <w:szCs w:val="22"/>
        </w:rPr>
        <w:t>.</w:t>
      </w:r>
      <w:r>
        <w:rPr>
          <w:rFonts w:ascii="Times New Roman" w:hAnsi="Times New Roman" w:cs="Times New Roman"/>
          <w:sz w:val="22"/>
          <w:szCs w:val="22"/>
          <w:lang w:val="en-US"/>
        </w:rPr>
        <w:t xml:space="preserve"> Bandung. IPB Press</w:t>
      </w:r>
      <w:r>
        <w:rPr>
          <w:rFonts w:hint="default" w:ascii="Times New Roman" w:hAnsi="Times New Roman" w:cs="Times New Roman"/>
          <w:sz w:val="22"/>
          <w:szCs w:val="22"/>
          <w:lang w:val="en-US"/>
        </w:rPr>
        <w:t>. p. 62</w:t>
      </w:r>
    </w:p>
    <w:p>
      <w:pPr>
        <w:keepNext w:val="0"/>
        <w:keepLines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398" w:leftChars="0" w:right="0" w:rightChars="0" w:hanging="398" w:hangingChars="181"/>
        <w:jc w:val="left"/>
        <w:rPr>
          <w:rFonts w:hint="default" w:ascii="Times New Roman" w:hAnsi="Times New Roman" w:cs="Times New Roman"/>
          <w:sz w:val="22"/>
          <w:szCs w:val="22"/>
          <w:lang w:val="en-US"/>
        </w:rPr>
      </w:pPr>
      <w:r>
        <w:rPr>
          <w:rFonts w:ascii="Times New Roman" w:hAnsi="Times New Roman" w:cs="Times New Roman"/>
          <w:sz w:val="22"/>
          <w:szCs w:val="22"/>
        </w:rPr>
        <w:t>Sallis, E</w:t>
      </w:r>
      <w:r>
        <w:rPr>
          <w:rFonts w:hint="default" w:ascii="Times New Roman" w:hAnsi="Times New Roman" w:cs="Times New Roman"/>
          <w:sz w:val="22"/>
          <w:szCs w:val="22"/>
          <w:lang w:val="en-US"/>
        </w:rPr>
        <w:t xml:space="preserve">. </w:t>
      </w:r>
      <w:r>
        <w:rPr>
          <w:rFonts w:ascii="Times New Roman" w:hAnsi="Times New Roman" w:cs="Times New Roman"/>
          <w:sz w:val="22"/>
          <w:szCs w:val="22"/>
        </w:rPr>
        <w:t xml:space="preserve">(2012). </w:t>
      </w:r>
      <w:r>
        <w:rPr>
          <w:rFonts w:ascii="Times New Roman" w:hAnsi="Times New Roman" w:cs="Times New Roman"/>
          <w:i/>
          <w:iCs/>
          <w:sz w:val="22"/>
          <w:szCs w:val="22"/>
        </w:rPr>
        <w:t>Total Quality Management in Education.</w:t>
      </w:r>
      <w:r>
        <w:rPr>
          <w:rFonts w:ascii="Times New Roman" w:hAnsi="Times New Roman" w:cs="Times New Roman"/>
          <w:sz w:val="22"/>
          <w:szCs w:val="22"/>
        </w:rPr>
        <w:t xml:space="preserve"> Pentonville Road London. Kogan Page Ltd.Sampun </w:t>
      </w:r>
      <w:r>
        <w:rPr>
          <w:rFonts w:ascii="Times New Roman" w:hAnsi="Times New Roman" w:cs="Times New Roman"/>
          <w:sz w:val="22"/>
          <w:szCs w:val="22"/>
          <w:lang w:val="en-US"/>
        </w:rPr>
        <w:t>Ha</w:t>
      </w:r>
      <w:r>
        <w:rPr>
          <w:rFonts w:ascii="Times New Roman" w:hAnsi="Times New Roman" w:cs="Times New Roman"/>
          <w:sz w:val="22"/>
          <w:szCs w:val="22"/>
        </w:rPr>
        <w:t>dam,</w:t>
      </w:r>
      <w:r>
        <w:rPr>
          <w:rFonts w:ascii="Times New Roman" w:hAnsi="Times New Roman" w:cs="Times New Roman"/>
          <w:sz w:val="22"/>
          <w:szCs w:val="22"/>
          <w:lang w:val="en-US"/>
        </w:rPr>
        <w:t xml:space="preserve"> Drs., MM.,</w:t>
      </w:r>
      <w:r>
        <w:rPr>
          <w:rFonts w:ascii="Times New Roman" w:hAnsi="Times New Roman" w:cs="Times New Roman"/>
          <w:sz w:val="22"/>
          <w:szCs w:val="22"/>
        </w:rPr>
        <w:t xml:space="preserve"> Nastiti Rahayu, </w:t>
      </w:r>
      <w:r>
        <w:rPr>
          <w:rFonts w:ascii="Times New Roman" w:hAnsi="Times New Roman" w:cs="Times New Roman"/>
          <w:sz w:val="22"/>
          <w:szCs w:val="22"/>
          <w:lang w:val="en-US"/>
        </w:rPr>
        <w:t xml:space="preserve">S.Pd., </w:t>
      </w:r>
      <w:r>
        <w:rPr>
          <w:rFonts w:ascii="Times New Roman" w:hAnsi="Times New Roman" w:cs="Times New Roman"/>
          <w:sz w:val="22"/>
          <w:szCs w:val="22"/>
        </w:rPr>
        <w:t>A</w:t>
      </w:r>
      <w:r>
        <w:rPr>
          <w:rFonts w:ascii="Times New Roman" w:hAnsi="Times New Roman" w:cs="Times New Roman"/>
          <w:sz w:val="22"/>
          <w:szCs w:val="22"/>
          <w:lang w:val="en-US"/>
        </w:rPr>
        <w:t>yu</w:t>
      </w:r>
      <w:r>
        <w:rPr>
          <w:rFonts w:ascii="Times New Roman" w:hAnsi="Times New Roman" w:cs="Times New Roman"/>
          <w:sz w:val="22"/>
          <w:szCs w:val="22"/>
        </w:rPr>
        <w:t xml:space="preserve"> </w:t>
      </w:r>
      <w:r>
        <w:rPr>
          <w:rFonts w:ascii="Times New Roman" w:hAnsi="Times New Roman" w:cs="Times New Roman"/>
          <w:sz w:val="22"/>
          <w:szCs w:val="22"/>
          <w:lang w:val="en-US"/>
        </w:rPr>
        <w:t>N</w:t>
      </w:r>
      <w:r>
        <w:rPr>
          <w:rFonts w:ascii="Times New Roman" w:hAnsi="Times New Roman" w:cs="Times New Roman"/>
          <w:sz w:val="22"/>
          <w:szCs w:val="22"/>
        </w:rPr>
        <w:t>ur A</w:t>
      </w:r>
      <w:r>
        <w:rPr>
          <w:rFonts w:ascii="Times New Roman" w:hAnsi="Times New Roman" w:cs="Times New Roman"/>
          <w:sz w:val="22"/>
          <w:szCs w:val="22"/>
          <w:lang w:val="en-US"/>
        </w:rPr>
        <w:t>riyadi, S.Pd.</w:t>
      </w:r>
      <w:r>
        <w:rPr>
          <w:rFonts w:ascii="Times New Roman" w:hAnsi="Times New Roman" w:cs="Times New Roman"/>
          <w:sz w:val="22"/>
          <w:szCs w:val="22"/>
        </w:rPr>
        <w:t xml:space="preserve">. (2017). </w:t>
      </w:r>
      <w:r>
        <w:rPr>
          <w:rFonts w:ascii="Times New Roman" w:hAnsi="Times New Roman" w:cs="Times New Roman"/>
          <w:i/>
          <w:iCs/>
          <w:sz w:val="22"/>
          <w:szCs w:val="22"/>
        </w:rPr>
        <w:t>Strategi Implementasi Revitalisai SMK</w:t>
      </w:r>
      <w:r>
        <w:rPr>
          <w:rFonts w:ascii="Times New Roman" w:hAnsi="Times New Roman" w:cs="Times New Roman"/>
          <w:sz w:val="22"/>
          <w:szCs w:val="22"/>
        </w:rPr>
        <w:t>. Jakarta Pusat: Dirjen Pembina SMK.</w:t>
      </w:r>
      <w:r>
        <w:rPr>
          <w:rFonts w:hint="default" w:ascii="Times New Roman" w:hAnsi="Times New Roman" w:cs="Times New Roman"/>
          <w:sz w:val="22"/>
          <w:szCs w:val="22"/>
          <w:lang w:val="en-US"/>
        </w:rPr>
        <w:t xml:space="preserve"> pp. 13-14</w:t>
      </w:r>
    </w:p>
    <w:p>
      <w:pPr>
        <w:keepNext w:val="0"/>
        <w:keepLines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398" w:leftChars="0" w:right="0" w:rightChars="0" w:hanging="398" w:hangingChars="181"/>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Hadam, S. et al. 2017. </w:t>
      </w:r>
      <w:r>
        <w:rPr>
          <w:rFonts w:hint="default" w:ascii="Times New Roman" w:hAnsi="Times New Roman" w:cs="Times New Roman"/>
          <w:i/>
          <w:iCs/>
          <w:sz w:val="22"/>
          <w:szCs w:val="22"/>
          <w:lang w:val="en-US"/>
        </w:rPr>
        <w:t xml:space="preserve">strategi Implementasi Revitalisasi SMK. </w:t>
      </w:r>
      <w:r>
        <w:rPr>
          <w:rFonts w:hint="default" w:ascii="Times New Roman" w:hAnsi="Times New Roman" w:cs="Times New Roman"/>
          <w:i w:val="0"/>
          <w:iCs w:val="0"/>
          <w:sz w:val="22"/>
          <w:szCs w:val="22"/>
          <w:lang w:val="en-US"/>
        </w:rPr>
        <w:t>Kemendikbud. Jakarta. pp. 108-109</w:t>
      </w:r>
    </w:p>
    <w:p>
      <w:pPr>
        <w:widowControl w:val="0"/>
        <w:numPr>
          <w:ilvl w:val="0"/>
          <w:numId w:val="3"/>
        </w:numPr>
        <w:autoSpaceDE w:val="0"/>
        <w:autoSpaceDN w:val="0"/>
        <w:adjustRightInd w:val="0"/>
        <w:spacing w:before="120" w:after="120" w:line="240" w:lineRule="auto"/>
        <w:ind w:left="398" w:leftChars="0" w:hanging="398" w:hangingChars="181"/>
        <w:jc w:val="both"/>
        <w:rPr>
          <w:rFonts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sz w:val="22"/>
          <w:szCs w:val="22"/>
          <w:lang w:val="en-US"/>
        </w:rPr>
        <w:t>Manalu, S. R. I. and Hermanto, S. (2017)</w:t>
      </w:r>
      <w:r>
        <w:rPr>
          <w:rFonts w:ascii="Times New Roman" w:hAnsi="Times New Roman" w:cs="Times New Roman"/>
          <w:sz w:val="22"/>
          <w:szCs w:val="22"/>
        </w:rPr>
        <w:t xml:space="preserve">Tatakelola Pelaksanaan Teaching Factory. </w:t>
      </w:r>
      <w:r>
        <w:rPr>
          <w:rFonts w:ascii="Times New Roman" w:hAnsi="Times New Roman" w:cs="Times New Roman"/>
          <w:i/>
          <w:iCs/>
          <w:sz w:val="22"/>
          <w:szCs w:val="22"/>
        </w:rPr>
        <w:t>Jurnal Pendidikan dan Pembelajaran</w:t>
      </w:r>
      <w:r>
        <w:rPr>
          <w:rFonts w:ascii="Times New Roman" w:hAnsi="Times New Roman" w:cs="Times New Roman"/>
          <w:sz w:val="22"/>
          <w:szCs w:val="22"/>
        </w:rPr>
        <w:t xml:space="preserve"> (Vol. 6). Dirjen Pendidikan Dasar dan Menengah</w:t>
      </w:r>
      <w:r>
        <w:rPr>
          <w:rFonts w:hint="default" w:ascii="Times New Roman" w:hAnsi="Times New Roman" w:cs="Times New Roman"/>
          <w:sz w:val="22"/>
          <w:szCs w:val="22"/>
          <w:lang w:val="en-US"/>
        </w:rPr>
        <w:t>. p. 8</w:t>
      </w:r>
      <w:r>
        <w:rPr>
          <w:rFonts w:ascii="Times New Roman" w:hAnsi="Times New Roman" w:cs="Times New Roman"/>
          <w:color w:val="000000" w:themeColor="text1"/>
          <w:sz w:val="22"/>
          <w:szCs w:val="22"/>
          <w14:textFill>
            <w14:solidFill>
              <w14:schemeClr w14:val="tx1"/>
            </w14:solidFill>
          </w14:textFill>
        </w:rPr>
        <w:t xml:space="preserve"> </w:t>
      </w:r>
    </w:p>
    <w:p>
      <w:pPr>
        <w:widowControl w:val="0"/>
        <w:numPr>
          <w:ilvl w:val="0"/>
          <w:numId w:val="3"/>
        </w:numPr>
        <w:autoSpaceDE w:val="0"/>
        <w:autoSpaceDN w:val="0"/>
        <w:adjustRightInd w:val="0"/>
        <w:spacing w:before="120" w:after="120" w:line="240" w:lineRule="auto"/>
        <w:ind w:left="398" w:leftChars="0" w:hanging="398" w:hangingChars="181"/>
        <w:jc w:val="both"/>
        <w:rPr>
          <w:rFonts w:ascii="Times New Roman" w:hAnsi="Times New Roman" w:cs="Times New Roman"/>
          <w:i/>
          <w:sz w:val="22"/>
          <w:szCs w:val="22"/>
          <w:lang w:val="en-US"/>
        </w:rPr>
      </w:pPr>
      <w:r>
        <w:rPr>
          <w:rFonts w:ascii="Times New Roman" w:hAnsi="Times New Roman" w:cs="Times New Roman"/>
          <w:sz w:val="22"/>
          <w:szCs w:val="22"/>
          <w:lang w:val="en-US"/>
        </w:rPr>
        <w:t>Hidayat</w:t>
      </w:r>
      <w:r>
        <w:rPr>
          <w:rFonts w:hint="default" w:ascii="Times New Roman" w:hAnsi="Times New Roman" w:cs="Times New Roman"/>
          <w:sz w:val="22"/>
          <w:szCs w:val="22"/>
          <w:lang w:val="en-US"/>
        </w:rPr>
        <w:t>, D.</w:t>
      </w:r>
      <w:r>
        <w:rPr>
          <w:rFonts w:ascii="Times New Roman" w:hAnsi="Times New Roman" w:cs="Times New Roman"/>
          <w:sz w:val="22"/>
          <w:szCs w:val="22"/>
          <w:lang w:val="en-US"/>
        </w:rPr>
        <w:t xml:space="preserve"> (2011). </w:t>
      </w:r>
      <w:r>
        <w:rPr>
          <w:rFonts w:ascii="Times New Roman" w:hAnsi="Times New Roman" w:cs="Times New Roman"/>
          <w:i/>
          <w:iCs/>
          <w:sz w:val="22"/>
          <w:szCs w:val="22"/>
        </w:rPr>
        <w:t xml:space="preserve">Model </w:t>
      </w:r>
      <w:r>
        <w:rPr>
          <w:rFonts w:ascii="Times New Roman" w:hAnsi="Times New Roman" w:cs="Times New Roman"/>
          <w:iCs/>
          <w:sz w:val="22"/>
          <w:szCs w:val="22"/>
        </w:rPr>
        <w:t>Pembelajaran Teaching Factory Untuk Meningkatkan Kompetensi Siswa Dalam Mata Pelajaran Produktif</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Bandung. </w:t>
      </w:r>
      <w:r>
        <w:rPr>
          <w:rFonts w:ascii="Times New Roman" w:hAnsi="Times New Roman" w:cs="Times New Roman"/>
          <w:i/>
          <w:sz w:val="22"/>
          <w:szCs w:val="22"/>
          <w:lang w:val="en-US"/>
        </w:rPr>
        <w:t>Jurnal Ilmu Pendidikan. Universitas pendidikan Indonesia</w:t>
      </w:r>
      <w:r>
        <w:rPr>
          <w:rFonts w:hint="default" w:ascii="Times New Roman" w:hAnsi="Times New Roman" w:cs="Times New Roman"/>
          <w:i/>
          <w:sz w:val="22"/>
          <w:szCs w:val="22"/>
          <w:lang w:val="en-US"/>
        </w:rPr>
        <w:t>. p. 270</w:t>
      </w:r>
    </w:p>
    <w:p>
      <w:pPr>
        <w:widowControl w:val="0"/>
        <w:numPr>
          <w:ilvl w:val="0"/>
          <w:numId w:val="3"/>
        </w:numPr>
        <w:autoSpaceDE w:val="0"/>
        <w:autoSpaceDN w:val="0"/>
        <w:adjustRightInd w:val="0"/>
        <w:spacing w:before="120" w:after="120" w:line="240" w:lineRule="auto"/>
        <w:ind w:left="398" w:leftChars="0" w:hanging="398" w:hangingChars="181"/>
        <w:jc w:val="both"/>
        <w:rPr>
          <w:rFonts w:ascii="Times New Roman" w:hAnsi="Times New Roman" w:cs="Times New Roman"/>
          <w:i/>
          <w:sz w:val="22"/>
          <w:szCs w:val="22"/>
          <w:lang w:val="en-US"/>
        </w:rPr>
      </w:pPr>
      <w:r>
        <w:rPr>
          <w:rFonts w:hint="default" w:ascii="Times New Roman" w:hAnsi="Times New Roman" w:cs="Times New Roman"/>
          <w:i w:val="0"/>
          <w:iCs/>
          <w:sz w:val="22"/>
          <w:szCs w:val="22"/>
          <w:lang w:val="en-US"/>
        </w:rPr>
        <w:t>Budiyono, (2016)</w:t>
      </w:r>
      <w:r>
        <w:rPr>
          <w:rFonts w:hint="default" w:ascii="Times New Roman" w:hAnsi="Times New Roman" w:cs="Times New Roman"/>
          <w:i/>
          <w:sz w:val="22"/>
          <w:szCs w:val="22"/>
          <w:lang w:val="en-US"/>
        </w:rPr>
        <w:t xml:space="preserve">. Statistika Untuk Penelitian. </w:t>
      </w:r>
      <w:r>
        <w:rPr>
          <w:rFonts w:hint="default" w:ascii="Times New Roman" w:hAnsi="Times New Roman" w:cs="Times New Roman"/>
          <w:i w:val="0"/>
          <w:iCs/>
          <w:sz w:val="22"/>
          <w:szCs w:val="22"/>
          <w:lang w:val="en-US"/>
        </w:rPr>
        <w:t>UNS Press. Solo. p. 265</w:t>
      </w:r>
    </w:p>
    <w:p>
      <w:pPr>
        <w:widowControl w:val="0"/>
        <w:numPr>
          <w:numId w:val="0"/>
        </w:numPr>
        <w:autoSpaceDE w:val="0"/>
        <w:autoSpaceDN w:val="0"/>
        <w:adjustRightInd w:val="0"/>
        <w:spacing w:before="120" w:after="120" w:line="240" w:lineRule="auto"/>
        <w:ind w:leftChars="-181"/>
        <w:jc w:val="both"/>
        <w:rPr>
          <w:rFonts w:ascii="Times New Roman" w:hAnsi="Times New Roman" w:cs="Times New Roman"/>
          <w:color w:val="000000" w:themeColor="text1"/>
          <w:sz w:val="24"/>
          <w:szCs w:val="24"/>
          <w14:textFill>
            <w14:solidFill>
              <w14:schemeClr w14:val="tx1"/>
            </w14:solidFill>
          </w14:textFill>
        </w:rPr>
      </w:pPr>
    </w:p>
    <w:p>
      <w:pPr>
        <w:keepNext w:val="0"/>
        <w:keepLines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240" w:line="276" w:lineRule="auto"/>
        <w:ind w:leftChars="-181" w:right="0" w:rightChars="0"/>
        <w:jc w:val="left"/>
        <w:rPr>
          <w:rFonts w:hint="default" w:ascii="Times New Roman" w:hAnsi="Times New Roman" w:cs="Times New Roman"/>
          <w:sz w:val="24"/>
          <w:szCs w:val="24"/>
          <w:lang w:val="en-US"/>
        </w:rPr>
      </w:pPr>
    </w:p>
    <w:p>
      <w:pPr>
        <w:pStyle w:val="10"/>
        <w:jc w:val="both"/>
        <w:rPr>
          <w:rFonts w:hint="default" w:ascii="Times New Roman" w:hAnsi="Times New Roman"/>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D0BEE"/>
    <w:multiLevelType w:val="singleLevel"/>
    <w:tmpl w:val="E4CD0BEE"/>
    <w:lvl w:ilvl="0" w:tentative="0">
      <w:start w:val="1"/>
      <w:numFmt w:val="upperLetter"/>
      <w:lvlText w:val="%1."/>
      <w:lvlJc w:val="left"/>
      <w:pPr>
        <w:tabs>
          <w:tab w:val="left" w:pos="312"/>
        </w:tabs>
      </w:pPr>
    </w:lvl>
  </w:abstractNum>
  <w:abstractNum w:abstractNumId="1">
    <w:nsid w:val="38DFD79A"/>
    <w:multiLevelType w:val="singleLevel"/>
    <w:tmpl w:val="38DFD79A"/>
    <w:lvl w:ilvl="0" w:tentative="0">
      <w:start w:val="4"/>
      <w:numFmt w:val="decimal"/>
      <w:suff w:val="space"/>
      <w:lvlText w:val="%1."/>
      <w:lvlJc w:val="left"/>
    </w:lvl>
  </w:abstractNum>
  <w:abstractNum w:abstractNumId="2">
    <w:nsid w:val="7873D6A2"/>
    <w:multiLevelType w:val="singleLevel"/>
    <w:tmpl w:val="7873D6A2"/>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9B"/>
    <w:rsid w:val="00042FF7"/>
    <w:rsid w:val="001E4C52"/>
    <w:rsid w:val="001F7C6F"/>
    <w:rsid w:val="002E3DA2"/>
    <w:rsid w:val="002F3AF9"/>
    <w:rsid w:val="003611E8"/>
    <w:rsid w:val="005E6BCC"/>
    <w:rsid w:val="00640113"/>
    <w:rsid w:val="00667E6E"/>
    <w:rsid w:val="007B6B6A"/>
    <w:rsid w:val="008B3BED"/>
    <w:rsid w:val="00A374AA"/>
    <w:rsid w:val="00A80F22"/>
    <w:rsid w:val="00A906F2"/>
    <w:rsid w:val="00B87C59"/>
    <w:rsid w:val="00B939C4"/>
    <w:rsid w:val="00BD785C"/>
    <w:rsid w:val="00D2669B"/>
    <w:rsid w:val="00F06428"/>
    <w:rsid w:val="00FD0E5F"/>
    <w:rsid w:val="02514CE5"/>
    <w:rsid w:val="052947D4"/>
    <w:rsid w:val="1E321ECD"/>
    <w:rsid w:val="31BA7820"/>
    <w:rsid w:val="3382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SimSun" w:cs="Times New Roman"/>
      <w:sz w:val="20"/>
      <w:szCs w:val="20"/>
      <w:lang w:val="en-US" w:eastAsia="zh-CN" w:bidi="ar-SA"/>
    </w:rPr>
  </w:style>
  <w:style w:type="character" w:default="1" w:styleId="7">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rFonts w:ascii="Tahoma" w:hAnsi="Tahoma" w:cs="Tahoma"/>
      <w:sz w:val="16"/>
      <w:szCs w:val="16"/>
    </w:rPr>
  </w:style>
  <w:style w:type="paragraph" w:styleId="3">
    <w:name w:val="Body Text"/>
    <w:basedOn w:val="1"/>
    <w:link w:val="11"/>
    <w:unhideWhenUsed/>
    <w:uiPriority w:val="99"/>
    <w:pPr>
      <w:jc w:val="both"/>
    </w:pPr>
    <w:rPr>
      <w:rFonts w:ascii="Times New Roman" w:hAnsi="Times New Roman"/>
      <w:sz w:val="24"/>
      <w:szCs w:val="24"/>
    </w:rPr>
  </w:style>
  <w:style w:type="paragraph" w:styleId="4">
    <w:name w:val="Body Text 2"/>
    <w:basedOn w:val="1"/>
    <w:link w:val="13"/>
    <w:unhideWhenUsed/>
    <w:uiPriority w:val="99"/>
    <w:pPr>
      <w:tabs>
        <w:tab w:val="left" w:pos="0"/>
      </w:tabs>
      <w:ind w:right="-285"/>
      <w:jc w:val="center"/>
    </w:pPr>
    <w:rPr>
      <w:i/>
      <w:iCs/>
      <w:color w:val="FFFFFF" w:themeColor="background1"/>
      <w:sz w:val="28"/>
      <w:szCs w:val="28"/>
      <w14:textFill>
        <w14:solidFill>
          <w14:schemeClr w14:val="bg1"/>
        </w14:solidFill>
      </w14:textFill>
    </w:rPr>
  </w:style>
  <w:style w:type="paragraph" w:styleId="5">
    <w:name w:val="annotation text"/>
    <w:basedOn w:val="1"/>
    <w:semiHidden/>
    <w:unhideWhenUsed/>
    <w:qFormat/>
    <w:uiPriority w:val="99"/>
    <w:pPr>
      <w:jc w:val="left"/>
    </w:pPr>
  </w:style>
  <w:style w:type="paragraph" w:styleId="6">
    <w:name w:val="Normal (Web)"/>
    <w:basedOn w:val="1"/>
    <w:unhideWhenUsed/>
    <w:qFormat/>
    <w:uiPriority w:val="99"/>
    <w:pPr>
      <w:spacing w:before="100" w:beforeAutospacing="1" w:after="100" w:afterAutospacing="1"/>
    </w:pPr>
    <w:rPr>
      <w:rFonts w:ascii="Times New Roman" w:hAnsi="Times New Roman"/>
      <w:sz w:val="24"/>
      <w:szCs w:val="24"/>
    </w:rPr>
  </w:style>
  <w:style w:type="character" w:styleId="8">
    <w:name w:val="Hyperlink"/>
    <w:basedOn w:val="7"/>
    <w:uiPriority w:val="0"/>
    <w:rPr>
      <w:color w:val="0000FF"/>
      <w:u w:val="single"/>
    </w:rPr>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1">
    <w:name w:val="Body Text Char"/>
    <w:basedOn w:val="7"/>
    <w:link w:val="3"/>
    <w:uiPriority w:val="99"/>
    <w:rPr>
      <w:rFonts w:ascii="Times New Roman" w:hAnsi="Times New Roman" w:eastAsia="SimSun" w:cs="Times New Roman"/>
      <w:sz w:val="24"/>
      <w:szCs w:val="24"/>
      <w:lang w:eastAsia="zh-CN"/>
    </w:rPr>
  </w:style>
  <w:style w:type="character" w:customStyle="1" w:styleId="12">
    <w:name w:val="Balloon Text Char"/>
    <w:basedOn w:val="7"/>
    <w:link w:val="2"/>
    <w:semiHidden/>
    <w:qFormat/>
    <w:uiPriority w:val="99"/>
    <w:rPr>
      <w:rFonts w:ascii="Tahoma" w:hAnsi="Tahoma" w:eastAsia="SimSun" w:cs="Tahoma"/>
      <w:sz w:val="16"/>
      <w:szCs w:val="16"/>
      <w:lang w:eastAsia="zh-CN"/>
    </w:rPr>
  </w:style>
  <w:style w:type="character" w:customStyle="1" w:styleId="13">
    <w:name w:val="Body Text 2 Char"/>
    <w:basedOn w:val="7"/>
    <w:link w:val="4"/>
    <w:uiPriority w:val="99"/>
    <w:rPr>
      <w:rFonts w:ascii="Calibri" w:hAnsi="Calibri" w:eastAsia="SimSun" w:cs="Times New Roman"/>
      <w:i/>
      <w:iCs/>
      <w:color w:val="FFFFFF" w:themeColor="background1"/>
      <w:sz w:val="28"/>
      <w:szCs w:val="28"/>
      <w:lang w:eastAsia="zh-CN"/>
      <w14:textFill>
        <w14:solidFill>
          <w14:schemeClr w14:val="bg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EEF1540-C562-4E91-8A13-C786CB3AC1C9}" type="doc">
      <dgm:prSet loTypeId="urn:microsoft.com/office/officeart/2005/8/layout/hierarchy1" loCatId="hierarchy" qsTypeId="urn:microsoft.com/office/officeart/2005/8/quickstyle/simple1" qsCatId="simple" csTypeId="urn:microsoft.com/office/officeart/2005/8/colors/accent1_2" csCatId="accent1" phldr="1"/>
      <dgm:spPr/>
      <dgm:t>
        <a:bodyPr/>
        <a:p>
          <a:endParaRPr lang="en-US"/>
        </a:p>
      </dgm:t>
    </dgm:pt>
    <dgm:pt modelId="{DAE1DB5D-5590-4227-B10A-DBAD848D2630}">
      <dgm:prSet phldrT="[Text]"/>
      <dgm:spPr/>
      <dgm:t>
        <a:bodyPr/>
        <a:p>
          <a:r>
            <a:rPr lang="en-US"/>
            <a:t>Teaching Factory Learning Model</a:t>
          </a:r>
        </a:p>
      </dgm:t>
    </dgm:pt>
    <dgm:pt modelId="{ED8FE6A6-4748-4402-90F8-4D8D5FB5D9CE}" cxnId="{EDAB785D-F51D-4FA1-B0CC-370528E9115E}" type="parTrans">
      <dgm:prSet/>
      <dgm:spPr/>
      <dgm:t>
        <a:bodyPr/>
        <a:p>
          <a:endParaRPr lang="en-US"/>
        </a:p>
      </dgm:t>
    </dgm:pt>
    <dgm:pt modelId="{0004537B-9AEF-4C46-8996-084A37AF9839}" cxnId="{EDAB785D-F51D-4FA1-B0CC-370528E9115E}" type="sibTrans">
      <dgm:prSet/>
      <dgm:spPr/>
      <dgm:t>
        <a:bodyPr/>
        <a:p>
          <a:endParaRPr lang="en-US"/>
        </a:p>
      </dgm:t>
    </dgm:pt>
    <dgm:pt modelId="{5CDF0F3E-8BA3-46B8-95B6-7D41DD603B43}">
      <dgm:prSet phldrT="[Text]"/>
      <dgm:spPr/>
      <dgm:t>
        <a:bodyPr/>
        <a:p>
          <a:r>
            <a:rPr lang="en-US"/>
            <a:t>Model 1</a:t>
          </a:r>
        </a:p>
        <a:p>
          <a:r>
            <a:rPr lang="en-US"/>
            <a:t>SMK supply room for industry partner to build Trachung Factory in Industry</a:t>
          </a:r>
        </a:p>
      </dgm:t>
    </dgm:pt>
    <dgm:pt modelId="{20F46AD3-8CF5-4037-8A3C-CF3982034D19}" cxnId="{47F0134E-385E-4230-B5E8-4D6DCB58BED2}" type="parTrans">
      <dgm:prSet/>
      <dgm:spPr/>
      <dgm:t>
        <a:bodyPr/>
        <a:p>
          <a:endParaRPr lang="en-US"/>
        </a:p>
      </dgm:t>
    </dgm:pt>
    <dgm:pt modelId="{9139B57E-20E1-4F77-9B28-1E2FE22C2442}" cxnId="{47F0134E-385E-4230-B5E8-4D6DCB58BED2}" type="sibTrans">
      <dgm:prSet/>
      <dgm:spPr/>
      <dgm:t>
        <a:bodyPr/>
        <a:p>
          <a:endParaRPr lang="en-US"/>
        </a:p>
      </dgm:t>
    </dgm:pt>
    <dgm:pt modelId="{8E632407-6DFE-4D83-A5A7-8B7F9CB25DC2}">
      <dgm:prSet phldrT="[Text]"/>
      <dgm:spPr/>
      <dgm:t>
        <a:bodyPr/>
        <a:p>
          <a:r>
            <a:rPr lang="en-US"/>
            <a:t>Model 3</a:t>
          </a:r>
        </a:p>
        <a:p>
          <a:r>
            <a:rPr lang="en-US"/>
            <a:t>The teaching factory takes  the form of a special cooperation class between industrial partners and SMK</a:t>
          </a:r>
        </a:p>
      </dgm:t>
    </dgm:pt>
    <dgm:pt modelId="{FE3631A9-1F9C-4378-B50B-14232F18B2B2}" cxnId="{6865F0EF-29D9-4267-BBEA-7E3429023025}" type="parTrans">
      <dgm:prSet/>
      <dgm:spPr/>
      <dgm:t>
        <a:bodyPr/>
        <a:p>
          <a:endParaRPr lang="en-US"/>
        </a:p>
      </dgm:t>
    </dgm:pt>
    <dgm:pt modelId="{C0C6D66E-985A-4D9F-9EFC-877D9483F892}" cxnId="{6865F0EF-29D9-4267-BBEA-7E3429023025}" type="sibTrans">
      <dgm:prSet/>
      <dgm:spPr/>
      <dgm:t>
        <a:bodyPr/>
        <a:p>
          <a:endParaRPr lang="en-US"/>
        </a:p>
      </dgm:t>
    </dgm:pt>
    <dgm:pt modelId="{AEF02B53-7B61-4557-A0B2-FE10C0717B44}">
      <dgm:prSet/>
      <dgm:spPr/>
      <dgm:t>
        <a:bodyPr/>
        <a:p>
          <a:r>
            <a:rPr lang="en-US"/>
            <a:t>Model 2</a:t>
          </a:r>
        </a:p>
        <a:p>
          <a:r>
            <a:rPr lang="en-US"/>
            <a:t>SMK buils teaching factory togeteher with industry partner</a:t>
          </a:r>
        </a:p>
        <a:p>
          <a:endParaRPr lang="en-US"/>
        </a:p>
      </dgm:t>
    </dgm:pt>
    <dgm:pt modelId="{2999E7D3-5B48-4B95-8958-2866C5D9D502}" cxnId="{CAD5D0C6-5125-45CB-A8D2-206BC7DB60A5}" type="parTrans">
      <dgm:prSet/>
      <dgm:spPr/>
      <dgm:t>
        <a:bodyPr/>
        <a:p>
          <a:endParaRPr lang="en-US"/>
        </a:p>
      </dgm:t>
    </dgm:pt>
    <dgm:pt modelId="{0F8568CD-3D70-4545-BEEA-85CA5878F803}" cxnId="{CAD5D0C6-5125-45CB-A8D2-206BC7DB60A5}" type="sibTrans">
      <dgm:prSet/>
      <dgm:spPr/>
      <dgm:t>
        <a:bodyPr/>
        <a:p>
          <a:endParaRPr lang="en-US"/>
        </a:p>
      </dgm:t>
    </dgm:pt>
    <dgm:pt modelId="{F0DEF263-E9C1-4386-8077-285E3C4E315E}" type="pres">
      <dgm:prSet presAssocID="{DEEF1540-C562-4E91-8A13-C786CB3AC1C9}" presName="hierChild1" presStyleCnt="0">
        <dgm:presLayoutVars>
          <dgm:chPref val="1"/>
          <dgm:dir/>
          <dgm:animOne val="branch"/>
          <dgm:animLvl val="lvl"/>
          <dgm:resizeHandles/>
        </dgm:presLayoutVars>
      </dgm:prSet>
      <dgm:spPr/>
    </dgm:pt>
    <dgm:pt modelId="{4C8206AF-C598-4CC3-B113-BAA45ED3A9F9}" type="pres">
      <dgm:prSet presAssocID="{DAE1DB5D-5590-4227-B10A-DBAD848D2630}" presName="hierRoot1" presStyleCnt="0"/>
      <dgm:spPr/>
    </dgm:pt>
    <dgm:pt modelId="{ED0E1CC7-9C5F-4B20-AF55-3536131DA4C4}" type="pres">
      <dgm:prSet presAssocID="{DAE1DB5D-5590-4227-B10A-DBAD848D2630}" presName="composite" presStyleCnt="0"/>
      <dgm:spPr/>
    </dgm:pt>
    <dgm:pt modelId="{A1557D23-726B-4536-9473-2C186968BE1B}" type="pres">
      <dgm:prSet presAssocID="{DAE1DB5D-5590-4227-B10A-DBAD848D2630}" presName="background" presStyleLbl="node0" presStyleIdx="0" presStyleCnt="1"/>
      <dgm:spPr/>
    </dgm:pt>
    <dgm:pt modelId="{27466988-3933-4A56-9616-A2F15247A253}" type="pres">
      <dgm:prSet presAssocID="{DAE1DB5D-5590-4227-B10A-DBAD848D2630}" presName="text" presStyleLbl="fgAcc0" presStyleIdx="0" presStyleCnt="1">
        <dgm:presLayoutVars>
          <dgm:chPref val="3"/>
        </dgm:presLayoutVars>
      </dgm:prSet>
      <dgm:spPr/>
      <dgm:t>
        <a:bodyPr/>
        <a:p>
          <a:endParaRPr lang="en-US"/>
        </a:p>
      </dgm:t>
    </dgm:pt>
    <dgm:pt modelId="{FA8E5F62-2481-4B3E-9FEE-0C3DF37B7614}" type="pres">
      <dgm:prSet presAssocID="{DAE1DB5D-5590-4227-B10A-DBAD848D2630}" presName="hierChild2" presStyleCnt="0"/>
      <dgm:spPr/>
    </dgm:pt>
    <dgm:pt modelId="{17508969-B28B-4CDB-9907-34A66E83F053}" type="pres">
      <dgm:prSet presAssocID="{20F46AD3-8CF5-4037-8A3C-CF3982034D19}" presName="Name10" presStyleLbl="parChTrans1D2" presStyleIdx="0" presStyleCnt="3"/>
      <dgm:spPr/>
    </dgm:pt>
    <dgm:pt modelId="{34541AB7-B89E-473D-A46E-67795741F126}" type="pres">
      <dgm:prSet presAssocID="{5CDF0F3E-8BA3-46B8-95B6-7D41DD603B43}" presName="hierRoot2" presStyleCnt="0"/>
      <dgm:spPr/>
    </dgm:pt>
    <dgm:pt modelId="{FE504CBB-B66D-495A-B9E7-9248EC52365C}" type="pres">
      <dgm:prSet presAssocID="{5CDF0F3E-8BA3-46B8-95B6-7D41DD603B43}" presName="composite2" presStyleCnt="0"/>
      <dgm:spPr/>
    </dgm:pt>
    <dgm:pt modelId="{1C2B2753-3C0A-48D5-A7D8-A86AE821A20A}" type="pres">
      <dgm:prSet presAssocID="{5CDF0F3E-8BA3-46B8-95B6-7D41DD603B43}" presName="background2" presStyleLbl="node2" presStyleIdx="0" presStyleCnt="3"/>
      <dgm:spPr/>
    </dgm:pt>
    <dgm:pt modelId="{7762EC13-F0DD-4D38-951E-CD3BB1DEF199}" type="pres">
      <dgm:prSet presAssocID="{5CDF0F3E-8BA3-46B8-95B6-7D41DD603B43}" presName="text2" presStyleLbl="fgAcc2" presStyleIdx="0" presStyleCnt="3">
        <dgm:presLayoutVars>
          <dgm:chPref val="3"/>
        </dgm:presLayoutVars>
      </dgm:prSet>
      <dgm:spPr/>
      <dgm:t>
        <a:bodyPr/>
        <a:p>
          <a:endParaRPr lang="en-US"/>
        </a:p>
      </dgm:t>
    </dgm:pt>
    <dgm:pt modelId="{5BCF003B-9BC5-45F3-8185-F9C7A0F58AAD}" type="pres">
      <dgm:prSet presAssocID="{5CDF0F3E-8BA3-46B8-95B6-7D41DD603B43}" presName="hierChild3" presStyleCnt="0"/>
      <dgm:spPr/>
    </dgm:pt>
    <dgm:pt modelId="{6791054B-9C71-4E18-9706-84B17F28B2AD}" type="pres">
      <dgm:prSet presAssocID="{2999E7D3-5B48-4B95-8958-2866C5D9D502}" presName="Name10" presStyleLbl="parChTrans1D2" presStyleIdx="1" presStyleCnt="3"/>
      <dgm:spPr/>
    </dgm:pt>
    <dgm:pt modelId="{E868AC59-A20E-45F5-A82C-F83F81C1F406}" type="pres">
      <dgm:prSet presAssocID="{AEF02B53-7B61-4557-A0B2-FE10C0717B44}" presName="hierRoot2" presStyleCnt="0"/>
      <dgm:spPr/>
    </dgm:pt>
    <dgm:pt modelId="{96F2937E-FBF8-47D9-95D1-980FF60F1003}" type="pres">
      <dgm:prSet presAssocID="{AEF02B53-7B61-4557-A0B2-FE10C0717B44}" presName="composite2" presStyleCnt="0"/>
      <dgm:spPr/>
    </dgm:pt>
    <dgm:pt modelId="{E4ED3E87-C2FF-4DFB-8D9D-E0641CB919F3}" type="pres">
      <dgm:prSet presAssocID="{AEF02B53-7B61-4557-A0B2-FE10C0717B44}" presName="background2" presStyleLbl="node2" presStyleIdx="1" presStyleCnt="3"/>
      <dgm:spPr/>
    </dgm:pt>
    <dgm:pt modelId="{152CFF89-390D-4E5E-A9F9-C840B6868BDB}" type="pres">
      <dgm:prSet presAssocID="{AEF02B53-7B61-4557-A0B2-FE10C0717B44}" presName="text2" presStyleLbl="fgAcc2" presStyleIdx="1" presStyleCnt="3">
        <dgm:presLayoutVars>
          <dgm:chPref val="3"/>
        </dgm:presLayoutVars>
      </dgm:prSet>
      <dgm:spPr/>
    </dgm:pt>
    <dgm:pt modelId="{90DFE85C-3E51-426C-89C2-4DE3C3FA62A1}" type="pres">
      <dgm:prSet presAssocID="{AEF02B53-7B61-4557-A0B2-FE10C0717B44}" presName="hierChild3" presStyleCnt="0"/>
      <dgm:spPr/>
    </dgm:pt>
    <dgm:pt modelId="{2A20B94C-AF08-47A4-AE8A-D5CBF9617202}" type="pres">
      <dgm:prSet presAssocID="{FE3631A9-1F9C-4378-B50B-14232F18B2B2}" presName="Name10" presStyleLbl="parChTrans1D2" presStyleIdx="2" presStyleCnt="3"/>
      <dgm:spPr/>
    </dgm:pt>
    <dgm:pt modelId="{67E37B7B-E9ED-4829-84DB-AEF1E12BC84B}" type="pres">
      <dgm:prSet presAssocID="{8E632407-6DFE-4D83-A5A7-8B7F9CB25DC2}" presName="hierRoot2" presStyleCnt="0"/>
      <dgm:spPr/>
    </dgm:pt>
    <dgm:pt modelId="{5BCC1EB3-D590-4FFF-93F8-597399A1055A}" type="pres">
      <dgm:prSet presAssocID="{8E632407-6DFE-4D83-A5A7-8B7F9CB25DC2}" presName="composite2" presStyleCnt="0"/>
      <dgm:spPr/>
    </dgm:pt>
    <dgm:pt modelId="{3606C1B6-FDBF-4E65-B226-185AC1D113AE}" type="pres">
      <dgm:prSet presAssocID="{8E632407-6DFE-4D83-A5A7-8B7F9CB25DC2}" presName="background2" presStyleLbl="node2" presStyleIdx="2" presStyleCnt="3"/>
      <dgm:spPr/>
    </dgm:pt>
    <dgm:pt modelId="{5485936F-7010-4834-96EC-F5391E590132}" type="pres">
      <dgm:prSet presAssocID="{8E632407-6DFE-4D83-A5A7-8B7F9CB25DC2}" presName="text2" presStyleLbl="fgAcc2" presStyleIdx="2" presStyleCnt="3">
        <dgm:presLayoutVars>
          <dgm:chPref val="3"/>
        </dgm:presLayoutVars>
      </dgm:prSet>
      <dgm:spPr/>
      <dgm:t>
        <a:bodyPr/>
        <a:p>
          <a:endParaRPr lang="en-US"/>
        </a:p>
      </dgm:t>
    </dgm:pt>
    <dgm:pt modelId="{BA41CCAF-DB5B-4D5B-8B5E-1AEF81D74E4E}" type="pres">
      <dgm:prSet presAssocID="{8E632407-6DFE-4D83-A5A7-8B7F9CB25DC2}" presName="hierChild3" presStyleCnt="0"/>
      <dgm:spPr/>
    </dgm:pt>
  </dgm:ptLst>
  <dgm:cxnLst>
    <dgm:cxn modelId="{47F0134E-385E-4230-B5E8-4D6DCB58BED2}" srcId="{DAE1DB5D-5590-4227-B10A-DBAD848D2630}" destId="{5CDF0F3E-8BA3-46B8-95B6-7D41DD603B43}" srcOrd="0" destOrd="0" parTransId="{20F46AD3-8CF5-4037-8A3C-CF3982034D19}" sibTransId="{9139B57E-20E1-4F77-9B28-1E2FE22C2442}"/>
    <dgm:cxn modelId="{7C530399-7AD9-41F1-A7D1-43C145E5F4DF}" type="presOf" srcId="{AEF02B53-7B61-4557-A0B2-FE10C0717B44}" destId="{152CFF89-390D-4E5E-A9F9-C840B6868BDB}" srcOrd="0" destOrd="0" presId="urn:microsoft.com/office/officeart/2005/8/layout/hierarchy1"/>
    <dgm:cxn modelId="{7B79C2F9-33C8-4F59-B34D-3B79DA6CA4B0}" type="presOf" srcId="{FE3631A9-1F9C-4378-B50B-14232F18B2B2}" destId="{2A20B94C-AF08-47A4-AE8A-D5CBF9617202}" srcOrd="0" destOrd="0" presId="urn:microsoft.com/office/officeart/2005/8/layout/hierarchy1"/>
    <dgm:cxn modelId="{CAD5D0C6-5125-45CB-A8D2-206BC7DB60A5}" srcId="{DAE1DB5D-5590-4227-B10A-DBAD848D2630}" destId="{AEF02B53-7B61-4557-A0B2-FE10C0717B44}" srcOrd="1" destOrd="0" parTransId="{2999E7D3-5B48-4B95-8958-2866C5D9D502}" sibTransId="{0F8568CD-3D70-4545-BEEA-85CA5878F803}"/>
    <dgm:cxn modelId="{F68951DA-8F44-4649-BA1A-076D62AC59C7}" type="presOf" srcId="{2999E7D3-5B48-4B95-8958-2866C5D9D502}" destId="{6791054B-9C71-4E18-9706-84B17F28B2AD}" srcOrd="0" destOrd="0" presId="urn:microsoft.com/office/officeart/2005/8/layout/hierarchy1"/>
    <dgm:cxn modelId="{DADB1369-0AAB-421A-A41E-6C62DACD8B2D}" type="presOf" srcId="{DEEF1540-C562-4E91-8A13-C786CB3AC1C9}" destId="{F0DEF263-E9C1-4386-8077-285E3C4E315E}" srcOrd="0" destOrd="0" presId="urn:microsoft.com/office/officeart/2005/8/layout/hierarchy1"/>
    <dgm:cxn modelId="{EDAB785D-F51D-4FA1-B0CC-370528E9115E}" srcId="{DEEF1540-C562-4E91-8A13-C786CB3AC1C9}" destId="{DAE1DB5D-5590-4227-B10A-DBAD848D2630}" srcOrd="0" destOrd="0" parTransId="{ED8FE6A6-4748-4402-90F8-4D8D5FB5D9CE}" sibTransId="{0004537B-9AEF-4C46-8996-084A37AF9839}"/>
    <dgm:cxn modelId="{CC898EB6-2FC6-4273-9806-38E6DB84FF67}" type="presOf" srcId="{5CDF0F3E-8BA3-46B8-95B6-7D41DD603B43}" destId="{7762EC13-F0DD-4D38-951E-CD3BB1DEF199}" srcOrd="0" destOrd="0" presId="urn:microsoft.com/office/officeart/2005/8/layout/hierarchy1"/>
    <dgm:cxn modelId="{6865F0EF-29D9-4267-BBEA-7E3429023025}" srcId="{DAE1DB5D-5590-4227-B10A-DBAD848D2630}" destId="{8E632407-6DFE-4D83-A5A7-8B7F9CB25DC2}" srcOrd="2" destOrd="0" parTransId="{FE3631A9-1F9C-4378-B50B-14232F18B2B2}" sibTransId="{C0C6D66E-985A-4D9F-9EFC-877D9483F892}"/>
    <dgm:cxn modelId="{50D70828-7565-4205-BC56-2601CBB117D2}" type="presOf" srcId="{8E632407-6DFE-4D83-A5A7-8B7F9CB25DC2}" destId="{5485936F-7010-4834-96EC-F5391E590132}" srcOrd="0" destOrd="0" presId="urn:microsoft.com/office/officeart/2005/8/layout/hierarchy1"/>
    <dgm:cxn modelId="{7834A5FE-0633-4F41-A9A4-73AE8550EE7E}" type="presOf" srcId="{20F46AD3-8CF5-4037-8A3C-CF3982034D19}" destId="{17508969-B28B-4CDB-9907-34A66E83F053}" srcOrd="0" destOrd="0" presId="urn:microsoft.com/office/officeart/2005/8/layout/hierarchy1"/>
    <dgm:cxn modelId="{22AE1F3D-CBF1-4E07-A9FB-10F4D1F19395}" type="presOf" srcId="{DAE1DB5D-5590-4227-B10A-DBAD848D2630}" destId="{27466988-3933-4A56-9616-A2F15247A253}" srcOrd="0" destOrd="0" presId="urn:microsoft.com/office/officeart/2005/8/layout/hierarchy1"/>
    <dgm:cxn modelId="{B88241E7-858C-4686-BAE4-6757605280B6}" type="presParOf" srcId="{F0DEF263-E9C1-4386-8077-285E3C4E315E}" destId="{4C8206AF-C598-4CC3-B113-BAA45ED3A9F9}" srcOrd="0" destOrd="0" presId="urn:microsoft.com/office/officeart/2005/8/layout/hierarchy1"/>
    <dgm:cxn modelId="{0B7498DB-7756-4C96-B5C1-FD7C7C15F4E7}" type="presParOf" srcId="{4C8206AF-C598-4CC3-B113-BAA45ED3A9F9}" destId="{ED0E1CC7-9C5F-4B20-AF55-3536131DA4C4}" srcOrd="0" destOrd="0" presId="urn:microsoft.com/office/officeart/2005/8/layout/hierarchy1"/>
    <dgm:cxn modelId="{008B55D4-B9D6-4788-A06E-CE9050D44269}" type="presParOf" srcId="{ED0E1CC7-9C5F-4B20-AF55-3536131DA4C4}" destId="{A1557D23-726B-4536-9473-2C186968BE1B}" srcOrd="0" destOrd="0" presId="urn:microsoft.com/office/officeart/2005/8/layout/hierarchy1"/>
    <dgm:cxn modelId="{1FD0404D-0E6C-4FF4-834E-263043632D37}" type="presParOf" srcId="{ED0E1CC7-9C5F-4B20-AF55-3536131DA4C4}" destId="{27466988-3933-4A56-9616-A2F15247A253}" srcOrd="1" destOrd="0" presId="urn:microsoft.com/office/officeart/2005/8/layout/hierarchy1"/>
    <dgm:cxn modelId="{1293BA7F-C8F9-4A85-BA04-42B412535593}" type="presParOf" srcId="{4C8206AF-C598-4CC3-B113-BAA45ED3A9F9}" destId="{FA8E5F62-2481-4B3E-9FEE-0C3DF37B7614}" srcOrd="1" destOrd="0" presId="urn:microsoft.com/office/officeart/2005/8/layout/hierarchy1"/>
    <dgm:cxn modelId="{7CC82D58-DD22-468C-8F9D-51B186A444A2}" type="presParOf" srcId="{FA8E5F62-2481-4B3E-9FEE-0C3DF37B7614}" destId="{17508969-B28B-4CDB-9907-34A66E83F053}" srcOrd="0" destOrd="0" presId="urn:microsoft.com/office/officeart/2005/8/layout/hierarchy1"/>
    <dgm:cxn modelId="{008B088E-48E0-432A-9E39-E5D7392EB3E0}" type="presParOf" srcId="{FA8E5F62-2481-4B3E-9FEE-0C3DF37B7614}" destId="{34541AB7-B89E-473D-A46E-67795741F126}" srcOrd="1" destOrd="0" presId="urn:microsoft.com/office/officeart/2005/8/layout/hierarchy1"/>
    <dgm:cxn modelId="{26E275F2-F184-4A77-95AD-C61B6B9EFE2E}" type="presParOf" srcId="{34541AB7-B89E-473D-A46E-67795741F126}" destId="{FE504CBB-B66D-495A-B9E7-9248EC52365C}" srcOrd="0" destOrd="0" presId="urn:microsoft.com/office/officeart/2005/8/layout/hierarchy1"/>
    <dgm:cxn modelId="{45067357-F479-458B-8934-2F584ECAD0C9}" type="presParOf" srcId="{FE504CBB-B66D-495A-B9E7-9248EC52365C}" destId="{1C2B2753-3C0A-48D5-A7D8-A86AE821A20A}" srcOrd="0" destOrd="0" presId="urn:microsoft.com/office/officeart/2005/8/layout/hierarchy1"/>
    <dgm:cxn modelId="{7AD10FA4-2FC9-4282-BF98-A96F050BB85A}" type="presParOf" srcId="{FE504CBB-B66D-495A-B9E7-9248EC52365C}" destId="{7762EC13-F0DD-4D38-951E-CD3BB1DEF199}" srcOrd="1" destOrd="0" presId="urn:microsoft.com/office/officeart/2005/8/layout/hierarchy1"/>
    <dgm:cxn modelId="{003EC16E-CCC5-4DF8-9946-4594DB019DD1}" type="presParOf" srcId="{34541AB7-B89E-473D-A46E-67795741F126}" destId="{5BCF003B-9BC5-45F3-8185-F9C7A0F58AAD}" srcOrd="1" destOrd="0" presId="urn:microsoft.com/office/officeart/2005/8/layout/hierarchy1"/>
    <dgm:cxn modelId="{DC47118E-266B-4BD5-82E2-F5EB427C75B9}" type="presParOf" srcId="{FA8E5F62-2481-4B3E-9FEE-0C3DF37B7614}" destId="{6791054B-9C71-4E18-9706-84B17F28B2AD}" srcOrd="2" destOrd="0" presId="urn:microsoft.com/office/officeart/2005/8/layout/hierarchy1"/>
    <dgm:cxn modelId="{60C8775A-3B76-4FE3-88F4-9E196B251520}" type="presParOf" srcId="{FA8E5F62-2481-4B3E-9FEE-0C3DF37B7614}" destId="{E868AC59-A20E-45F5-A82C-F83F81C1F406}" srcOrd="3" destOrd="0" presId="urn:microsoft.com/office/officeart/2005/8/layout/hierarchy1"/>
    <dgm:cxn modelId="{C59FCA07-042D-4A53-B9F2-230B7894BFB1}" type="presParOf" srcId="{E868AC59-A20E-45F5-A82C-F83F81C1F406}" destId="{96F2937E-FBF8-47D9-95D1-980FF60F1003}" srcOrd="0" destOrd="0" presId="urn:microsoft.com/office/officeart/2005/8/layout/hierarchy1"/>
    <dgm:cxn modelId="{475C1D94-4B28-4D43-ABA7-8BD64F5A1FC6}" type="presParOf" srcId="{96F2937E-FBF8-47D9-95D1-980FF60F1003}" destId="{E4ED3E87-C2FF-4DFB-8D9D-E0641CB919F3}" srcOrd="0" destOrd="0" presId="urn:microsoft.com/office/officeart/2005/8/layout/hierarchy1"/>
    <dgm:cxn modelId="{9D340F4A-4BD2-45B5-A203-78619F31C906}" type="presParOf" srcId="{96F2937E-FBF8-47D9-95D1-980FF60F1003}" destId="{152CFF89-390D-4E5E-A9F9-C840B6868BDB}" srcOrd="1" destOrd="0" presId="urn:microsoft.com/office/officeart/2005/8/layout/hierarchy1"/>
    <dgm:cxn modelId="{34FC5E61-C446-4463-A9D1-C56B2E53D0B0}" type="presParOf" srcId="{E868AC59-A20E-45F5-A82C-F83F81C1F406}" destId="{90DFE85C-3E51-426C-89C2-4DE3C3FA62A1}" srcOrd="1" destOrd="0" presId="urn:microsoft.com/office/officeart/2005/8/layout/hierarchy1"/>
    <dgm:cxn modelId="{68D3C306-EC3B-459A-8FD1-1D62036D84C1}" type="presParOf" srcId="{FA8E5F62-2481-4B3E-9FEE-0C3DF37B7614}" destId="{2A20B94C-AF08-47A4-AE8A-D5CBF9617202}" srcOrd="4" destOrd="0" presId="urn:microsoft.com/office/officeart/2005/8/layout/hierarchy1"/>
    <dgm:cxn modelId="{4594CBA0-39C0-4353-9F55-7BB506F36FCB}" type="presParOf" srcId="{FA8E5F62-2481-4B3E-9FEE-0C3DF37B7614}" destId="{67E37B7B-E9ED-4829-84DB-AEF1E12BC84B}" srcOrd="5" destOrd="0" presId="urn:microsoft.com/office/officeart/2005/8/layout/hierarchy1"/>
    <dgm:cxn modelId="{665712D2-8FB1-418E-A047-F432BED543B8}" type="presParOf" srcId="{67E37B7B-E9ED-4829-84DB-AEF1E12BC84B}" destId="{5BCC1EB3-D590-4FFF-93F8-597399A1055A}" srcOrd="0" destOrd="0" presId="urn:microsoft.com/office/officeart/2005/8/layout/hierarchy1"/>
    <dgm:cxn modelId="{7397D340-7F46-423B-94E9-E48D579A2FDE}" type="presParOf" srcId="{5BCC1EB3-D590-4FFF-93F8-597399A1055A}" destId="{3606C1B6-FDBF-4E65-B226-185AC1D113AE}" srcOrd="0" destOrd="0" presId="urn:microsoft.com/office/officeart/2005/8/layout/hierarchy1"/>
    <dgm:cxn modelId="{6704A842-AD5D-4A0F-A367-BFF6CAACFBAB}" type="presParOf" srcId="{5BCC1EB3-D590-4FFF-93F8-597399A1055A}" destId="{5485936F-7010-4834-96EC-F5391E590132}" srcOrd="1" destOrd="0" presId="urn:microsoft.com/office/officeart/2005/8/layout/hierarchy1"/>
    <dgm:cxn modelId="{3E325B11-A084-4B7E-927E-BA10FCA3A1A1}" type="presParOf" srcId="{67E37B7B-E9ED-4829-84DB-AEF1E12BC84B}" destId="{BA41CCAF-DB5B-4D5B-8B5E-1AEF81D74E4E}" srcOrd="1" destOrd="0" presId="urn:microsoft.com/office/officeart/2005/8/layout/hierarchy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20B94C-AF08-47A4-AE8A-D5CBF9617202}">
      <dsp:nvSpPr>
        <dsp:cNvPr id="0" name=""/>
        <dsp:cNvSpPr/>
      </dsp:nvSpPr>
      <dsp:spPr>
        <a:xfrm>
          <a:off x="2657475" y="1294376"/>
          <a:ext cx="1885949" cy="448770"/>
        </a:xfrm>
        <a:custGeom>
          <a:avLst/>
          <a:gdLst/>
          <a:ahLst/>
          <a:cxnLst/>
          <a:rect l="0" t="0" r="0" b="0"/>
          <a:pathLst>
            <a:path>
              <a:moveTo>
                <a:pt x="0" y="0"/>
              </a:moveTo>
              <a:lnTo>
                <a:pt x="0" y="305823"/>
              </a:lnTo>
              <a:lnTo>
                <a:pt x="1885949" y="305823"/>
              </a:lnTo>
              <a:lnTo>
                <a:pt x="1885949"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91054B-9C71-4E18-9706-84B17F28B2AD}">
      <dsp:nvSpPr>
        <dsp:cNvPr id="0" name=""/>
        <dsp:cNvSpPr/>
      </dsp:nvSpPr>
      <dsp:spPr>
        <a:xfrm>
          <a:off x="2611755" y="1294376"/>
          <a:ext cx="91440" cy="448770"/>
        </a:xfrm>
        <a:custGeom>
          <a:avLst/>
          <a:gdLst/>
          <a:ahLst/>
          <a:cxnLst/>
          <a:rect l="0" t="0" r="0" b="0"/>
          <a:pathLst>
            <a:path>
              <a:moveTo>
                <a:pt x="45720" y="0"/>
              </a:moveTo>
              <a:lnTo>
                <a:pt x="45720"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508969-B28B-4CDB-9907-34A66E83F053}">
      <dsp:nvSpPr>
        <dsp:cNvPr id="0" name=""/>
        <dsp:cNvSpPr/>
      </dsp:nvSpPr>
      <dsp:spPr>
        <a:xfrm>
          <a:off x="771525" y="1294376"/>
          <a:ext cx="1885950" cy="448770"/>
        </a:xfrm>
        <a:custGeom>
          <a:avLst/>
          <a:gdLst/>
          <a:ahLst/>
          <a:cxnLst/>
          <a:rect l="0" t="0" r="0" b="0"/>
          <a:pathLst>
            <a:path>
              <a:moveTo>
                <a:pt x="1885950" y="0"/>
              </a:moveTo>
              <a:lnTo>
                <a:pt x="1885950" y="305823"/>
              </a:lnTo>
              <a:lnTo>
                <a:pt x="0" y="305823"/>
              </a:lnTo>
              <a:lnTo>
                <a:pt x="0"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557D23-726B-4536-9473-2C186968BE1B}">
      <dsp:nvSpPr>
        <dsp:cNvPr id="0" name=""/>
        <dsp:cNvSpPr/>
      </dsp:nvSpPr>
      <dsp:spPr>
        <a:xfrm>
          <a:off x="1885950" y="314539"/>
          <a:ext cx="1543049" cy="979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466988-3933-4A56-9616-A2F15247A253}">
      <dsp:nvSpPr>
        <dsp:cNvPr id="0" name=""/>
        <dsp:cNvSpPr/>
      </dsp:nvSpPr>
      <dsp:spPr>
        <a:xfrm>
          <a:off x="2057400" y="477416"/>
          <a:ext cx="1543049" cy="979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Teaching Factory Learning Model</a:t>
          </a:r>
        </a:p>
      </dsp:txBody>
      <dsp:txXfrm>
        <a:off x="2086098" y="506114"/>
        <a:ext cx="1485653" cy="922440"/>
      </dsp:txXfrm>
    </dsp:sp>
    <dsp:sp modelId="{1C2B2753-3C0A-48D5-A7D8-A86AE821A20A}">
      <dsp:nvSpPr>
        <dsp:cNvPr id="0" name=""/>
        <dsp:cNvSpPr/>
      </dsp:nvSpPr>
      <dsp:spPr>
        <a:xfrm>
          <a:off x="0" y="1743146"/>
          <a:ext cx="1543049" cy="979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62EC13-F0DD-4D38-951E-CD3BB1DEF199}">
      <dsp:nvSpPr>
        <dsp:cNvPr id="0" name=""/>
        <dsp:cNvSpPr/>
      </dsp:nvSpPr>
      <dsp:spPr>
        <a:xfrm>
          <a:off x="171450" y="1906023"/>
          <a:ext cx="1543049" cy="979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Model 1</a:t>
          </a:r>
        </a:p>
        <a:p>
          <a:pPr lvl="0" algn="ctr" defTabSz="400050">
            <a:lnSpc>
              <a:spcPct val="90000"/>
            </a:lnSpc>
            <a:spcBef>
              <a:spcPct val="0"/>
            </a:spcBef>
            <a:spcAft>
              <a:spcPct val="35000"/>
            </a:spcAft>
          </a:pPr>
          <a:r>
            <a:rPr lang="en-US" sz="900" kern="1200"/>
            <a:t>SMK supply room for industry partner to build Trachung Factory in Industry</a:t>
          </a:r>
        </a:p>
      </dsp:txBody>
      <dsp:txXfrm>
        <a:off x="200148" y="1934721"/>
        <a:ext cx="1485653" cy="922440"/>
      </dsp:txXfrm>
    </dsp:sp>
    <dsp:sp modelId="{E4ED3E87-C2FF-4DFB-8D9D-E0641CB919F3}">
      <dsp:nvSpPr>
        <dsp:cNvPr id="0" name=""/>
        <dsp:cNvSpPr/>
      </dsp:nvSpPr>
      <dsp:spPr>
        <a:xfrm>
          <a:off x="1885950" y="1743146"/>
          <a:ext cx="1543049" cy="979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2CFF89-390D-4E5E-A9F9-C840B6868BDB}">
      <dsp:nvSpPr>
        <dsp:cNvPr id="0" name=""/>
        <dsp:cNvSpPr/>
      </dsp:nvSpPr>
      <dsp:spPr>
        <a:xfrm>
          <a:off x="2057400" y="1906023"/>
          <a:ext cx="1543049" cy="979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Model 2</a:t>
          </a:r>
        </a:p>
        <a:p>
          <a:pPr lvl="0" algn="ctr" defTabSz="400050">
            <a:lnSpc>
              <a:spcPct val="90000"/>
            </a:lnSpc>
            <a:spcBef>
              <a:spcPct val="0"/>
            </a:spcBef>
            <a:spcAft>
              <a:spcPct val="35000"/>
            </a:spcAft>
          </a:pPr>
          <a:r>
            <a:rPr lang="en-US" sz="900" kern="1200"/>
            <a:t>SMK buils teaching factory togeteher with industry partner</a:t>
          </a:r>
        </a:p>
        <a:p>
          <a:pPr lvl="0" algn="ctr" defTabSz="400050">
            <a:lnSpc>
              <a:spcPct val="90000"/>
            </a:lnSpc>
            <a:spcBef>
              <a:spcPct val="0"/>
            </a:spcBef>
            <a:spcAft>
              <a:spcPct val="35000"/>
            </a:spcAft>
          </a:pPr>
          <a:endParaRPr lang="en-US" sz="900" kern="1200"/>
        </a:p>
      </dsp:txBody>
      <dsp:txXfrm>
        <a:off x="2086098" y="1934721"/>
        <a:ext cx="1485653" cy="922440"/>
      </dsp:txXfrm>
    </dsp:sp>
    <dsp:sp modelId="{3606C1B6-FDBF-4E65-B226-185AC1D113AE}">
      <dsp:nvSpPr>
        <dsp:cNvPr id="0" name=""/>
        <dsp:cNvSpPr/>
      </dsp:nvSpPr>
      <dsp:spPr>
        <a:xfrm>
          <a:off x="3771900" y="1743146"/>
          <a:ext cx="1543049" cy="979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85936F-7010-4834-96EC-F5391E590132}">
      <dsp:nvSpPr>
        <dsp:cNvPr id="0" name=""/>
        <dsp:cNvSpPr/>
      </dsp:nvSpPr>
      <dsp:spPr>
        <a:xfrm>
          <a:off x="3943350" y="1906023"/>
          <a:ext cx="1543049" cy="979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Model 3</a:t>
          </a:r>
        </a:p>
        <a:p>
          <a:pPr lvl="0" algn="ctr" defTabSz="400050">
            <a:lnSpc>
              <a:spcPct val="90000"/>
            </a:lnSpc>
            <a:spcBef>
              <a:spcPct val="0"/>
            </a:spcBef>
            <a:spcAft>
              <a:spcPct val="35000"/>
            </a:spcAft>
          </a:pPr>
          <a:r>
            <a:rPr lang="en-US" sz="900" kern="1200"/>
            <a:t>The teaching factory takes  the form of a special cooperation class between industrial partners and SMK</a:t>
          </a:r>
        </a:p>
      </dsp:txBody>
      <dsp:txXfrm>
        <a:off x="3972048" y="1934721"/>
        <a:ext cx="1485653" cy="9224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srcNode" val="background"/>
                    <dgm:param type="dstNode" val="background2"/>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srcNode" val="background2"/>
                            <dgm:param type="dstNode" val="background3"/>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srcNode" val="background3"/>
                                        <dgm:param type="dstNode" val="background4"/>
                                        <dgm:param type="dim" val="1D"/>
                                        <dgm:param type="endSty" val="noArr"/>
                                        <dgm:param type="connRout" val="bend"/>
                                        <dgm:param type="begPts" val="bCtr"/>
                                        <dgm:param type="endPts" val="tCtr"/>
                                        <dgm:param type="bendPt" val="end"/>
                                      </dgm:alg>
                                    </dgm:if>
                                    <dgm:else name="Name26">
                                      <dgm:alg type="conn">
                                        <dgm:param type="srcNode" val="background4"/>
                                        <dgm:param type="dstNode" val="background4"/>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7</Pages>
  <Words>2926</Words>
  <Characters>16679</Characters>
  <Lines>138</Lines>
  <Paragraphs>39</Paragraphs>
  <TotalTime>43</TotalTime>
  <ScaleCrop>false</ScaleCrop>
  <LinksUpToDate>false</LinksUpToDate>
  <CharactersWithSpaces>19566</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2020-08-13T15:09:00Z</dcterms:created>
  <dc:creator>Acer</dc:creator>
  <cp:lastModifiedBy>ASUS</cp:lastModifiedBy>
  <dcterms:modified xsi:type="dcterms:W3CDTF">2020-08-15T15:35:39Z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