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BF57C" w14:textId="77777777" w:rsidR="0016385D" w:rsidRPr="00F23596" w:rsidRDefault="001D425F" w:rsidP="00F23596">
      <w:pPr>
        <w:pStyle w:val="PaperTitle"/>
        <w:jc w:val="left"/>
        <w:rPr>
          <w:b w:val="0"/>
          <w:bCs/>
          <w:sz w:val="34"/>
          <w:szCs w:val="34"/>
        </w:rPr>
      </w:pPr>
      <w:r w:rsidRPr="00F23596">
        <w:rPr>
          <w:sz w:val="34"/>
          <w:szCs w:val="34"/>
        </w:rPr>
        <w:t>SCIENTIFIC LITERACY OF VOCATIONAL SCHOOL STUDENTS IN BUILDING CONSTRUCTION</w:t>
      </w:r>
      <w:r w:rsidR="00A90413" w:rsidRPr="00F23596">
        <w:rPr>
          <w:sz w:val="34"/>
          <w:szCs w:val="34"/>
        </w:rPr>
        <w:br/>
      </w:r>
    </w:p>
    <w:p w14:paraId="5B467EAF" w14:textId="099FDAD6" w:rsidR="00F23596" w:rsidRDefault="001D425F" w:rsidP="00631951">
      <w:pPr>
        <w:pStyle w:val="AuthorName"/>
        <w:ind w:left="1418"/>
        <w:jc w:val="left"/>
        <w:rPr>
          <w:b/>
          <w:bCs/>
          <w:sz w:val="22"/>
          <w:szCs w:val="16"/>
          <w:vertAlign w:val="superscript"/>
        </w:rPr>
      </w:pPr>
      <w:proofErr w:type="spellStart"/>
      <w:r w:rsidRPr="00F23596">
        <w:rPr>
          <w:b/>
          <w:bCs/>
          <w:sz w:val="22"/>
          <w:szCs w:val="16"/>
        </w:rPr>
        <w:t>Riyan</w:t>
      </w:r>
      <w:proofErr w:type="spellEnd"/>
      <w:r w:rsidRPr="00F23596">
        <w:rPr>
          <w:b/>
          <w:bCs/>
          <w:sz w:val="22"/>
          <w:szCs w:val="16"/>
        </w:rPr>
        <w:t xml:space="preserve"> Arthur</w:t>
      </w:r>
      <w:r w:rsidRPr="00F23596">
        <w:rPr>
          <w:b/>
          <w:bCs/>
          <w:sz w:val="22"/>
          <w:szCs w:val="16"/>
          <w:vertAlign w:val="superscript"/>
        </w:rPr>
        <w:t>1</w:t>
      </w:r>
      <w:r w:rsidRPr="00F23596">
        <w:rPr>
          <w:b/>
          <w:bCs/>
          <w:sz w:val="22"/>
          <w:szCs w:val="16"/>
        </w:rPr>
        <w:t>, Daryati</w:t>
      </w:r>
      <w:r w:rsidRPr="00F23596">
        <w:rPr>
          <w:b/>
          <w:bCs/>
          <w:sz w:val="22"/>
          <w:szCs w:val="16"/>
          <w:vertAlign w:val="superscript"/>
        </w:rPr>
        <w:t>2</w:t>
      </w:r>
      <w:r w:rsidRPr="00F23596">
        <w:rPr>
          <w:b/>
          <w:bCs/>
          <w:sz w:val="22"/>
          <w:szCs w:val="16"/>
        </w:rPr>
        <w:t>, Arris Maulana</w:t>
      </w:r>
      <w:r w:rsidRPr="00F23596">
        <w:rPr>
          <w:b/>
          <w:bCs/>
          <w:sz w:val="22"/>
          <w:szCs w:val="16"/>
          <w:vertAlign w:val="superscript"/>
        </w:rPr>
        <w:t>3</w:t>
      </w:r>
      <w:r w:rsidRPr="00F23596">
        <w:rPr>
          <w:b/>
          <w:bCs/>
          <w:sz w:val="22"/>
          <w:szCs w:val="16"/>
        </w:rPr>
        <w:t xml:space="preserve">, </w:t>
      </w:r>
      <w:proofErr w:type="spellStart"/>
      <w:r w:rsidRPr="00F23596">
        <w:rPr>
          <w:b/>
          <w:bCs/>
          <w:sz w:val="22"/>
          <w:szCs w:val="16"/>
        </w:rPr>
        <w:t>Riki</w:t>
      </w:r>
      <w:proofErr w:type="spellEnd"/>
      <w:r w:rsidRPr="00F23596">
        <w:rPr>
          <w:b/>
          <w:bCs/>
          <w:sz w:val="22"/>
          <w:szCs w:val="16"/>
        </w:rPr>
        <w:t xml:space="preserve"> Febiansyah</w:t>
      </w:r>
      <w:r w:rsidRPr="00F23596">
        <w:rPr>
          <w:b/>
          <w:bCs/>
          <w:sz w:val="22"/>
          <w:szCs w:val="16"/>
          <w:vertAlign w:val="superscript"/>
        </w:rPr>
        <w:t>4</w:t>
      </w:r>
      <w:r w:rsidRPr="00F23596">
        <w:rPr>
          <w:b/>
          <w:bCs/>
          <w:sz w:val="22"/>
          <w:szCs w:val="16"/>
        </w:rPr>
        <w:t xml:space="preserve">, </w:t>
      </w:r>
      <w:r w:rsidR="00631951">
        <w:rPr>
          <w:b/>
          <w:bCs/>
          <w:sz w:val="22"/>
          <w:szCs w:val="16"/>
        </w:rPr>
        <w:t xml:space="preserve">and </w:t>
      </w:r>
      <w:proofErr w:type="spellStart"/>
      <w:r w:rsidRPr="00F23596">
        <w:rPr>
          <w:b/>
          <w:bCs/>
          <w:sz w:val="22"/>
          <w:szCs w:val="16"/>
        </w:rPr>
        <w:t>Kinanti</w:t>
      </w:r>
      <w:proofErr w:type="spellEnd"/>
      <w:r w:rsidRPr="00F23596">
        <w:rPr>
          <w:b/>
          <w:bCs/>
          <w:sz w:val="22"/>
          <w:szCs w:val="16"/>
        </w:rPr>
        <w:t xml:space="preserve"> Kidung</w:t>
      </w:r>
      <w:r w:rsidRPr="00F23596">
        <w:rPr>
          <w:b/>
          <w:bCs/>
          <w:sz w:val="22"/>
          <w:szCs w:val="16"/>
          <w:vertAlign w:val="superscript"/>
        </w:rPr>
        <w:t>5</w:t>
      </w:r>
    </w:p>
    <w:p w14:paraId="594A02A9" w14:textId="6F38504B" w:rsidR="00631951" w:rsidRDefault="00631951" w:rsidP="00631951">
      <w:pPr>
        <w:pStyle w:val="Abstract"/>
        <w:spacing w:line="276" w:lineRule="auto"/>
        <w:ind w:left="1418"/>
        <w:rPr>
          <w:sz w:val="22"/>
          <w:szCs w:val="22"/>
        </w:rPr>
      </w:pPr>
      <w:r>
        <w:rPr>
          <w:b/>
          <w:bCs/>
          <w:sz w:val="20"/>
        </w:rPr>
        <w:t xml:space="preserve"> </w:t>
      </w:r>
      <w:r w:rsidRPr="00631951">
        <w:rPr>
          <w:sz w:val="22"/>
          <w:szCs w:val="22"/>
          <w:vertAlign w:val="superscript"/>
        </w:rPr>
        <w:t>12345</w:t>
      </w:r>
      <w:r w:rsidRPr="00631951">
        <w:rPr>
          <w:sz w:val="22"/>
          <w:szCs w:val="22"/>
        </w:rPr>
        <w:t>Vocational Education of Building Construction, Faculty of Engineering State University of Jakarta</w:t>
      </w:r>
    </w:p>
    <w:p w14:paraId="5E6D31F3" w14:textId="05A5DDFF" w:rsidR="00631951" w:rsidRPr="00BC1FAD" w:rsidRDefault="00631951" w:rsidP="0047508E">
      <w:pPr>
        <w:spacing w:after="568"/>
        <w:ind w:left="1418"/>
        <w:rPr>
          <w:sz w:val="22"/>
          <w:szCs w:val="18"/>
        </w:rPr>
      </w:pPr>
      <w:r>
        <w:rPr>
          <w:sz w:val="22"/>
          <w:szCs w:val="18"/>
        </w:rPr>
        <w:t>Email:</w:t>
      </w:r>
      <w:r w:rsidR="0047508E">
        <w:rPr>
          <w:sz w:val="22"/>
          <w:szCs w:val="18"/>
          <w:vertAlign w:val="superscript"/>
        </w:rPr>
        <w:t xml:space="preserve"> </w:t>
      </w:r>
      <w:hyperlink r:id="rId6" w:history="1">
        <w:r w:rsidR="005378EC" w:rsidRPr="00D52731">
          <w:rPr>
            <w:rStyle w:val="Hyperlink"/>
            <w:sz w:val="22"/>
            <w:szCs w:val="18"/>
          </w:rPr>
          <w:t>daryati_sr@unj.ac.id</w:t>
        </w:r>
      </w:hyperlink>
      <w:r w:rsidR="005378EC">
        <w:rPr>
          <w:sz w:val="22"/>
          <w:szCs w:val="18"/>
        </w:rPr>
        <w:t xml:space="preserve"> </w:t>
      </w:r>
      <w:r w:rsidR="00BC1FAD">
        <w:rPr>
          <w:sz w:val="22"/>
          <w:szCs w:val="18"/>
        </w:rPr>
        <w:t xml:space="preserve"> </w:t>
      </w:r>
    </w:p>
    <w:p w14:paraId="6982682D" w14:textId="77777777" w:rsidR="00631951" w:rsidRPr="00631951" w:rsidRDefault="00631951" w:rsidP="00631951">
      <w:pPr>
        <w:ind w:left="1418"/>
        <w:rPr>
          <w:sz w:val="22"/>
          <w:szCs w:val="18"/>
        </w:rPr>
      </w:pPr>
    </w:p>
    <w:p w14:paraId="408F04E5" w14:textId="3568DC3C" w:rsidR="00652442" w:rsidRPr="00631951" w:rsidRDefault="00652442" w:rsidP="00631951">
      <w:pPr>
        <w:pStyle w:val="Abstract"/>
        <w:spacing w:before="0" w:after="568" w:line="276" w:lineRule="auto"/>
        <w:ind w:left="1418"/>
        <w:rPr>
          <w:sz w:val="20"/>
        </w:rPr>
      </w:pPr>
      <w:r w:rsidRPr="00631951">
        <w:rPr>
          <w:b/>
          <w:bCs/>
          <w:sz w:val="20"/>
        </w:rPr>
        <w:t>Abstract</w:t>
      </w:r>
      <w:r w:rsidR="00631951">
        <w:rPr>
          <w:b/>
          <w:bCs/>
          <w:sz w:val="20"/>
        </w:rPr>
        <w:t>.</w:t>
      </w:r>
      <w:r w:rsidRPr="00631951">
        <w:rPr>
          <w:b/>
          <w:bCs/>
          <w:sz w:val="20"/>
        </w:rPr>
        <w:t xml:space="preserve"> </w:t>
      </w:r>
      <w:r w:rsidR="001D425F" w:rsidRPr="00631951">
        <w:rPr>
          <w:sz w:val="20"/>
        </w:rPr>
        <w:t>This study aims to determine the real condition of the competitiveness literacy ability of vocational school students in building construction. The study was conducted from January to February 2020. The research was conducted in 3 vocational schools that had competency in building construction in Jakarta. The results of the study concluded that most of the tenth-grade students of SMK did not have good scientific literacy and at the same time confirmed the 2018 PISA report. The results of this study will serve as the basis for an analysis of the literacy skills of vocational school students in the building construction, the quality of existing scientific literacy instruments and the development of scientific literacy instruments</w:t>
      </w:r>
      <w:r w:rsidRPr="00631951">
        <w:rPr>
          <w:sz w:val="20"/>
        </w:rPr>
        <w:t xml:space="preserve">. </w:t>
      </w:r>
    </w:p>
    <w:p w14:paraId="49BBA433" w14:textId="77777777" w:rsidR="00652442" w:rsidRPr="00631951" w:rsidRDefault="00652442" w:rsidP="006828AF">
      <w:pPr>
        <w:pStyle w:val="Abstract"/>
        <w:spacing w:before="0" w:after="568"/>
        <w:ind w:left="1418" w:right="0"/>
        <w:rPr>
          <w:sz w:val="20"/>
          <w:szCs w:val="22"/>
        </w:rPr>
      </w:pPr>
      <w:r w:rsidRPr="00631951">
        <w:rPr>
          <w:sz w:val="20"/>
          <w:szCs w:val="22"/>
        </w:rPr>
        <w:t xml:space="preserve">Keywords: </w:t>
      </w:r>
      <w:r w:rsidR="001D425F" w:rsidRPr="00631951">
        <w:rPr>
          <w:sz w:val="20"/>
          <w:szCs w:val="22"/>
        </w:rPr>
        <w:t>Scientific Literacy, vocational school, students</w:t>
      </w:r>
      <w:r w:rsidRPr="00631951">
        <w:rPr>
          <w:sz w:val="20"/>
          <w:szCs w:val="22"/>
        </w:rPr>
        <w:t>.</w:t>
      </w:r>
    </w:p>
    <w:p w14:paraId="3E971EA8" w14:textId="115E1C40" w:rsidR="00652442" w:rsidRPr="006828AF" w:rsidRDefault="006828AF" w:rsidP="009C1EDB">
      <w:pPr>
        <w:pStyle w:val="ListParagraph"/>
        <w:numPr>
          <w:ilvl w:val="0"/>
          <w:numId w:val="46"/>
        </w:numPr>
        <w:spacing w:after="240"/>
        <w:ind w:left="426" w:hanging="426"/>
        <w:rPr>
          <w:b/>
          <w:caps/>
          <w:sz w:val="22"/>
          <w:szCs w:val="22"/>
        </w:rPr>
      </w:pPr>
      <w:r w:rsidRPr="006828AF">
        <w:rPr>
          <w:b/>
          <w:sz w:val="22"/>
          <w:szCs w:val="22"/>
        </w:rPr>
        <w:t xml:space="preserve">Introduction </w:t>
      </w:r>
    </w:p>
    <w:p w14:paraId="467FDC9C" w14:textId="77777777" w:rsidR="001D425F" w:rsidRPr="006828AF" w:rsidRDefault="001D425F" w:rsidP="006828AF">
      <w:pPr>
        <w:jc w:val="both"/>
        <w:rPr>
          <w:sz w:val="22"/>
          <w:szCs w:val="22"/>
        </w:rPr>
      </w:pPr>
      <w:r w:rsidRPr="006828AF">
        <w:rPr>
          <w:sz w:val="22"/>
          <w:szCs w:val="22"/>
        </w:rPr>
        <w:t xml:space="preserve">Facing the industrial revolution 4.0 and demographic bonuses is an advantage and a challenge for the vocational education world in Indonesia, especially Vocational High Schools (SMK). Increasing productive age and changing industrial patterns mean that new jobs are needed while increasing the labor market. </w:t>
      </w:r>
      <w:r w:rsidRPr="006828AF">
        <w:rPr>
          <w:sz w:val="22"/>
          <w:szCs w:val="22"/>
        </w:rPr>
        <w:fldChar w:fldCharType="begin" w:fldLock="1"/>
      </w:r>
      <w:r w:rsidRPr="006828AF">
        <w:rPr>
          <w:sz w:val="22"/>
          <w:szCs w:val="22"/>
        </w:rPr>
        <w:instrText>ADDIN CSL_CITATION {"citationItems":[{"id":"ITEM-1","itemData":{"author":[{"dropping-particle":"","family":"Kemendikbud","given":"","non-dropping-particle":"","parse-names":false,"suffix":""}],"container-title":"Gerakan Literasi Nasional","id":"ITEM-1","issued":{"date-parts":[["2017"]]},"number-of-pages":"1-27","title":"Materi Pendukung Literasi Sains","type":"book"},"uris":["http://www.mendeley.com/documents/?uuid=080a9d99-06e6-4ac9-a8ba-d2d7b37c5872"]}],"mendeley":{"formattedCitation":"[1]","plainTextFormattedCitation":"[1]","previouslyFormattedCitation":"[1]"},"properties":{"noteIndex":0},"schema":"https://github.com/citation-style-language/schema/raw/master/csl-citation.json"}</w:instrText>
      </w:r>
      <w:r w:rsidRPr="006828AF">
        <w:rPr>
          <w:sz w:val="22"/>
          <w:szCs w:val="22"/>
        </w:rPr>
        <w:fldChar w:fldCharType="separate"/>
      </w:r>
      <w:r w:rsidRPr="006828AF">
        <w:rPr>
          <w:noProof/>
          <w:sz w:val="22"/>
          <w:szCs w:val="22"/>
        </w:rPr>
        <w:t>[1]</w:t>
      </w:r>
      <w:r w:rsidRPr="006828AF">
        <w:rPr>
          <w:sz w:val="22"/>
          <w:szCs w:val="22"/>
        </w:rPr>
        <w:fldChar w:fldCharType="end"/>
      </w:r>
      <w:r w:rsidRPr="006828AF">
        <w:rPr>
          <w:sz w:val="22"/>
          <w:szCs w:val="22"/>
        </w:rPr>
        <w:t xml:space="preserve">. Therefore, SMKs should be able to play a more active role in preparing Human Resources (HR) who are not only able to work but also open jobs on a small scale. The level of vocational education is considered the most appropriate to answer the problem of unemployment due to the increasing productive age. SMK graduates have practical skills that are in line with the needs of society and industry, the relatively young age of graduates enables good productivity and has the creativity to open small businesses that are close to community needs such as workshops, electronic services, culinary, etc. </w:t>
      </w:r>
      <w:r w:rsidRPr="006828AF">
        <w:rPr>
          <w:sz w:val="22"/>
          <w:szCs w:val="22"/>
        </w:rPr>
        <w:fldChar w:fldCharType="begin" w:fldLock="1"/>
      </w:r>
      <w:r w:rsidRPr="006828AF">
        <w:rPr>
          <w:sz w:val="22"/>
          <w:szCs w:val="22"/>
        </w:rPr>
        <w:instrText>ADDIN CSL_CITATION {"citationItems":[{"id":"ITEM-1","itemData":{"DOI":"10.24832/jpnk.v4i1.1219","author":[{"dropping-particle":"","family":"Sutjipto","given":"Sutjipto","non-dropping-particle":"","parse-names":false,"suffix":""}],"container-title":"Jurnal Pendidikan dan Kebudayaan","id":"ITEM-1","issue":"1","issued":{"date-parts":[["2019"]]},"page":"102-126","title":"Perancangan Kurikulum Sekolah Menengah Kejuruan Sebagai Pranata Budaya Kerja","type":"article-journal","volume":"4"},"uris":["http://www.mendeley.com/documents/?uuid=f0cf876f-3ebf-47e3-b860-b644d4159599"]}],"mendeley":{"formattedCitation":"[2]","plainTextFormattedCitation":"[2]","previouslyFormattedCitation":"[2]"},"properties":{"noteIndex":0},"schema":"https://github.com/citation-style-language/schema/raw/master/csl-citation.json"}</w:instrText>
      </w:r>
      <w:r w:rsidRPr="006828AF">
        <w:rPr>
          <w:sz w:val="22"/>
          <w:szCs w:val="22"/>
        </w:rPr>
        <w:fldChar w:fldCharType="separate"/>
      </w:r>
      <w:r w:rsidRPr="006828AF">
        <w:rPr>
          <w:noProof/>
          <w:sz w:val="22"/>
          <w:szCs w:val="22"/>
        </w:rPr>
        <w:t>[2]</w:t>
      </w:r>
      <w:r w:rsidRPr="006828AF">
        <w:rPr>
          <w:sz w:val="22"/>
          <w:szCs w:val="22"/>
        </w:rPr>
        <w:fldChar w:fldCharType="end"/>
      </w:r>
      <w:r w:rsidRPr="006828AF">
        <w:rPr>
          <w:sz w:val="22"/>
          <w:szCs w:val="22"/>
        </w:rPr>
        <w:t xml:space="preserve"> </w:t>
      </w:r>
    </w:p>
    <w:p w14:paraId="12712866" w14:textId="77777777" w:rsidR="006828AF" w:rsidRDefault="006828AF" w:rsidP="006828AF">
      <w:pPr>
        <w:jc w:val="both"/>
        <w:rPr>
          <w:sz w:val="22"/>
          <w:szCs w:val="22"/>
        </w:rPr>
      </w:pPr>
    </w:p>
    <w:p w14:paraId="323F34C0" w14:textId="030C85AE" w:rsidR="001D425F" w:rsidRPr="006828AF" w:rsidRDefault="001D425F" w:rsidP="006828AF">
      <w:pPr>
        <w:jc w:val="both"/>
        <w:rPr>
          <w:sz w:val="22"/>
          <w:szCs w:val="22"/>
        </w:rPr>
      </w:pPr>
      <w:r w:rsidRPr="006828AF">
        <w:rPr>
          <w:sz w:val="22"/>
          <w:szCs w:val="22"/>
        </w:rPr>
        <w:t xml:space="preserve">Various studies show that technical skills that are in line with the needs of society and industry are not the only ones needed in this era. Soft skills such as communication skills and scientific literacy related to non-technical skills become needs that are in line with the required competencies. Scientific literacy is one of the keys to the successful development of competent and creative human resources </w:t>
      </w:r>
      <w:r w:rsidRPr="006828AF">
        <w:rPr>
          <w:sz w:val="22"/>
          <w:szCs w:val="22"/>
        </w:rPr>
        <w:fldChar w:fldCharType="begin" w:fldLock="1"/>
      </w:r>
      <w:r w:rsidRPr="006828AF">
        <w:rPr>
          <w:sz w:val="22"/>
          <w:szCs w:val="22"/>
        </w:rPr>
        <w:instrText>ADDIN CSL_CITATION {"citationItems":[{"id":"ITEM-1","itemData":{"DOI":"10.1002/sce.21225","ISSN":"1098237X","abstract":"This international investigation was designed to determine if, and under what circumstances experiences at science centers, significantly correlated with a range of adult general public science and technology literacy measures. Given the complex and cumulative nature of science and technology learning, and the highly variable and free-choice nature of science center experiences, an epidemiological research approach was used. Quantitative surveys were administered to 6,089 adults living in 17 communities located in 13 countries; all with active science centers. Data collection and analysis protocols ensured a representative sampling based on age, education, and income from each of the 17 participating communities. Results showed that individuals who used science centers had significantly higher understanding, interest and curiosity, participation in free-choice leisure activities, and identity relative to science and technology than did individuals who did not visit; even when potential self-selection biases such as income, education level, and prior interest were taken into consideration. These findings significantly strengthen the argument that the presence of one or more healthy and active science centers within a community, region, or country represents a vital investment for fostering and maintaining a scientifically and technologically informed, engaged, and literate public.","author":[{"dropping-particle":"","family":"Falk","given":"John H.","non-dropping-particle":"","parse-names":false,"suffix":""},{"dropping-particle":"","family":"Dierking","given":"Lynn D.","non-dropping-particle":"","parse-names":false,"suffix":""},{"dropping-particle":"","family":"Swanger","given":"Lisa Prendergast","non-dropping-particle":"","parse-names":false,"suffix":""},{"dropping-particle":"","family":"Staus","given":"Nancy","non-dropping-particle":"","parse-names":false,"suffix":""},{"dropping-particle":"","family":"Back","given":"Mariana","non-dropping-particle":"","parse-names":false,"suffix":""},{"dropping-particle":"","family":"Barriault","given":"Chantal","non-dropping-particle":"","parse-names":false,"suffix":""},{"dropping-particle":"","family":"Catalao","given":"Carlos","non-dropping-particle":"","parse-names":false,"suffix":""},{"dropping-particle":"","family":"Chambers","given":"Cindy","non-dropping-particle":"","parse-names":false,"suffix":""},{"dropping-particle":"","family":"Chew","given":"Ling Ling","non-dropping-particle":"","parse-names":false,"suffix":""},{"dropping-particle":"","family":"Dahl","given":"Svein A.","non-dropping-particle":"","parse-names":false,"suffix":""},{"dropping-particle":"","family":"Falla","given":"Sigrid","non-dropping-particle":"","parse-names":false,"suffix":""},{"dropping-particle":"","family":"Gorecki","given":"Bern","non-dropping-particle":"","parse-names":false,"suffix":""},{"dropping-particle":"","family":"Lau","given":"Tak Cheung","non-dropping-particle":"","parse-names":false,"suffix":""},{"dropping-particle":"","family":"Lloyd","given":"Andy","non-dropping-particle":"","parse-names":false,"suffix":""},{"dropping-particle":"","family":"Martin","given":"Jennifer","non-dropping-particle":"","parse-names":false,"suffix":""},{"dropping-particle":"","family":"Santer","given":"Jennifer","non-dropping-particle":"","parse-names":false,"suffix":""},{"dropping-particle":"","family":"Singer","given":"Silvia","non-dropping-particle":"","parse-names":false,"suffix":""},{"dropping-particle":"","family":"Solli","given":"Anne","non-dropping-particle":"","parse-names":false,"suffix":""},{"dropping-particle":"","family":"Trepanier","given":"Gabrielle","non-dropping-particle":"","parse-names":false,"suffix":""},{"dropping-particle":"","family":"Tyystjärvi","given":"Kati","non-dropping-particle":"","parse-names":false,"suffix":""},{"dropping-particle":"","family":"Verheyden","given":"Patricia","non-dropping-particle":"","parse-names":false,"suffix":""}],"container-title":"Science Education","id":"ITEM-1","issue":"5","issued":{"date-parts":[["2016"]]},"page":"849-876","title":"Correlating Science Center Use With Adult Science Literacy: An International, Cross-Institutional Study","type":"article-journal","volume":"100"},"uris":["http://www.mendeley.com/documents/?uuid=484b899f-d8ae-44cc-b24b-54319d9f21d8"]}],"mendeley":{"formattedCitation":"[3]","plainTextFormattedCitation":"[3]","previouslyFormattedCitation":"[3]"},"properties":{"noteIndex":0},"schema":"https://github.com/citation-style-language/schema/raw/master/csl-citation.json"}</w:instrText>
      </w:r>
      <w:r w:rsidRPr="006828AF">
        <w:rPr>
          <w:sz w:val="22"/>
          <w:szCs w:val="22"/>
        </w:rPr>
        <w:fldChar w:fldCharType="separate"/>
      </w:r>
      <w:r w:rsidRPr="006828AF">
        <w:rPr>
          <w:noProof/>
          <w:sz w:val="22"/>
          <w:szCs w:val="22"/>
        </w:rPr>
        <w:t>[3]</w:t>
      </w:r>
      <w:r w:rsidRPr="006828AF">
        <w:rPr>
          <w:sz w:val="22"/>
          <w:szCs w:val="22"/>
        </w:rPr>
        <w:fldChar w:fldCharType="end"/>
      </w:r>
      <w:r w:rsidRPr="006828AF">
        <w:rPr>
          <w:sz w:val="22"/>
          <w:szCs w:val="22"/>
        </w:rPr>
        <w:t>. Literacy is closely related to awareness, thinking ability and decision making in certain conditions. That is, vocational students are not only challenged to be skilled but also able to provide input on a good literacy-</w:t>
      </w:r>
      <w:r w:rsidRPr="006828AF">
        <w:rPr>
          <w:sz w:val="22"/>
          <w:szCs w:val="22"/>
        </w:rPr>
        <w:lastRenderedPageBreak/>
        <w:t xml:space="preserve">based decision </w:t>
      </w:r>
      <w:r w:rsidRPr="006828AF">
        <w:rPr>
          <w:sz w:val="22"/>
          <w:szCs w:val="22"/>
        </w:rPr>
        <w:fldChar w:fldCharType="begin" w:fldLock="1"/>
      </w:r>
      <w:r w:rsidRPr="006828AF">
        <w:rPr>
          <w:sz w:val="22"/>
          <w:szCs w:val="22"/>
        </w:rPr>
        <w:instrText>ADDIN CSL_CITATION {"citationItems":[{"id":"ITEM-1","itemData":{"DOI":"10.17226/23595","ISBN":"0309447569","abstract":"Science is a way of knowing about the world. At once a process, a product, and an institution, science enables people to both engage in the construction of new knowledge as well as use information to achieve desired ends. Access to science-whether using knowledge or creating it-necessitates some level of familiarity with the enterprise and practice of science: we refer to this as science literacy. Science literacy is desirable not only for individuals, but also for the health and well- being of communities and society. More than just basic knowledge of science facts, contemporary definitions of science literacy have expanded to include understandings of scientific processes and practices, familiarity with how science and scientists work, a capacity to weigh and evaluate the products of science, and an ability to engage in civic decisions about the value of science. Although science literacy has traditionally been seen as the responsibility of individuals, individuals are nested within communities that are nested within societies-and, as a result, individual science literacy is limited or enhanced by the circumstances of that nesting. Science Literacy studies the role of science literacy in public support of science. This report synthesizes the available research literature on science literacy, makes recommendations on the need to improve the understanding of science and scientific research in the United States, and considers the relationship between scientific literacy and support for and use of science and research.","author":[{"dropping-particle":"","family":"Snow","given":"Catherine E.","non-dropping-particle":"","parse-names":false,"suffix":""},{"dropping-particle":"","family":"Dibner","given":"Kenne A.","non-dropping-particle":"","parse-names":false,"suffix":""}],"id":"ITEM-1","issued":{"date-parts":[["2016"]]},"number-of-pages":"1-152","publisher":"The National Academies Press","publisher-place":"Washington DC","title":"Science literacy: Concepts, contexts, and consequences","type":"book"},"uris":["http://www.mendeley.com/documents/?uuid=6aa9de54-66ea-4adc-aaea-18f27edebb64"]}],"mendeley":{"formattedCitation":"[4]","plainTextFormattedCitation":"[4]","previouslyFormattedCitation":"[4]"},"properties":{"noteIndex":0},"schema":"https://github.com/citation-style-language/schema/raw/master/csl-citation.json"}</w:instrText>
      </w:r>
      <w:r w:rsidRPr="006828AF">
        <w:rPr>
          <w:sz w:val="22"/>
          <w:szCs w:val="22"/>
        </w:rPr>
        <w:fldChar w:fldCharType="separate"/>
      </w:r>
      <w:r w:rsidRPr="006828AF">
        <w:rPr>
          <w:noProof/>
          <w:sz w:val="22"/>
          <w:szCs w:val="22"/>
        </w:rPr>
        <w:t>[4]</w:t>
      </w:r>
      <w:r w:rsidRPr="006828AF">
        <w:rPr>
          <w:sz w:val="22"/>
          <w:szCs w:val="22"/>
        </w:rPr>
        <w:fldChar w:fldCharType="end"/>
      </w:r>
      <w:r w:rsidRPr="006828AF">
        <w:rPr>
          <w:sz w:val="22"/>
          <w:szCs w:val="22"/>
        </w:rPr>
        <w:t xml:space="preserve">. In addition, scientific literacy also has a close relationship with the context of creativity in everyday life.. </w:t>
      </w:r>
      <w:r w:rsidRPr="006828AF">
        <w:rPr>
          <w:sz w:val="22"/>
          <w:szCs w:val="22"/>
        </w:rPr>
        <w:fldChar w:fldCharType="begin" w:fldLock="1"/>
      </w:r>
      <w:r w:rsidRPr="006828AF">
        <w:rPr>
          <w:sz w:val="22"/>
          <w:szCs w:val="22"/>
        </w:rPr>
        <w:instrText>ADDIN CSL_CITATION {"citationItems":[{"id":"ITEM-1","itemData":{"abstract":"Literasi matematika merupakan kemampuan individu untuk memformulasikan, menggunakan, dan menafsirkan matematika dalam berbagai konteks. Hal ini meliputi penalaran matematik dan penggunaan konsep, prosedur, fakta dan alat matematika untuk mendeskripsikan, menjelaskan, dan memprediksi fenomena. Metakognitif merupakan pengetahuan dan regulasi pada suatu aktivitas kognitif seseorang dalam proses belajarnya. Metakognisi mengacu pada paham seseorang tentang pengetahuannya sehingga pemahaman yang mendalam tentang pengetahuannya akan mencerminkan penggunaannya yang efektif atau uraian yang jelas tentang pengetahuan yang dipermasalahkan. Pembelajaran Synectics merupakan model pembelajaran yang menggunakan analogi untuk mengembangkan kemampuan berfikir dari berbagai sudut pandang. Analogi dianggap mampu mengembangkan kreativitas karena dalam analogi ada usaha untuk menghubungkan antara apa yang sudah diketahui dengan apa yang ingin dipahami, sehingga bagus digunakan dalam meningkatkan literasi matematika dan metakognisi siswa. Schoology adalah salah satu media Learning Management System (LMS), dimana LMS sendiri adalah aplikasi perangkat lunak atau teknologi berbasis web yang digunakan untuk merencanakan, melaksanakan dan menilai proses pembelajaran tertentu. Media pembelajaran shoology ini tidak hanya media pembelajaran yang biasa melainkan dengan menggunakan pendekatan realistik sehingga sangat diharapkan dapat meningkatkan kemampuan literasi maematika siswa.","author":[{"dropping-particle":"","family":"Hidayat","given":"Nur Yodie","non-dropping-particle":"","parse-names":false,"suffix":""},{"dropping-particle":"","family":"Wardono","given":"","non-dropping-particle":"","parse-names":false,"suffix":""},{"dropping-particle":"","family":"Rusilowati","given":"Ani","non-dropping-particle":"","parse-names":false,"suffix":""}],"container-title":"Prisma, Prosicing Seminar Nasional Matematika","id":"ITEM-1","issued":{"date-parts":[["2019"]]},"page":"911-916","title":"Analisis Kemampuan Literasi Matematika Ditinjau Dari Metakognisi Siswa dalam Pembelajaran Synectics Berbantuan Schoology","type":"paper-conference","volume":"2"},"uris":["http://www.mendeley.com/documents/?uuid=fd6eef81-cf8f-4733-89ce-20955fcc22f5"]}],"mendeley":{"formattedCitation":"[5]","plainTextFormattedCitation":"[5]","previouslyFormattedCitation":"[5]"},"properties":{"noteIndex":0},"schema":"https://github.com/citation-style-language/schema/raw/master/csl-citation.json"}</w:instrText>
      </w:r>
      <w:r w:rsidRPr="006828AF">
        <w:rPr>
          <w:sz w:val="22"/>
          <w:szCs w:val="22"/>
        </w:rPr>
        <w:fldChar w:fldCharType="separate"/>
      </w:r>
      <w:r w:rsidRPr="006828AF">
        <w:rPr>
          <w:noProof/>
          <w:sz w:val="22"/>
          <w:szCs w:val="22"/>
        </w:rPr>
        <w:t>[5]</w:t>
      </w:r>
      <w:r w:rsidRPr="006828AF">
        <w:rPr>
          <w:sz w:val="22"/>
          <w:szCs w:val="22"/>
        </w:rPr>
        <w:fldChar w:fldCharType="end"/>
      </w:r>
      <w:r w:rsidRPr="006828AF">
        <w:rPr>
          <w:sz w:val="22"/>
          <w:szCs w:val="22"/>
        </w:rPr>
        <w:t xml:space="preserve">. Various scientific phenomena can be better explained and operational in life using the formulation of various concepts, knowledge, questions, and explanations based on this scientific literacy. </w:t>
      </w:r>
      <w:r w:rsidRPr="006828AF">
        <w:rPr>
          <w:sz w:val="22"/>
          <w:szCs w:val="22"/>
        </w:rPr>
        <w:fldChar w:fldCharType="begin" w:fldLock="1"/>
      </w:r>
      <w:r w:rsidRPr="006828AF">
        <w:rPr>
          <w:sz w:val="22"/>
          <w:szCs w:val="22"/>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decisions.","author":[{"dropping-particle":"","family":"OECD","given":"","non-dropping-particle":"","parse-names":false,"suffix":""}],"id":"ITEM-1","issued":{"date-parts":[["2019"]]},"number-of-pages":"64","publisher":"OECD","publisher-place":"Paris","title":"PISA 2018 insights and interpretations","type":"book"},"uris":["http://www.mendeley.com/documents/?uuid=42e19bb3-3436-49ee-8cf7-1642a0d0eda3"]}],"mendeley":{"formattedCitation":"[6]","plainTextFormattedCitation":"[6]","previouslyFormattedCitation":"[6]"},"properties":{"noteIndex":0},"schema":"https://github.com/citation-style-language/schema/raw/master/csl-citation.json"}</w:instrText>
      </w:r>
      <w:r w:rsidRPr="006828AF">
        <w:rPr>
          <w:sz w:val="22"/>
          <w:szCs w:val="22"/>
        </w:rPr>
        <w:fldChar w:fldCharType="separate"/>
      </w:r>
      <w:r w:rsidRPr="006828AF">
        <w:rPr>
          <w:noProof/>
          <w:sz w:val="22"/>
          <w:szCs w:val="22"/>
        </w:rPr>
        <w:t>[6]</w:t>
      </w:r>
      <w:r w:rsidRPr="006828AF">
        <w:rPr>
          <w:sz w:val="22"/>
          <w:szCs w:val="22"/>
        </w:rPr>
        <w:fldChar w:fldCharType="end"/>
      </w:r>
      <w:r w:rsidRPr="006828AF">
        <w:rPr>
          <w:sz w:val="22"/>
          <w:szCs w:val="22"/>
        </w:rPr>
        <w:t xml:space="preserve">. </w:t>
      </w:r>
    </w:p>
    <w:p w14:paraId="7AC36AAE" w14:textId="77777777" w:rsidR="006828AF" w:rsidRDefault="006828AF" w:rsidP="006828AF">
      <w:pPr>
        <w:jc w:val="both"/>
        <w:rPr>
          <w:sz w:val="22"/>
          <w:szCs w:val="22"/>
        </w:rPr>
      </w:pPr>
    </w:p>
    <w:p w14:paraId="3DD768B1" w14:textId="1A278FC6" w:rsidR="001D425F" w:rsidRPr="006828AF" w:rsidRDefault="001D425F" w:rsidP="006828AF">
      <w:pPr>
        <w:jc w:val="both"/>
        <w:rPr>
          <w:sz w:val="22"/>
          <w:szCs w:val="22"/>
        </w:rPr>
      </w:pPr>
      <w:r w:rsidRPr="006828AF">
        <w:rPr>
          <w:sz w:val="22"/>
          <w:szCs w:val="22"/>
        </w:rPr>
        <w:t>The OECD report, which took a sample of 15-year-old students, shows that Indonesian student literacy is still very weak. Even from period to period the results have never been encouraging for 7 consecutive periods</w:t>
      </w:r>
      <w:r w:rsidRPr="006828AF">
        <w:rPr>
          <w:sz w:val="22"/>
          <w:szCs w:val="22"/>
        </w:rPr>
        <w:fldChar w:fldCharType="begin" w:fldLock="1"/>
      </w:r>
      <w:r w:rsidRPr="006828AF">
        <w:rPr>
          <w:sz w:val="22"/>
          <w:szCs w:val="22"/>
        </w:rPr>
        <w:instrText>ADDIN CSL_CITATION {"citationItems":[{"id":"ITEM-1","itemData":{"ISBN":"NCES 2011-004","ISSN":"ISSN-","abstract":"This report summarizes the performance of U.S. students on the Program for International Student Assessment (PISA), comparing the scores of U.S. 15-year-old students in science and mathematics literacy to the scores of their peers internationally in 2006. PISA, first implemented in 2000, is sponsored by the Organization for Economic Cooperation and Development (OECD), an intergovernmental agency of 30 member countries. In 2006, fifty-seven jurisdictions participated in PISA, including 30 OECD jurisdictions and 27 non-OECD jurisdictions. The results show the average combined science literacy scale score for U.S. students to be lower than the OECD average. U.S. students scored lower on science literacy than their peers in 16 of the other 29 OECD jurisdictions and 6 of the 27 non-OECD jurisdictions. Twenty-two jurisdictions (5 OECD jurisdictions and 17 non-OECD jurisdictions) reported lower scores compared to the United States in science literacy. On the mathematics literacy scale, U.S. students scored lower than the OECD average. Thirty-one jurisdictions (23 OECD jurisdictions and 8 non-OECD jurisdictions) scored higher on average, than the United States in mathematics literacy in 2006. In contrast, 20 jurisdictions (4 OECD jurisdictions and 16 non-OECD jurisdictions) scored lower than the United States in mathematics literacy in 2006. Differences in student performance based on the selected student characteristics of sex and race/ethnicity are also examined. Following the presentation of results, a technical appendix describes the study design, data collection, and analysis procedures that guided the administration of PISA 2006 in the United States and in the other participating jurisdictions.","author":[{"dropping-particle":"","family":"Kastberg","given":"D.","non-dropping-particle":"","parse-names":false,"suffix":""},{"dropping-particle":"","family":"Chan","given":"J.","non-dropping-particle":"","parse-names":false,"suffix":""},{"dropping-particle":"","family":"Murray","given":"G.","non-dropping-particle":"","parse-names":false,"suffix":""},{"dropping-particle":"","family":"Gonzales","given":"P.","non-dropping-particle":"","parse-names":false,"suffix":""}],"id":"ITEM-1","issued":{"date-parts":[["2016"]]},"number-of-pages":"1-42","publisher":"U.S. Department of Education","publisher-place":"Washington DC","title":"Performance of U.S. 15-Year-Old Students in Science, Reading, and Mathematics Literacy in an International Context t: First Look at PISA 2015 (NCES 2017-048)","type":"book"},"uris":["http://www.mendeley.com/documents/?uuid=dbaad5d4-4d9d-48a3-a632-f397b7e3c020"]}],"mendeley":{"formattedCitation":"[7]","plainTextFormattedCitation":"[7]","previouslyFormattedCitation":"[7]"},"properties":{"noteIndex":0},"schema":"https://github.com/citation-style-language/schema/raw/master/csl-citation.json"}</w:instrText>
      </w:r>
      <w:r w:rsidRPr="006828AF">
        <w:rPr>
          <w:sz w:val="22"/>
          <w:szCs w:val="22"/>
        </w:rPr>
        <w:fldChar w:fldCharType="separate"/>
      </w:r>
      <w:r w:rsidRPr="006828AF">
        <w:rPr>
          <w:noProof/>
          <w:sz w:val="22"/>
          <w:szCs w:val="22"/>
        </w:rPr>
        <w:t>[7]</w:t>
      </w:r>
      <w:r w:rsidRPr="006828AF">
        <w:rPr>
          <w:sz w:val="22"/>
          <w:szCs w:val="22"/>
        </w:rPr>
        <w:fldChar w:fldCharType="end"/>
      </w:r>
      <w:r w:rsidRPr="006828AF">
        <w:rPr>
          <w:sz w:val="22"/>
          <w:szCs w:val="22"/>
        </w:rPr>
        <w:t xml:space="preserve">. If referring to the concept of literacy, then most students are only focused on memorization alone with a little understanding </w:t>
      </w:r>
      <w:r w:rsidRPr="006828AF">
        <w:rPr>
          <w:sz w:val="22"/>
          <w:szCs w:val="22"/>
        </w:rPr>
        <w:fldChar w:fldCharType="begin" w:fldLock="1"/>
      </w:r>
      <w:r w:rsidRPr="006828AF">
        <w:rPr>
          <w:sz w:val="22"/>
          <w:szCs w:val="22"/>
        </w:rPr>
        <w:instrText>ADDIN CSL_CITATION {"citationItems":[{"id":"ITEM-1","itemData":{"author":[{"dropping-particle":"","family":"Hayat","given":"Bahrul","non-dropping-particle":"","parse-names":false,"suffix":""},{"dropping-particle":"","family":"Yusuf","given":"Suhendra","non-dropping-particle":"","parse-names":false,"suffix":""}],"id":"ITEM-1","issued":{"date-parts":[["2011"]]},"number-of-pages":"460","publisher":"Bumi Aksara","publisher-place":"Jakarta","title":"Benchmark Internasional Mutu Pendidikan","type":"book"},"uris":["http://www.mendeley.com/documents/?uuid=7b1ee5d1-3223-49f8-a263-2263780eb3b3"]}],"mendeley":{"formattedCitation":"[8]","plainTextFormattedCitation":"[8]","previouslyFormattedCitation":"[8]"},"properties":{"noteIndex":0},"schema":"https://github.com/citation-style-language/schema/raw/master/csl-citation.json"}</w:instrText>
      </w:r>
      <w:r w:rsidRPr="006828AF">
        <w:rPr>
          <w:sz w:val="22"/>
          <w:szCs w:val="22"/>
        </w:rPr>
        <w:fldChar w:fldCharType="separate"/>
      </w:r>
      <w:r w:rsidRPr="006828AF">
        <w:rPr>
          <w:noProof/>
          <w:sz w:val="22"/>
          <w:szCs w:val="22"/>
        </w:rPr>
        <w:t>[8]</w:t>
      </w:r>
      <w:r w:rsidRPr="006828AF">
        <w:rPr>
          <w:sz w:val="22"/>
          <w:szCs w:val="22"/>
        </w:rPr>
        <w:fldChar w:fldCharType="end"/>
      </w:r>
      <w:r w:rsidRPr="006828AF">
        <w:rPr>
          <w:sz w:val="22"/>
          <w:szCs w:val="22"/>
        </w:rPr>
        <w:t>. Literacy like this does not show that children can formulate concepts rather than analyze let alone make decisions according to the conditions at hand. This report on student literacy in Indonesia at the beginning of the 21st century can be seen in the following OECD report:</w:t>
      </w:r>
    </w:p>
    <w:p w14:paraId="0BD817F5" w14:textId="52F34532" w:rsidR="001D425F" w:rsidRPr="006828AF" w:rsidRDefault="001D425F" w:rsidP="006828AF">
      <w:pPr>
        <w:spacing w:after="120"/>
        <w:ind w:firstLine="720"/>
        <w:jc w:val="center"/>
        <w:rPr>
          <w:b/>
          <w:bCs/>
          <w:sz w:val="22"/>
          <w:szCs w:val="22"/>
        </w:rPr>
      </w:pPr>
      <w:r w:rsidRPr="006828AF">
        <w:rPr>
          <w:b/>
          <w:bCs/>
          <w:sz w:val="22"/>
          <w:szCs w:val="22"/>
        </w:rPr>
        <w:t>Tab</w:t>
      </w:r>
      <w:r w:rsidR="00BC1FAD">
        <w:rPr>
          <w:b/>
          <w:bCs/>
          <w:sz w:val="22"/>
          <w:szCs w:val="22"/>
        </w:rPr>
        <w:t>le</w:t>
      </w:r>
      <w:r w:rsidRPr="006828AF">
        <w:rPr>
          <w:b/>
          <w:bCs/>
          <w:sz w:val="22"/>
          <w:szCs w:val="22"/>
        </w:rPr>
        <w:t xml:space="preserve"> 1. Indonesian students' scientific literacy scores and ranks based on PISA</w:t>
      </w:r>
    </w:p>
    <w:tbl>
      <w:tblPr>
        <w:tblStyle w:val="TableGrid"/>
        <w:tblW w:w="5529"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418"/>
        <w:gridCol w:w="1417"/>
        <w:gridCol w:w="2694"/>
      </w:tblGrid>
      <w:tr w:rsidR="001D425F" w:rsidRPr="006828AF" w14:paraId="22C0B842" w14:textId="77777777" w:rsidTr="004A4E5D">
        <w:trPr>
          <w:jc w:val="center"/>
        </w:trPr>
        <w:tc>
          <w:tcPr>
            <w:tcW w:w="1418" w:type="dxa"/>
          </w:tcPr>
          <w:p w14:paraId="7C1BDAAE" w14:textId="77777777" w:rsidR="001D425F" w:rsidRPr="006828AF" w:rsidRDefault="001D425F" w:rsidP="004A4E5D">
            <w:pPr>
              <w:jc w:val="center"/>
              <w:rPr>
                <w:b/>
                <w:bCs/>
                <w:sz w:val="22"/>
                <w:szCs w:val="22"/>
              </w:rPr>
            </w:pPr>
            <w:r w:rsidRPr="006828AF">
              <w:rPr>
                <w:b/>
                <w:bCs/>
                <w:sz w:val="22"/>
                <w:szCs w:val="22"/>
              </w:rPr>
              <w:t>Year</w:t>
            </w:r>
          </w:p>
        </w:tc>
        <w:tc>
          <w:tcPr>
            <w:tcW w:w="1417" w:type="dxa"/>
          </w:tcPr>
          <w:p w14:paraId="53A14CC1" w14:textId="77777777" w:rsidR="001D425F" w:rsidRPr="006828AF" w:rsidRDefault="001D425F" w:rsidP="004A4E5D">
            <w:pPr>
              <w:jc w:val="center"/>
              <w:rPr>
                <w:b/>
                <w:bCs/>
                <w:sz w:val="22"/>
                <w:szCs w:val="22"/>
              </w:rPr>
            </w:pPr>
            <w:r w:rsidRPr="006828AF">
              <w:rPr>
                <w:b/>
                <w:bCs/>
                <w:sz w:val="22"/>
                <w:szCs w:val="22"/>
              </w:rPr>
              <w:t>Score</w:t>
            </w:r>
          </w:p>
        </w:tc>
        <w:tc>
          <w:tcPr>
            <w:tcW w:w="2694" w:type="dxa"/>
          </w:tcPr>
          <w:p w14:paraId="6E0A7894" w14:textId="77777777" w:rsidR="001D425F" w:rsidRPr="006828AF" w:rsidRDefault="001D425F" w:rsidP="004A4E5D">
            <w:pPr>
              <w:jc w:val="center"/>
              <w:rPr>
                <w:b/>
                <w:bCs/>
                <w:sz w:val="22"/>
                <w:szCs w:val="22"/>
              </w:rPr>
            </w:pPr>
            <w:r w:rsidRPr="006828AF">
              <w:rPr>
                <w:b/>
                <w:bCs/>
                <w:sz w:val="22"/>
                <w:szCs w:val="22"/>
              </w:rPr>
              <w:t>Rank</w:t>
            </w:r>
          </w:p>
        </w:tc>
      </w:tr>
      <w:tr w:rsidR="001D425F" w:rsidRPr="006828AF" w14:paraId="4D62C1A4" w14:textId="77777777" w:rsidTr="004A4E5D">
        <w:trPr>
          <w:jc w:val="center"/>
        </w:trPr>
        <w:tc>
          <w:tcPr>
            <w:tcW w:w="1418" w:type="dxa"/>
          </w:tcPr>
          <w:p w14:paraId="5669846E" w14:textId="77777777" w:rsidR="001D425F" w:rsidRPr="006828AF" w:rsidRDefault="001D425F" w:rsidP="004A4E5D">
            <w:pPr>
              <w:jc w:val="center"/>
              <w:rPr>
                <w:sz w:val="22"/>
                <w:szCs w:val="22"/>
              </w:rPr>
            </w:pPr>
            <w:r w:rsidRPr="006828AF">
              <w:rPr>
                <w:sz w:val="22"/>
                <w:szCs w:val="22"/>
              </w:rPr>
              <w:t>2000</w:t>
            </w:r>
          </w:p>
        </w:tc>
        <w:tc>
          <w:tcPr>
            <w:tcW w:w="1417" w:type="dxa"/>
          </w:tcPr>
          <w:p w14:paraId="290A629A" w14:textId="77777777" w:rsidR="001D425F" w:rsidRPr="006828AF" w:rsidRDefault="001D425F" w:rsidP="004A4E5D">
            <w:pPr>
              <w:jc w:val="center"/>
              <w:rPr>
                <w:sz w:val="22"/>
                <w:szCs w:val="22"/>
              </w:rPr>
            </w:pPr>
            <w:r w:rsidRPr="006828AF">
              <w:rPr>
                <w:sz w:val="22"/>
                <w:szCs w:val="22"/>
              </w:rPr>
              <w:t>393</w:t>
            </w:r>
          </w:p>
        </w:tc>
        <w:tc>
          <w:tcPr>
            <w:tcW w:w="2694" w:type="dxa"/>
          </w:tcPr>
          <w:p w14:paraId="0E758457" w14:textId="77777777" w:rsidR="001D425F" w:rsidRPr="006828AF" w:rsidRDefault="001D425F" w:rsidP="004A4E5D">
            <w:pPr>
              <w:jc w:val="center"/>
              <w:rPr>
                <w:sz w:val="22"/>
                <w:szCs w:val="22"/>
              </w:rPr>
            </w:pPr>
            <w:r w:rsidRPr="006828AF">
              <w:rPr>
                <w:sz w:val="22"/>
                <w:szCs w:val="22"/>
              </w:rPr>
              <w:t>38 out of 41 Country</w:t>
            </w:r>
          </w:p>
        </w:tc>
      </w:tr>
      <w:tr w:rsidR="001D425F" w:rsidRPr="006828AF" w14:paraId="61204064" w14:textId="77777777" w:rsidTr="004A4E5D">
        <w:trPr>
          <w:jc w:val="center"/>
        </w:trPr>
        <w:tc>
          <w:tcPr>
            <w:tcW w:w="1418" w:type="dxa"/>
          </w:tcPr>
          <w:p w14:paraId="60AB87B8" w14:textId="77777777" w:rsidR="001D425F" w:rsidRPr="006828AF" w:rsidRDefault="001D425F" w:rsidP="004A4E5D">
            <w:pPr>
              <w:jc w:val="center"/>
              <w:rPr>
                <w:sz w:val="22"/>
                <w:szCs w:val="22"/>
              </w:rPr>
            </w:pPr>
            <w:r w:rsidRPr="006828AF">
              <w:rPr>
                <w:sz w:val="22"/>
                <w:szCs w:val="22"/>
              </w:rPr>
              <w:t>2003</w:t>
            </w:r>
          </w:p>
        </w:tc>
        <w:tc>
          <w:tcPr>
            <w:tcW w:w="1417" w:type="dxa"/>
          </w:tcPr>
          <w:p w14:paraId="2F828133" w14:textId="77777777" w:rsidR="001D425F" w:rsidRPr="006828AF" w:rsidRDefault="001D425F" w:rsidP="004A4E5D">
            <w:pPr>
              <w:jc w:val="center"/>
              <w:rPr>
                <w:sz w:val="22"/>
                <w:szCs w:val="22"/>
              </w:rPr>
            </w:pPr>
            <w:r w:rsidRPr="006828AF">
              <w:rPr>
                <w:sz w:val="22"/>
                <w:szCs w:val="22"/>
              </w:rPr>
              <w:t>395</w:t>
            </w:r>
          </w:p>
        </w:tc>
        <w:tc>
          <w:tcPr>
            <w:tcW w:w="2694" w:type="dxa"/>
          </w:tcPr>
          <w:p w14:paraId="3CA355D2" w14:textId="77777777" w:rsidR="001D425F" w:rsidRPr="006828AF" w:rsidRDefault="001D425F" w:rsidP="004A4E5D">
            <w:pPr>
              <w:jc w:val="center"/>
              <w:rPr>
                <w:sz w:val="22"/>
                <w:szCs w:val="22"/>
              </w:rPr>
            </w:pPr>
            <w:r w:rsidRPr="006828AF">
              <w:rPr>
                <w:sz w:val="22"/>
                <w:szCs w:val="22"/>
              </w:rPr>
              <w:t>38 out of 40 Country</w:t>
            </w:r>
          </w:p>
        </w:tc>
      </w:tr>
      <w:tr w:rsidR="001D425F" w:rsidRPr="006828AF" w14:paraId="02053BF5" w14:textId="77777777" w:rsidTr="004A4E5D">
        <w:trPr>
          <w:jc w:val="center"/>
        </w:trPr>
        <w:tc>
          <w:tcPr>
            <w:tcW w:w="1418" w:type="dxa"/>
          </w:tcPr>
          <w:p w14:paraId="2D5313C5" w14:textId="77777777" w:rsidR="001D425F" w:rsidRPr="006828AF" w:rsidRDefault="001D425F" w:rsidP="004A4E5D">
            <w:pPr>
              <w:jc w:val="center"/>
              <w:rPr>
                <w:sz w:val="22"/>
                <w:szCs w:val="22"/>
              </w:rPr>
            </w:pPr>
            <w:r w:rsidRPr="006828AF">
              <w:rPr>
                <w:sz w:val="22"/>
                <w:szCs w:val="22"/>
              </w:rPr>
              <w:t>2006</w:t>
            </w:r>
          </w:p>
        </w:tc>
        <w:tc>
          <w:tcPr>
            <w:tcW w:w="1417" w:type="dxa"/>
          </w:tcPr>
          <w:p w14:paraId="672A456E" w14:textId="77777777" w:rsidR="001D425F" w:rsidRPr="006828AF" w:rsidRDefault="001D425F" w:rsidP="004A4E5D">
            <w:pPr>
              <w:jc w:val="center"/>
              <w:rPr>
                <w:sz w:val="22"/>
                <w:szCs w:val="22"/>
              </w:rPr>
            </w:pPr>
            <w:r w:rsidRPr="006828AF">
              <w:rPr>
                <w:sz w:val="22"/>
                <w:szCs w:val="22"/>
              </w:rPr>
              <w:t>393</w:t>
            </w:r>
          </w:p>
        </w:tc>
        <w:tc>
          <w:tcPr>
            <w:tcW w:w="2694" w:type="dxa"/>
          </w:tcPr>
          <w:p w14:paraId="5BB67722" w14:textId="77777777" w:rsidR="001D425F" w:rsidRPr="006828AF" w:rsidRDefault="001D425F" w:rsidP="004A4E5D">
            <w:pPr>
              <w:jc w:val="center"/>
              <w:rPr>
                <w:sz w:val="22"/>
                <w:szCs w:val="22"/>
              </w:rPr>
            </w:pPr>
            <w:r w:rsidRPr="006828AF">
              <w:rPr>
                <w:sz w:val="22"/>
                <w:szCs w:val="22"/>
              </w:rPr>
              <w:t>50 out of 57 Country</w:t>
            </w:r>
          </w:p>
        </w:tc>
      </w:tr>
      <w:tr w:rsidR="001D425F" w:rsidRPr="006828AF" w14:paraId="4F951EB1" w14:textId="77777777" w:rsidTr="004A4E5D">
        <w:trPr>
          <w:jc w:val="center"/>
        </w:trPr>
        <w:tc>
          <w:tcPr>
            <w:tcW w:w="1418" w:type="dxa"/>
          </w:tcPr>
          <w:p w14:paraId="1DD9C8FF" w14:textId="77777777" w:rsidR="001D425F" w:rsidRPr="006828AF" w:rsidRDefault="001D425F" w:rsidP="004A4E5D">
            <w:pPr>
              <w:jc w:val="center"/>
              <w:rPr>
                <w:sz w:val="22"/>
                <w:szCs w:val="22"/>
              </w:rPr>
            </w:pPr>
            <w:r w:rsidRPr="006828AF">
              <w:rPr>
                <w:sz w:val="22"/>
                <w:szCs w:val="22"/>
              </w:rPr>
              <w:t>2009</w:t>
            </w:r>
          </w:p>
        </w:tc>
        <w:tc>
          <w:tcPr>
            <w:tcW w:w="1417" w:type="dxa"/>
          </w:tcPr>
          <w:p w14:paraId="4700B1CF" w14:textId="77777777" w:rsidR="001D425F" w:rsidRPr="006828AF" w:rsidRDefault="001D425F" w:rsidP="004A4E5D">
            <w:pPr>
              <w:jc w:val="center"/>
              <w:rPr>
                <w:sz w:val="22"/>
                <w:szCs w:val="22"/>
              </w:rPr>
            </w:pPr>
            <w:r w:rsidRPr="006828AF">
              <w:rPr>
                <w:sz w:val="22"/>
                <w:szCs w:val="22"/>
              </w:rPr>
              <w:t>383</w:t>
            </w:r>
          </w:p>
        </w:tc>
        <w:tc>
          <w:tcPr>
            <w:tcW w:w="2694" w:type="dxa"/>
          </w:tcPr>
          <w:p w14:paraId="00B23482" w14:textId="77777777" w:rsidR="001D425F" w:rsidRPr="006828AF" w:rsidRDefault="001D425F" w:rsidP="004A4E5D">
            <w:pPr>
              <w:jc w:val="center"/>
              <w:rPr>
                <w:sz w:val="22"/>
                <w:szCs w:val="22"/>
              </w:rPr>
            </w:pPr>
            <w:r w:rsidRPr="006828AF">
              <w:rPr>
                <w:sz w:val="22"/>
                <w:szCs w:val="22"/>
              </w:rPr>
              <w:t>60 out of 65 Country</w:t>
            </w:r>
          </w:p>
        </w:tc>
      </w:tr>
      <w:tr w:rsidR="001D425F" w:rsidRPr="006828AF" w14:paraId="30AAE3F7" w14:textId="77777777" w:rsidTr="004A4E5D">
        <w:trPr>
          <w:jc w:val="center"/>
        </w:trPr>
        <w:tc>
          <w:tcPr>
            <w:tcW w:w="1418" w:type="dxa"/>
          </w:tcPr>
          <w:p w14:paraId="26C74060" w14:textId="77777777" w:rsidR="001D425F" w:rsidRPr="006828AF" w:rsidRDefault="001D425F" w:rsidP="004A4E5D">
            <w:pPr>
              <w:jc w:val="center"/>
              <w:rPr>
                <w:sz w:val="22"/>
                <w:szCs w:val="22"/>
              </w:rPr>
            </w:pPr>
            <w:r w:rsidRPr="006828AF">
              <w:rPr>
                <w:sz w:val="22"/>
                <w:szCs w:val="22"/>
              </w:rPr>
              <w:t>2012</w:t>
            </w:r>
          </w:p>
        </w:tc>
        <w:tc>
          <w:tcPr>
            <w:tcW w:w="1417" w:type="dxa"/>
          </w:tcPr>
          <w:p w14:paraId="44FD5A2C" w14:textId="77777777" w:rsidR="001D425F" w:rsidRPr="006828AF" w:rsidRDefault="001D425F" w:rsidP="004A4E5D">
            <w:pPr>
              <w:jc w:val="center"/>
              <w:rPr>
                <w:sz w:val="22"/>
                <w:szCs w:val="22"/>
              </w:rPr>
            </w:pPr>
            <w:r w:rsidRPr="006828AF">
              <w:rPr>
                <w:sz w:val="22"/>
                <w:szCs w:val="22"/>
              </w:rPr>
              <w:t>383</w:t>
            </w:r>
          </w:p>
        </w:tc>
        <w:tc>
          <w:tcPr>
            <w:tcW w:w="2694" w:type="dxa"/>
          </w:tcPr>
          <w:p w14:paraId="467925C5" w14:textId="77777777" w:rsidR="001D425F" w:rsidRPr="006828AF" w:rsidRDefault="001D425F" w:rsidP="004A4E5D">
            <w:pPr>
              <w:jc w:val="center"/>
              <w:rPr>
                <w:sz w:val="22"/>
                <w:szCs w:val="22"/>
              </w:rPr>
            </w:pPr>
            <w:r w:rsidRPr="006828AF">
              <w:rPr>
                <w:sz w:val="22"/>
                <w:szCs w:val="22"/>
              </w:rPr>
              <w:t>64 out of 65 Country</w:t>
            </w:r>
          </w:p>
        </w:tc>
      </w:tr>
      <w:tr w:rsidR="001D425F" w:rsidRPr="006828AF" w14:paraId="589DDEE9" w14:textId="77777777" w:rsidTr="004A4E5D">
        <w:trPr>
          <w:jc w:val="center"/>
        </w:trPr>
        <w:tc>
          <w:tcPr>
            <w:tcW w:w="1418" w:type="dxa"/>
          </w:tcPr>
          <w:p w14:paraId="26F835B3" w14:textId="77777777" w:rsidR="001D425F" w:rsidRPr="006828AF" w:rsidRDefault="001D425F" w:rsidP="004A4E5D">
            <w:pPr>
              <w:jc w:val="center"/>
              <w:rPr>
                <w:sz w:val="22"/>
                <w:szCs w:val="22"/>
              </w:rPr>
            </w:pPr>
            <w:r w:rsidRPr="006828AF">
              <w:rPr>
                <w:sz w:val="22"/>
                <w:szCs w:val="22"/>
              </w:rPr>
              <w:t>2015</w:t>
            </w:r>
          </w:p>
        </w:tc>
        <w:tc>
          <w:tcPr>
            <w:tcW w:w="1417" w:type="dxa"/>
          </w:tcPr>
          <w:p w14:paraId="1B30EBFF" w14:textId="77777777" w:rsidR="001D425F" w:rsidRPr="006828AF" w:rsidRDefault="001D425F" w:rsidP="004A4E5D">
            <w:pPr>
              <w:jc w:val="center"/>
              <w:rPr>
                <w:sz w:val="22"/>
                <w:szCs w:val="22"/>
              </w:rPr>
            </w:pPr>
            <w:r w:rsidRPr="006828AF">
              <w:rPr>
                <w:sz w:val="22"/>
                <w:szCs w:val="22"/>
              </w:rPr>
              <w:t>397</w:t>
            </w:r>
          </w:p>
        </w:tc>
        <w:tc>
          <w:tcPr>
            <w:tcW w:w="2694" w:type="dxa"/>
          </w:tcPr>
          <w:p w14:paraId="3EDA528E" w14:textId="77777777" w:rsidR="001D425F" w:rsidRPr="006828AF" w:rsidRDefault="001D425F" w:rsidP="004A4E5D">
            <w:pPr>
              <w:jc w:val="center"/>
              <w:rPr>
                <w:sz w:val="22"/>
                <w:szCs w:val="22"/>
              </w:rPr>
            </w:pPr>
            <w:r w:rsidRPr="006828AF">
              <w:rPr>
                <w:sz w:val="22"/>
                <w:szCs w:val="22"/>
              </w:rPr>
              <w:t>64 out of 72 Country</w:t>
            </w:r>
          </w:p>
        </w:tc>
      </w:tr>
      <w:tr w:rsidR="001D425F" w:rsidRPr="006828AF" w14:paraId="0C2DDF11" w14:textId="77777777" w:rsidTr="004A4E5D">
        <w:trPr>
          <w:jc w:val="center"/>
        </w:trPr>
        <w:tc>
          <w:tcPr>
            <w:tcW w:w="1418" w:type="dxa"/>
          </w:tcPr>
          <w:p w14:paraId="3B7D7BDE" w14:textId="77777777" w:rsidR="001D425F" w:rsidRPr="006828AF" w:rsidRDefault="001D425F" w:rsidP="004A4E5D">
            <w:pPr>
              <w:jc w:val="center"/>
              <w:rPr>
                <w:sz w:val="22"/>
                <w:szCs w:val="22"/>
              </w:rPr>
            </w:pPr>
            <w:r w:rsidRPr="006828AF">
              <w:rPr>
                <w:sz w:val="22"/>
                <w:szCs w:val="22"/>
              </w:rPr>
              <w:t>2018</w:t>
            </w:r>
          </w:p>
        </w:tc>
        <w:tc>
          <w:tcPr>
            <w:tcW w:w="1417" w:type="dxa"/>
          </w:tcPr>
          <w:p w14:paraId="5805CAB7" w14:textId="77777777" w:rsidR="001D425F" w:rsidRPr="006828AF" w:rsidRDefault="001D425F" w:rsidP="004A4E5D">
            <w:pPr>
              <w:jc w:val="center"/>
              <w:rPr>
                <w:sz w:val="22"/>
                <w:szCs w:val="22"/>
              </w:rPr>
            </w:pPr>
            <w:r w:rsidRPr="006828AF">
              <w:rPr>
                <w:sz w:val="22"/>
                <w:szCs w:val="22"/>
              </w:rPr>
              <w:t>371</w:t>
            </w:r>
          </w:p>
        </w:tc>
        <w:tc>
          <w:tcPr>
            <w:tcW w:w="2694" w:type="dxa"/>
          </w:tcPr>
          <w:p w14:paraId="713EAADD" w14:textId="77777777" w:rsidR="001D425F" w:rsidRPr="006828AF" w:rsidRDefault="001D425F" w:rsidP="004A4E5D">
            <w:pPr>
              <w:jc w:val="center"/>
              <w:rPr>
                <w:sz w:val="22"/>
                <w:szCs w:val="22"/>
              </w:rPr>
            </w:pPr>
            <w:r w:rsidRPr="006828AF">
              <w:rPr>
                <w:sz w:val="22"/>
                <w:szCs w:val="22"/>
              </w:rPr>
              <w:t>72 out of 77 Country</w:t>
            </w:r>
          </w:p>
        </w:tc>
      </w:tr>
    </w:tbl>
    <w:p w14:paraId="56D34F8A" w14:textId="77777777" w:rsidR="001D425F" w:rsidRPr="006828AF" w:rsidRDefault="001D425F" w:rsidP="001D425F">
      <w:pPr>
        <w:ind w:left="1440" w:firstLine="720"/>
        <w:rPr>
          <w:sz w:val="20"/>
        </w:rPr>
      </w:pPr>
      <w:r w:rsidRPr="006828AF">
        <w:rPr>
          <w:sz w:val="20"/>
        </w:rPr>
        <w:t xml:space="preserve">Source: </w:t>
      </w:r>
      <w:r w:rsidRPr="006828AF">
        <w:rPr>
          <w:sz w:val="20"/>
        </w:rPr>
        <w:fldChar w:fldCharType="begin" w:fldLock="1"/>
      </w:r>
      <w:r w:rsidRPr="006828AF">
        <w:rPr>
          <w:sz w:val="20"/>
        </w:rPr>
        <w:instrText>ADDIN CSL_CITATION {"citationItems":[{"id":"ITEM-1","itemData":{"author":[{"dropping-particle":"","family":"Hayat","given":"Bahrul","non-dropping-particle":"","parse-names":false,"suffix":""},{"dropping-particle":"","family":"Yusuf","given":"Suhendra","non-dropping-particle":"","parse-names":false,"suffix":""}],"id":"ITEM-1","issued":{"date-parts":[["2011"]]},"number-of-pages":"460","publisher":"Bumi Aksara","publisher-place":"Jakarta","title":"Benchmark Internasional Mutu Pendidikan","type":"book"},"uris":["http://www.mendeley.com/documents/?uuid=7b1ee5d1-3223-49f8-a263-2263780eb3b3"]},{"id":"ITEM-2","itemData":{"ISBN":"9789264281820","author":[{"dropping-particle":"","family":"OECD","given":"","non-dropping-particle":"","parse-names":false,"suffix":""}],"edition":"revised","id":"ITEM-2","issued":{"date-parts":[["2017"]]},"number-of-pages":"262","publisher":"OECD","publisher-place":"Paris","title":"PISA 2015 Assessment and Analytical Framework (SCIENCE, READING, MATHEMATIC, FINANCIAL LITERACY AND COLLABORATIVE PROBLEM SOLVING)","type":"book"},"uris":["http://www.mendeley.com/documents/?uuid=703a0dc0-d6b8-4e7b-a8a0-470e826aa79c"]},{"id":"ITEM-3","itemData":{"abstract":"Up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decisions.","author":[{"dropping-particle":"","family":"OECD","given":"","non-dropping-particle":"","parse-names":false,"suffix":""}],"id":"ITEM-3","issued":{"date-parts":[["2019"]]},"number-of-pages":"64","publisher":"OECD","publisher-place":"Paris","title":"PISA 2018 insights and interpretations","type":"book"},"uris":["http://www.mendeley.com/documents/?uuid=42e19bb3-3436-49ee-8cf7-1642a0d0eda3"]}],"mendeley":{"formattedCitation":"[6], [8], [9]","plainTextFormattedCitation":"[6], [8], [9]","previouslyFormattedCitation":"[6], [8], [9]"},"properties":{"noteIndex":0},"schema":"https://github.com/citation-style-language/schema/raw/master/csl-citation.json"}</w:instrText>
      </w:r>
      <w:r w:rsidRPr="006828AF">
        <w:rPr>
          <w:sz w:val="20"/>
        </w:rPr>
        <w:fldChar w:fldCharType="separate"/>
      </w:r>
      <w:r w:rsidRPr="006828AF">
        <w:rPr>
          <w:noProof/>
          <w:sz w:val="20"/>
        </w:rPr>
        <w:t>[6], [8], [9]</w:t>
      </w:r>
      <w:r w:rsidRPr="006828AF">
        <w:rPr>
          <w:sz w:val="20"/>
        </w:rPr>
        <w:fldChar w:fldCharType="end"/>
      </w:r>
    </w:p>
    <w:p w14:paraId="039F3C1A" w14:textId="77777777" w:rsidR="001D425F" w:rsidRDefault="001D425F" w:rsidP="001D425F">
      <w:pPr>
        <w:ind w:firstLine="720"/>
        <w:jc w:val="both"/>
        <w:rPr>
          <w:sz w:val="20"/>
        </w:rPr>
      </w:pPr>
    </w:p>
    <w:p w14:paraId="0ED15231" w14:textId="77777777" w:rsidR="001D425F" w:rsidRPr="008B2557" w:rsidRDefault="001D425F" w:rsidP="001D425F">
      <w:pPr>
        <w:ind w:firstLine="720"/>
        <w:jc w:val="both"/>
        <w:rPr>
          <w:sz w:val="22"/>
          <w:szCs w:val="22"/>
        </w:rPr>
      </w:pPr>
    </w:p>
    <w:p w14:paraId="0F4AE3BE" w14:textId="77777777" w:rsidR="001D425F" w:rsidRPr="008B2557" w:rsidRDefault="001D425F" w:rsidP="008B2557">
      <w:pPr>
        <w:jc w:val="both"/>
        <w:rPr>
          <w:sz w:val="22"/>
          <w:szCs w:val="22"/>
        </w:rPr>
      </w:pPr>
      <w:r w:rsidRPr="008B2557">
        <w:rPr>
          <w:sz w:val="22"/>
          <w:szCs w:val="22"/>
        </w:rPr>
        <w:t xml:space="preserve">As we known, the age of 15 years in Indonesia is a transition period from basic education to high school or vocational education (SMA / K). Thus, when entering the secondary level, the input obtained by schools is students with weak literacy abilities on average. That is, some do have average literacy, and some are very weak. On the other hand, the selection path for vocational and upper education levels is still somewhat ambiguous. This situation is interesting to study further whether students who have an average literacy, weak or very weak who choose the vocational School? </w:t>
      </w:r>
    </w:p>
    <w:p w14:paraId="29EDFB62" w14:textId="77777777" w:rsidR="008B2557" w:rsidRDefault="008B2557" w:rsidP="008B2557">
      <w:pPr>
        <w:jc w:val="both"/>
        <w:rPr>
          <w:sz w:val="22"/>
          <w:szCs w:val="22"/>
        </w:rPr>
      </w:pPr>
    </w:p>
    <w:p w14:paraId="470F9D81" w14:textId="34AB47CB" w:rsidR="001D425F" w:rsidRPr="008B2557" w:rsidRDefault="001D425F" w:rsidP="008B2557">
      <w:pPr>
        <w:jc w:val="both"/>
        <w:rPr>
          <w:sz w:val="22"/>
          <w:szCs w:val="22"/>
        </w:rPr>
      </w:pPr>
      <w:r w:rsidRPr="008B2557">
        <w:rPr>
          <w:sz w:val="22"/>
          <w:szCs w:val="22"/>
        </w:rPr>
        <w:t xml:space="preserve">Literacy is the foundation of knowledge, critical thinking </w:t>
      </w:r>
      <w:r w:rsidRPr="008B2557">
        <w:rPr>
          <w:sz w:val="22"/>
          <w:szCs w:val="22"/>
        </w:rPr>
        <w:fldChar w:fldCharType="begin" w:fldLock="1"/>
      </w:r>
      <w:r w:rsidRPr="008B2557">
        <w:rPr>
          <w:sz w:val="22"/>
          <w:szCs w:val="22"/>
        </w:rPr>
        <w:instrText>ADDIN CSL_CITATION {"citationItems":[{"id":"ITEM-1","itemData":{"DOI":"10.1177/2042753019860615","ISSN":"20427530","abstract":"The purpose of this study was to identify salient features for a critical thinking app and create an instrument to facilitate the app evaluation and selection process. Two questions guided the study: (1) What distinguishes critical thinking instructional apps from others? and (2) What design principles are essential to develop a critical thinking instructional app? The study was conducted in two phases, including a synthesis of existing research in Phase I and development of an evaluation instrument in Phase II. Three lines of research (on critical thinking, educational apps design principles, and tools for the evaluation of educational apps) informed the development of the instrument, which included three evaluation categories (content, pedagogy, and design). A synthesis of research used to create the instrument is included herein along with the instrument design process, rationale for this design, recommendations for usage, its limitations, and implications for future practice and research. Findings will enable app users to more wisely select critical thinking apps specific to their needs and assist app developers with distinguishing the salient qualities required to design apps for critical thinking. The study accordingly contributes to both software evaluation and its development with findings beneficial to both app users and developers.","author":[{"dropping-particle":"","family":"Chen","given":"Teresa","non-dropping-particle":"","parse-names":false,"suffix":""},{"dropping-particle":"","family":"Hsu","given":"Hui Mei","non-dropping-particle":"","parse-names":false,"suffix":""},{"dropping-particle":"","family":"Stamm","given":"Sheila Wright","non-dropping-particle":"","parse-names":false,"suffix":""},{"dropping-particle":"","family":"Yeh","given":"Ronnie","non-dropping-particle":"","parse-names":false,"suffix":""}],"container-title":"E-Learning and Digital Media","id":"ITEM-1","issue":"6","issued":{"date-parts":[["2019"]]},"page":"433-454","title":"Creating an instrument for evaluating critical thinking apps for college students","type":"article-journal","volume":"16"},"uris":["http://www.mendeley.com/documents/?uuid=44a5b0a6-e810-4e92-8c0a-ab934a79dd6a"]}],"mendeley":{"formattedCitation":"[10]","plainTextFormattedCitation":"[10]","previouslyFormattedCitation":"[10]"},"properties":{"noteIndex":0},"schema":"https://github.com/citation-style-language/schema/raw/master/csl-citation.json"}</w:instrText>
      </w:r>
      <w:r w:rsidRPr="008B2557">
        <w:rPr>
          <w:sz w:val="22"/>
          <w:szCs w:val="22"/>
        </w:rPr>
        <w:fldChar w:fldCharType="separate"/>
      </w:r>
      <w:r w:rsidRPr="008B2557">
        <w:rPr>
          <w:noProof/>
          <w:sz w:val="22"/>
          <w:szCs w:val="22"/>
        </w:rPr>
        <w:t>[10]</w:t>
      </w:r>
      <w:r w:rsidRPr="008B2557">
        <w:rPr>
          <w:sz w:val="22"/>
          <w:szCs w:val="22"/>
        </w:rPr>
        <w:fldChar w:fldCharType="end"/>
      </w:r>
      <w:r w:rsidRPr="008B2557">
        <w:rPr>
          <w:sz w:val="22"/>
          <w:szCs w:val="22"/>
        </w:rPr>
        <w:t xml:space="preserve">, and decision making </w:t>
      </w:r>
      <w:r w:rsidRPr="008B2557">
        <w:rPr>
          <w:sz w:val="22"/>
          <w:szCs w:val="22"/>
        </w:rPr>
        <w:fldChar w:fldCharType="begin" w:fldLock="1"/>
      </w:r>
      <w:r w:rsidRPr="008B2557">
        <w:rPr>
          <w:sz w:val="22"/>
          <w:szCs w:val="22"/>
        </w:rPr>
        <w:instrText>ADDIN CSL_CITATION {"citationItems":[{"id":"ITEM-1","itemData":{"DOI":"10.1007/s11165-015-9462-1","ISSN":"15731898","abstract":"Scientific literacy has many meanings: it can be thought of as foundational knowledge, foundational critical thinking skills, or the application of these two foundations to everyday decision making. Here, we examine the far transfer scenario: do increases in science education lead to everyday decision-making becoming more consistent with consensus scientific knowledge? We report on a large sample of employees of a mixed urban/rural county representing a diverse range of careers, who completed an anonymous survey about their environmental conservation actions at home, as well as their general education level and their science coursework. Across broad and narrow measures of science education, we find little impact on action. Possible causes of this failure of transfer and the implications for changes in science instruction are discussed.","author":[{"dropping-particle":"","family":"Crowell","given":"Amanda","non-dropping-particle":"","parse-names":false,"suffix":""},{"dropping-particle":"","family":"Schunn","given":"Christian","non-dropping-particle":"","parse-names":false,"suffix":""}],"container-title":"Research in Science Education","id":"ITEM-1","issue":"1","issued":{"date-parts":[["2016"]]},"page":"129-140","title":"Unpacking the Relationship Between Science Education and Applied Scientific Literacy","type":"article-journal","volume":"46"},"uris":["http://www.mendeley.com/documents/?uuid=403aab5a-63a0-4930-9363-e2f749253233"]}],"mendeley":{"formattedCitation":"[11]","plainTextFormattedCitation":"[11]","previouslyFormattedCitation":"[11]"},"properties":{"noteIndex":0},"schema":"https://github.com/citation-style-language/schema/raw/master/csl-citation.json"}</w:instrText>
      </w:r>
      <w:r w:rsidRPr="008B2557">
        <w:rPr>
          <w:sz w:val="22"/>
          <w:szCs w:val="22"/>
        </w:rPr>
        <w:fldChar w:fldCharType="separate"/>
      </w:r>
      <w:r w:rsidRPr="008B2557">
        <w:rPr>
          <w:noProof/>
          <w:sz w:val="22"/>
          <w:szCs w:val="22"/>
        </w:rPr>
        <w:t>[11]</w:t>
      </w:r>
      <w:r w:rsidRPr="008B2557">
        <w:rPr>
          <w:sz w:val="22"/>
          <w:szCs w:val="22"/>
        </w:rPr>
        <w:fldChar w:fldCharType="end"/>
      </w:r>
      <w:r w:rsidRPr="008B2557">
        <w:rPr>
          <w:sz w:val="22"/>
          <w:szCs w:val="22"/>
        </w:rPr>
        <w:t xml:space="preserve"> . Scientific literacy is basically closely related to reading, writing and communicating related to science so that students can become human beings who are cultured, humanist and can act according to personality in daily life and prepare themselves for the business and work </w:t>
      </w:r>
      <w:r w:rsidRPr="008B2557">
        <w:rPr>
          <w:sz w:val="22"/>
          <w:szCs w:val="22"/>
        </w:rPr>
        <w:fldChar w:fldCharType="begin" w:fldLock="1"/>
      </w:r>
      <w:r w:rsidRPr="008B2557">
        <w:rPr>
          <w:sz w:val="22"/>
          <w:szCs w:val="22"/>
        </w:rPr>
        <w:instrText>ADDIN CSL_CITATION {"citationItems":[{"id":"ITEM-1","itemData":{"DOI":"10.1016/j.chb.2015.06.031","ISSN":"07475632","abstract":"Social network sites (SNSs) like Facebook.com, are the dominant technology-mediated leisure activity among teenagers in different countries, prompting researchers to explore their suitability as learning tools, largely in formal higher education settings, and with mixed results. In contrast, this paper examines whether an open-source social networking application implemented outside of the school context engaged young people (ages 16-25) in debating socio-scientific issues. A multi-dimensional approach to analyzing argumentative knowledge construction in a designed Facebook.com application yielded insights about the presence and nature of young people's socio-scientific issue argumentation along four process dimensions (participation, argumentative, epistemic, social co-construction). We discuss the implications of these findings for computer-supported collaborative learning (CSCL) theory and the design of similar applications that attempt to supplement formal learning or bridge formal-informal learning settings.","author":[{"dropping-particle":"","family":"Greenhow","given":"Christine","non-dropping-particle":"","parse-names":false,"suffix":""},{"dropping-particle":"","family":"Gibbins","given":"Thor","non-dropping-particle":"","parse-names":false,"suffix":""},{"dropping-particle":"","family":"Menzer","given":"Melissa M.","non-dropping-particle":"","parse-names":false,"suffix":""}],"container-title":"Computers in Human Behavior","id":"ITEM-1","issue":"December","issued":{"date-parts":[["2015"]]},"page":"593-604","publisher":"Elsevier Ltd","title":"Re-thinking scientific literacy out-of-school: Arguing science issues in a niche Facebook application","type":"article-journal","volume":"53"},"uris":["http://www.mendeley.com/documents/?uuid=567038d4-5e50-4327-ae4d-e03016183940"]}],"mendeley":{"formattedCitation":"[12]","plainTextFormattedCitation":"[12]","previouslyFormattedCitation":"[12]"},"properties":{"noteIndex":0},"schema":"https://github.com/citation-style-language/schema/raw/master/csl-citation.json"}</w:instrText>
      </w:r>
      <w:r w:rsidRPr="008B2557">
        <w:rPr>
          <w:sz w:val="22"/>
          <w:szCs w:val="22"/>
        </w:rPr>
        <w:fldChar w:fldCharType="separate"/>
      </w:r>
      <w:r w:rsidRPr="008B2557">
        <w:rPr>
          <w:noProof/>
          <w:sz w:val="22"/>
          <w:szCs w:val="22"/>
        </w:rPr>
        <w:t>[12]</w:t>
      </w:r>
      <w:r w:rsidRPr="008B2557">
        <w:rPr>
          <w:sz w:val="22"/>
          <w:szCs w:val="22"/>
        </w:rPr>
        <w:fldChar w:fldCharType="end"/>
      </w:r>
      <w:r w:rsidRPr="008B2557">
        <w:rPr>
          <w:sz w:val="22"/>
          <w:szCs w:val="22"/>
        </w:rPr>
        <w:t xml:space="preserve"> Scientific literacy can be seen as the ability to critically analyze and evaluate everything related to science and make decisions based on it </w:t>
      </w:r>
      <w:r w:rsidRPr="008B2557">
        <w:rPr>
          <w:sz w:val="22"/>
          <w:szCs w:val="22"/>
        </w:rPr>
        <w:fldChar w:fldCharType="begin" w:fldLock="1"/>
      </w:r>
      <w:r w:rsidRPr="008B2557">
        <w:rPr>
          <w:sz w:val="22"/>
          <w:szCs w:val="22"/>
        </w:rPr>
        <w:instrText>ADDIN CSL_CITATION {"citationItems":[{"id":"ITEM-1","itemData":{"DOI":"10.1021/acs.jchemed.5b00942","ISSN":"19381328","abstract":"This paper describes assignments that have been implemented in a General Chemistry I course to promote science literacy. This course was chosen in particular because it reaches a broad audience, which includes nonscience majors. The assignment series begins with several discussions and tasks to develop information literacy, in which students find and critique sources of information and evaluate a journal article. It then culminates in an assignment that asks students to critically review a variety of information on a current issue and compose a written supported argument. This set of assignments gives our course a broader, liberal arts context, and according to student feedback, it has been successful in fostering science literacy. Adaptation for use in upper-level courses is also discussed.","author":[{"dropping-particle":"","family":"Miller","given":"Diane M.","non-dropping-particle":"","parse-names":false,"suffix":""},{"dropping-particle":"","family":"Czegan","given":"Demetra A.Chengelis","non-dropping-particle":"","parse-names":false,"suffix":""}],"container-title":"Journal of Chemical Education","id":"ITEM-1","issue":"5","issued":{"date-parts":[["2016"]]},"page":"864-869","title":"Integrating the Liberal Arts and Chemistry: A Series of General Chemistry Assignments to Develop Science Literacy","type":"article-journal","volume":"93"},"uris":["http://www.mendeley.com/documents/?uuid=f2ee747d-3214-4291-81e6-95b533292334"]}],"mendeley":{"formattedCitation":"[13]","plainTextFormattedCitation":"[13]","previouslyFormattedCitation":"[13]"},"properties":{"noteIndex":0},"schema":"https://github.com/citation-style-language/schema/raw/master/csl-citation.json"}</w:instrText>
      </w:r>
      <w:r w:rsidRPr="008B2557">
        <w:rPr>
          <w:sz w:val="22"/>
          <w:szCs w:val="22"/>
        </w:rPr>
        <w:fldChar w:fldCharType="separate"/>
      </w:r>
      <w:r w:rsidRPr="008B2557">
        <w:rPr>
          <w:noProof/>
          <w:sz w:val="22"/>
          <w:szCs w:val="22"/>
        </w:rPr>
        <w:t>[13]</w:t>
      </w:r>
      <w:r w:rsidRPr="008B2557">
        <w:rPr>
          <w:sz w:val="22"/>
          <w:szCs w:val="22"/>
        </w:rPr>
        <w:fldChar w:fldCharType="end"/>
      </w:r>
      <w:r w:rsidRPr="008B2557">
        <w:rPr>
          <w:sz w:val="22"/>
          <w:szCs w:val="22"/>
        </w:rPr>
        <w:t>. Scientific literacy can be interpreted as a life value in order to solve practical problems, play a role in various social activities and understand that science is a product of cultural practices.</w:t>
      </w:r>
      <w:r w:rsidRPr="008B2557">
        <w:rPr>
          <w:sz w:val="22"/>
          <w:szCs w:val="22"/>
        </w:rPr>
        <w:fldChar w:fldCharType="begin" w:fldLock="1"/>
      </w:r>
      <w:r w:rsidRPr="008B2557">
        <w:rPr>
          <w:sz w:val="22"/>
          <w:szCs w:val="22"/>
        </w:rPr>
        <w:instrText>ADDIN CSL_CITATION {"citationItems":[{"id":"ITEM-1","itemData":{"DOI":"10.15294/jpii.v5i1.5786","ISSN":"20894392","abstract":"This study aims to describe the comparison of students’ scientific literacy improvement in integrated science learning through guided dicovery and problem based learning models. The subjects were 8th grade students of State Junior High Schools in Bandung. This research design was quasi-experimental with non randomaized static group pretest-posttest design. The instrument used in this study was multiple choice test and attitude scale. The result shows that the improvement of scientific literacy achievement of students who learned integrated science through guided discovery and problem based learning models did not differ significantly. Integrated science learning through guided disovery models can improve student literacy achievement with the gain of 0.37 (medium category), while by using problem based learning model can improve scientific literacy with the gain of 0.41 (medium category). It can be concluded that the both models of guided discovery and problem based learning can improve students’ science literacy.","author":[{"dropping-particle":"","family":"Ardianto","given":"D.","non-dropping-particle":"","parse-names":false,"suffix":""},{"dropping-particle":"","family":"Rubini","given":"B.","non-dropping-particle":"","parse-names":false,"suffix":""}],"container-title":"Jurnal Pendidikan IPA Indonesia","id":"ITEM-1","issue":"1","issued":{"date-parts":[["2016"]]},"page":"31-37","title":"Comparison of students’ scientific literacy in integrated science learning through model of guided discovery and problem based learning","type":"article-journal","volume":"5"},"uris":["http://www.mendeley.com/documents/?uuid=2769bc79-0335-4176-b177-6b8862b4f57b"]}],"mendeley":{"formattedCitation":"[14]","plainTextFormattedCitation":"[14]","previouslyFormattedCitation":"[14]"},"properties":{"noteIndex":0},"schema":"https://github.com/citation-style-language/schema/raw/master/csl-citation.json"}</w:instrText>
      </w:r>
      <w:r w:rsidRPr="008B2557">
        <w:rPr>
          <w:sz w:val="22"/>
          <w:szCs w:val="22"/>
        </w:rPr>
        <w:fldChar w:fldCharType="separate"/>
      </w:r>
      <w:r w:rsidRPr="008B2557">
        <w:rPr>
          <w:noProof/>
          <w:sz w:val="22"/>
          <w:szCs w:val="22"/>
        </w:rPr>
        <w:t>[14]</w:t>
      </w:r>
      <w:r w:rsidRPr="008B2557">
        <w:rPr>
          <w:sz w:val="22"/>
          <w:szCs w:val="22"/>
        </w:rPr>
        <w:fldChar w:fldCharType="end"/>
      </w:r>
    </w:p>
    <w:p w14:paraId="6A114196" w14:textId="77777777" w:rsidR="008B2557" w:rsidRDefault="008B2557" w:rsidP="008B2557">
      <w:pPr>
        <w:jc w:val="both"/>
        <w:rPr>
          <w:sz w:val="22"/>
          <w:szCs w:val="22"/>
        </w:rPr>
      </w:pPr>
    </w:p>
    <w:p w14:paraId="3D1A4185" w14:textId="29D1A0C4" w:rsidR="001D425F" w:rsidRPr="008B2557" w:rsidRDefault="001D425F" w:rsidP="008B2557">
      <w:pPr>
        <w:jc w:val="both"/>
        <w:rPr>
          <w:sz w:val="22"/>
          <w:szCs w:val="22"/>
        </w:rPr>
      </w:pPr>
      <w:r w:rsidRPr="008B2557">
        <w:rPr>
          <w:sz w:val="22"/>
          <w:szCs w:val="22"/>
        </w:rPr>
        <w:t xml:space="preserve">Another opinion says that basically scientific literacy is not only tied to the ability of students in reading, writing and communicating related to science. More than that, scientific literacy wants students to have the ability to think, process information and make decisions by considering various aspects along with various derivatives. </w:t>
      </w:r>
      <w:r w:rsidRPr="008B2557">
        <w:rPr>
          <w:sz w:val="22"/>
          <w:szCs w:val="22"/>
        </w:rPr>
        <w:fldChar w:fldCharType="begin" w:fldLock="1"/>
      </w:r>
      <w:r w:rsidRPr="008B2557">
        <w:rPr>
          <w:sz w:val="22"/>
          <w:szCs w:val="22"/>
        </w:rPr>
        <w:instrText>ADDIN CSL_CITATION {"citationItems":[{"id":"ITEM-1","itemData":{"DOI":"10.1007/s10763-015-9661-2","ISSN":"15731774","abstract":"Many journal articles detail recommendations to naturally integrate literacy instruction into content-area classes, particularly science, claiming that such instructional practices will support both literacy and content-knowledge acquisition. This begs the question, are the literacy strategies recommended for content-area instruction founded in established educational theories? The purpose of the current study is to examine the implicit and explicit theories driving science disciplinary literacy instruction. Theories assist in organizing and advancing research in a systematic manner. Information on the status of theory is essential to both practitioners (who are implementing strategies) and researchers (who are making recommendations for classroom instruction). Our study revealed that in science literacy, vocabulary instructional practices are frequently supported with Schema and Dual-Coding theories. Articles also frequently used theories grounded in social dynamics, including social constructionism and sociocultural perspective, to support literacy instruction. However, recommendations for other aspects of instructional practices in science literacy are generally not well-grounded in major reading theories.","author":[{"dropping-particle":"","family":"Wright","given":"Katherine Landau","non-dropping-particle":"","parse-names":false,"suffix":""},{"dropping-particle":"","family":"Franks","given":"Amanda D.","non-dropping-particle":"","parse-names":false,"suffix":""},{"dropping-particle":"","family":"Kuo","given":"Li Jen","non-dropping-particle":"","parse-names":false,"suffix":""},{"dropping-particle":"","family":"McTigue","given":"Erin M.","non-dropping-particle":"","parse-names":false,"suffix":""},{"dropping-particle":"","family":"Serrano","given":"Jiniva","non-dropping-particle":"","parse-names":false,"suffix":""}],"container-title":"International Journal of Science and Mathematics Education","id":"ITEM-1","issue":"7","issued":{"date-parts":[["2016"]]},"page":"1275-1292","publisher":"International Journal of Science and Mathematics Education","title":"Both Theory and Practice: Science Literacy Instruction and Theories of Reading","type":"article-journal","volume":"14"},"uris":["http://www.mendeley.com/documents/?uuid=42f181f7-58d8-48b3-98c0-f1ccd1572db9"]}],"mendeley":{"formattedCitation":"[15]","plainTextFormattedCitation":"[15]","previouslyFormattedCitation":"[15]"},"properties":{"noteIndex":0},"schema":"https://github.com/citation-style-language/schema/raw/master/csl-citation.json"}</w:instrText>
      </w:r>
      <w:r w:rsidRPr="008B2557">
        <w:rPr>
          <w:sz w:val="22"/>
          <w:szCs w:val="22"/>
        </w:rPr>
        <w:fldChar w:fldCharType="separate"/>
      </w:r>
      <w:r w:rsidRPr="008B2557">
        <w:rPr>
          <w:noProof/>
          <w:sz w:val="22"/>
          <w:szCs w:val="22"/>
        </w:rPr>
        <w:t>[15]</w:t>
      </w:r>
      <w:r w:rsidRPr="008B2557">
        <w:rPr>
          <w:sz w:val="22"/>
          <w:szCs w:val="22"/>
        </w:rPr>
        <w:fldChar w:fldCharType="end"/>
      </w:r>
      <w:r w:rsidRPr="008B2557">
        <w:rPr>
          <w:sz w:val="22"/>
          <w:szCs w:val="22"/>
        </w:rPr>
        <w:t xml:space="preserve"> Even scientific literacy plays a major role in preserving historical heritage objects in museums </w:t>
      </w:r>
      <w:r w:rsidRPr="008B2557">
        <w:rPr>
          <w:sz w:val="22"/>
          <w:szCs w:val="22"/>
        </w:rPr>
        <w:fldChar w:fldCharType="begin" w:fldLock="1"/>
      </w:r>
      <w:r w:rsidRPr="008B2557">
        <w:rPr>
          <w:sz w:val="22"/>
          <w:szCs w:val="22"/>
        </w:rPr>
        <w:instrText>ADDIN CSL_CITATION {"citationItems":[{"id":"ITEM-1","itemData":{"DOI":"10.22323/2.14020204","ISSN":"18242049","abstract":"Communication of scientific knowledge has been caught up in a pedagogical struggle between science literacy ideologies. The backseat role taken by the teaching of the philosophical and sociological aspects of science has come under fire by those calling for a broader view of science to be made public under the umbrella term \"critical science literacy\". In this paper, we argue that the lack of unfinished science in museums - science still in the making or still being debated - is a paradigm case where the richer, fuller view of science is being denied air by the presentation of science as a finished, objective set of facts. We argue that unfinished science offers us the opportunity to present the full complexity of science, including its social and philosophical aspects, and thus enabling the \"critical\" of critical science literacy.","author":[{"dropping-particle":"","family":"Hine","given":"Amelia","non-dropping-particle":"","parse-names":false,"suffix":""},{"dropping-particle":"","family":"Medvecky","given":"Fabien","non-dropping-particle":"","parse-names":false,"suffix":""}],"container-title":"Journal of Science Communication","id":"ITEM-1","issue":"2","issued":{"date-parts":[["2015"]]},"page":"1-14","title":"Unfinished science in museums: A push for critical science literacy","type":"article-journal","volume":"14"},"uris":["http://www.mendeley.com/documents/?uuid=b50a086a-ca4d-48a2-a39b-6212419f4455"]}],"mendeley":{"formattedCitation":"[16]","plainTextFormattedCitation":"[16]","previouslyFormattedCitation":"[16]"},"properties":{"noteIndex":0},"schema":"https://github.com/citation-style-language/schema/raw/master/csl-citation.json"}</w:instrText>
      </w:r>
      <w:r w:rsidRPr="008B2557">
        <w:rPr>
          <w:sz w:val="22"/>
          <w:szCs w:val="22"/>
        </w:rPr>
        <w:fldChar w:fldCharType="separate"/>
      </w:r>
      <w:r w:rsidRPr="008B2557">
        <w:rPr>
          <w:noProof/>
          <w:sz w:val="22"/>
          <w:szCs w:val="22"/>
        </w:rPr>
        <w:t>[16]</w:t>
      </w:r>
      <w:r w:rsidRPr="008B2557">
        <w:rPr>
          <w:sz w:val="22"/>
          <w:szCs w:val="22"/>
        </w:rPr>
        <w:fldChar w:fldCharType="end"/>
      </w:r>
      <w:r w:rsidRPr="008B2557">
        <w:rPr>
          <w:sz w:val="22"/>
          <w:szCs w:val="22"/>
        </w:rPr>
        <w:t xml:space="preserve"> Scientific literacy is not only intended for children, in adolescents and adults, but scientific literacy can also be triggered by various activities such as visits to scientific objects, involvement in various activities related to science </w:t>
      </w:r>
      <w:r w:rsidRPr="008B2557">
        <w:rPr>
          <w:sz w:val="22"/>
          <w:szCs w:val="22"/>
        </w:rPr>
        <w:fldChar w:fldCharType="begin" w:fldLock="1"/>
      </w:r>
      <w:r w:rsidRPr="008B2557">
        <w:rPr>
          <w:sz w:val="22"/>
          <w:szCs w:val="22"/>
        </w:rPr>
        <w:instrText>ADDIN CSL_CITATION {"citationItems":[{"id":"ITEM-1","itemData":{"DOI":"10.1002/sce.21225","ISSN":"1098237X","abstract":"This international investigation was designed to determine if, and under what circumstances experiences at science centers, significantly correlated with a range of adult general public science and technology literacy measures. Given the complex and cumulative nature of science and technology learning, and the highly variable and free-choice nature of science center experiences, an epidemiological research approach was used. Quantitative surveys were administered to 6,089 adults living in 17 communities located in 13 countries; all with active science centers. Data collection and analysis protocols ensured a representative sampling based on age, education, and income from each of the 17 participating communities. Results showed that individuals who used science centers had significantly higher understanding, interest and curiosity, participation in free-choice leisure activities, and identity relative to science and technology than did individuals who did not visit; even when potential self-selection biases such as income, education level, and prior interest were taken into consideration. These findings significantly strengthen the argument that the presence of one or more healthy and active science centers within a community, region, or country represents a vital investment for fostering and maintaining a scientifically and technologically informed, engaged, and literate public.","author":[{"dropping-particle":"","family":"Falk","given":"John H.","non-dropping-particle":"","parse-names":false,"suffix":""},{"dropping-particle":"","family":"Dierking","given":"Lynn D.","non-dropping-particle":"","parse-names":false,"suffix":""},{"dropping-particle":"","family":"Swanger","given":"Lisa Prendergast","non-dropping-particle":"","parse-names":false,"suffix":""},{"dropping-particle":"","family":"Staus","given":"Nancy","non-dropping-particle":"","parse-names":false,"suffix":""},{"dropping-particle":"","family":"Back","given":"Mariana","non-dropping-particle":"","parse-names":false,"suffix":""},{"dropping-particle":"","family":"Barriault","given":"Chantal","non-dropping-particle":"","parse-names":false,"suffix":""},{"dropping-particle":"","family":"Catalao","given":"Carlos","non-dropping-particle":"","parse-names":false,"suffix":""},{"dropping-particle":"","family":"Chambers","given":"Cindy","non-dropping-particle":"","parse-names":false,"suffix":""},{"dropping-particle":"","family":"Chew","given":"Ling Ling","non-dropping-particle":"","parse-names":false,"suffix":""},{"dropping-particle":"","family":"Dahl","given":"Svein A.","non-dropping-particle":"","parse-names":false,"suffix":""},{"dropping-particle":"","family":"Falla","given":"Sigrid","non-dropping-particle":"","parse-names":false,"suffix":""},{"dropping-particle":"","family":"Gorecki","given":"Bern","non-dropping-particle":"","parse-names":false,"suffix":""},{"dropping-particle":"","family":"Lau","given":"Tak Cheung","non-dropping-particle":"","parse-names":false,"suffix":""},{"dropping-particle":"","family":"Lloyd","given":"Andy","non-dropping-particle":"","parse-names":false,"suffix":""},{"dropping-particle":"","family":"Martin","given":"Jennifer","non-dropping-particle":"","parse-names":false,"suffix":""},{"dropping-particle":"","family":"Santer","given":"Jennifer","non-dropping-particle":"","parse-names":false,"suffix":""},{"dropping-particle":"","family":"Singer","given":"Silvia","non-dropping-particle":"","parse-names":false,"suffix":""},{"dropping-particle":"","family":"Solli","given":"Anne","non-dropping-particle":"","parse-names":false,"suffix":""},{"dropping-particle":"","family":"Trepanier","given":"Gabrielle","non-dropping-particle":"","parse-names":false,"suffix":""},{"dropping-particle":"","family":"Tyystjärvi","given":"Kati","non-dropping-particle":"","parse-names":false,"suffix":""},{"dropping-particle":"","family":"Verheyden","given":"Patricia","non-dropping-particle":"","parse-names":false,"suffix":""}],"container-title":"Science Education","id":"ITEM-1","issue":"5","issued":{"date-parts":[["2016"]]},"page":"849-876","title":"Correlating Science Center Use With Adult Science Literacy: An International, Cross-Institutional Study","type":"article-journal","volume":"100"},"uris":["http://www.mendeley.com/documents/?uuid=484b899f-d8ae-44cc-b24b-54319d9f21d8"]}],"mendeley":{"formattedCitation":"[3]","plainTextFormattedCitation":"[3]","previouslyFormattedCitation":"[3]"},"properties":{"noteIndex":0},"schema":"https://github.com/citation-style-language/schema/raw/master/csl-citation.json"}</w:instrText>
      </w:r>
      <w:r w:rsidRPr="008B2557">
        <w:rPr>
          <w:sz w:val="22"/>
          <w:szCs w:val="22"/>
        </w:rPr>
        <w:fldChar w:fldCharType="separate"/>
      </w:r>
      <w:r w:rsidRPr="008B2557">
        <w:rPr>
          <w:noProof/>
          <w:sz w:val="22"/>
          <w:szCs w:val="22"/>
        </w:rPr>
        <w:t>[3]</w:t>
      </w:r>
      <w:r w:rsidRPr="008B2557">
        <w:rPr>
          <w:sz w:val="22"/>
          <w:szCs w:val="22"/>
        </w:rPr>
        <w:fldChar w:fldCharType="end"/>
      </w:r>
      <w:r w:rsidRPr="008B2557">
        <w:rPr>
          <w:sz w:val="22"/>
          <w:szCs w:val="22"/>
        </w:rPr>
        <w:t xml:space="preserve">. In addition, scientific literacy is also important for teachers and prospective teachers so that in planning, facilitating and assessing learning can be in accordance with the themes and developments both related to the curriculum, training, courses, assignments in the classroom as well as fostering the ability of science to students </w:t>
      </w:r>
      <w:r w:rsidRPr="008B2557">
        <w:rPr>
          <w:sz w:val="22"/>
          <w:szCs w:val="22"/>
        </w:rPr>
        <w:fldChar w:fldCharType="begin" w:fldLock="1"/>
      </w:r>
      <w:r w:rsidRPr="008B2557">
        <w:rPr>
          <w:sz w:val="22"/>
          <w:szCs w:val="22"/>
        </w:rPr>
        <w:instrText>ADDIN CSL_CITATION {"citationItems":[{"id":"ITEM-1","itemData":{"DOI":"10.1080/10409289.2017.1279527","ISSN":"10409289","abstract":"Young children are able to benefit from early science teaching but many preschool teachers have not had opportunities to deepen their own understanding of science or to develop their pedagogical content knowledge (PCK) in relation to specific science topics and concepts. This study presents the results of efficacy research on Foundations of Science Literacy (FSL), a comprehensive professional development program designed to support teachers’ knowledge of early childhood science; their PCK around 2 physical science topics (water, and balls and ramps); and their abilities to plan, facilitate, and assess young children’s learning during inquiry-based science explorations. Research Findings: In a randomized trial with 142 preschool teachers and 1,004 4-year-old children, FSL teachers demonstrated significantly higher quality science teaching in general and greater PCK in the 2 physical science topics than did teachers in comparison classrooms. Furthermore, children in FSL classrooms performed significantly better than children in comparison classrooms on tasks involving floating and sinking, and an instrumental variable analysis suggests that the quality of classroom science instruction mediated the relationship between teacher participation in FSL and student outcomes. Practice or Policy: Findings support the use of comprehensive early science professional development programs designed to bolster teacher knowledge and PCK.","author":[{"dropping-particle":"","family":"Gropen","given":"Jess","non-dropping-particle":"","parse-names":false,"suffix":""},{"dropping-particle":"","family":"Kook","given":"Janna F.","non-dropping-particle":"","parse-names":false,"suffix":""},{"dropping-particle":"","family":"Hoisington","given":"Cindy","non-dropping-particle":"","parse-names":false,"suffix":""},{"dropping-particle":"","family":"Clark-Chiarelli","given":"Nancy","non-dropping-particle":"","parse-names":false,"suffix":""}],"container-title":"Early Education and Development","id":"ITEM-1","issue":"5","issued":{"date-parts":[["2017"]]},"page":"607-631","publisher":"Routledge","title":"Foundations of Science Literacy: Efficacy of a Preschool Professional Development Program in Science on Classroom Instruction, Teachers’ Pedagogical Content Knowledge, and Children’s Observations and Predictions","type":"article-journal","volume":"28"},"uris":["http://www.mendeley.com/documents/?uuid=999a0250-2bc1-4725-a029-c24f5f7296da"]}],"mendeley":{"formattedCitation":"[17]","plainTextFormattedCitation":"[17]","previouslyFormattedCitation":"[17]"},"properties":{"noteIndex":0},"schema":"https://github.com/citation-style-language/schema/raw/master/csl-citation.json"}</w:instrText>
      </w:r>
      <w:r w:rsidRPr="008B2557">
        <w:rPr>
          <w:sz w:val="22"/>
          <w:szCs w:val="22"/>
        </w:rPr>
        <w:fldChar w:fldCharType="separate"/>
      </w:r>
      <w:r w:rsidRPr="008B2557">
        <w:rPr>
          <w:noProof/>
          <w:sz w:val="22"/>
          <w:szCs w:val="22"/>
        </w:rPr>
        <w:t>[17]</w:t>
      </w:r>
      <w:r w:rsidRPr="008B2557">
        <w:rPr>
          <w:sz w:val="22"/>
          <w:szCs w:val="22"/>
        </w:rPr>
        <w:fldChar w:fldCharType="end"/>
      </w:r>
      <w:r w:rsidRPr="008B2557">
        <w:rPr>
          <w:sz w:val="22"/>
          <w:szCs w:val="22"/>
        </w:rPr>
        <w:t xml:space="preserve">. Scientific </w:t>
      </w:r>
      <w:r w:rsidRPr="008B2557">
        <w:rPr>
          <w:sz w:val="22"/>
          <w:szCs w:val="22"/>
        </w:rPr>
        <w:lastRenderedPageBreak/>
        <w:t xml:space="preserve">literacy is also needed by teachers in terms of learning and developing various abilities in innovating in creating learning content </w:t>
      </w:r>
      <w:r w:rsidRPr="008B2557">
        <w:rPr>
          <w:sz w:val="22"/>
          <w:szCs w:val="22"/>
        </w:rPr>
        <w:fldChar w:fldCharType="begin" w:fldLock="1"/>
      </w:r>
      <w:r w:rsidRPr="008B2557">
        <w:rPr>
          <w:sz w:val="22"/>
          <w:szCs w:val="22"/>
        </w:rPr>
        <w:instrText>ADDIN CSL_CITATION {"citationItems":[{"id":"ITEM-1","itemData":{"DOI":"10.15294/jpii.v5i1.5794","ISSN":"20894392","abstract":"This study aimed to produce valid, practical and effective guided inquiry model science learning materials to enhance science literacy skill of prospective MI teachers. The tryout of the materials was implementedto students of MI teacher educationof Unipdu Jombang at academic year of 2015/2016 semesters 3 using One Group Pretest Posttest Design. The data collections were done using observation, testing, and questionnaires. Data were analysed using descriptive analysis of quantitative, qualitative and non-parametric statistical tests. The findings of the research were: 1) the learning materials were valid; 2) Practicality of the materials was tested through the implementation of lesson plans, while the learners’ activity wereappropriate to the guided inquirymodel; and 3) The effectiveness of the learning materials in terms of improvement of learning outcomes of students was seen from the n-gain with high category and increasing mastery of science literacy skills of learners also scored n-gain with high category and the response of students to the device and the implementation of learning is very positive. It was concluded that the materials were valid, practical, and effective to enhance science literacy skills of prospective MI teachers.","author":[{"dropping-particle":"","family":"Putra","given":"M. I.S.","non-dropping-particle":"","parse-names":false,"suffix":""},{"dropping-particle":"","family":"Widodo","given":"W.","non-dropping-particle":"","parse-names":false,"suffix":""},{"dropping-particle":"","family":"Jatmiko","given":"B.","non-dropping-particle":"","parse-names":false,"suffix":""}],"container-title":"Jurnal Pendidikan IPA Indonesia","id":"ITEM-1","issue":"1","issued":{"date-parts":[["2016"]]},"page":"83-93","title":"The development of guided inquiry science learning materials to improve science literacy skill of prospective mi teachers","type":"article-journal","volume":"5"},"uris":["http://www.mendeley.com/documents/?uuid=821f92f8-3439-4d28-a70c-5243ada6d112"]}],"mendeley":{"formattedCitation":"[18]","plainTextFormattedCitation":"[18]","previouslyFormattedCitation":"[18]"},"properties":{"noteIndex":0},"schema":"https://github.com/citation-style-language/schema/raw/master/csl-citation.json"}</w:instrText>
      </w:r>
      <w:r w:rsidRPr="008B2557">
        <w:rPr>
          <w:sz w:val="22"/>
          <w:szCs w:val="22"/>
        </w:rPr>
        <w:fldChar w:fldCharType="separate"/>
      </w:r>
      <w:r w:rsidRPr="008B2557">
        <w:rPr>
          <w:noProof/>
          <w:sz w:val="22"/>
          <w:szCs w:val="22"/>
        </w:rPr>
        <w:t>[18]</w:t>
      </w:r>
      <w:r w:rsidRPr="008B2557">
        <w:rPr>
          <w:sz w:val="22"/>
          <w:szCs w:val="22"/>
        </w:rPr>
        <w:fldChar w:fldCharType="end"/>
      </w:r>
      <w:r w:rsidRPr="008B2557">
        <w:rPr>
          <w:sz w:val="22"/>
          <w:szCs w:val="22"/>
        </w:rPr>
        <w:t xml:space="preserve">. </w:t>
      </w:r>
    </w:p>
    <w:p w14:paraId="3E4E1DBC" w14:textId="77777777" w:rsidR="008B2557" w:rsidRDefault="008B2557" w:rsidP="008B2557">
      <w:pPr>
        <w:jc w:val="both"/>
        <w:rPr>
          <w:sz w:val="22"/>
          <w:szCs w:val="22"/>
        </w:rPr>
      </w:pPr>
    </w:p>
    <w:p w14:paraId="3350551F" w14:textId="330E1526" w:rsidR="001D425F" w:rsidRPr="008B2557" w:rsidRDefault="001D425F" w:rsidP="008B2557">
      <w:pPr>
        <w:jc w:val="both"/>
        <w:rPr>
          <w:sz w:val="22"/>
          <w:szCs w:val="22"/>
        </w:rPr>
      </w:pPr>
      <w:r w:rsidRPr="008B2557">
        <w:rPr>
          <w:sz w:val="22"/>
          <w:szCs w:val="22"/>
        </w:rPr>
        <w:t xml:space="preserve">There is not much scientific research focused on vocational education or vocational education in Indonesia. Generally, scientific literacy is studied at the junior high school level </w:t>
      </w:r>
      <w:r w:rsidRPr="008B2557">
        <w:rPr>
          <w:sz w:val="22"/>
          <w:szCs w:val="22"/>
        </w:rPr>
        <w:fldChar w:fldCharType="begin" w:fldLock="1"/>
      </w:r>
      <w:r w:rsidRPr="008B2557">
        <w:rPr>
          <w:sz w:val="22"/>
          <w:szCs w:val="22"/>
        </w:rPr>
        <w:instrText>ADDIN CSL_CITATION {"citationItems":[{"id":"ITEM-1","itemData":{"ISSN":"13063065","abstract":"The purpose of this study is to develop scientific literacy evaluation instrument that tested its validity, reliability, and characteristics to measure the skill of student’s scientific literacy used four scientific literacy, categories as follow:science as a body of knowledge (category A), science as a way of thinking (category B), science as a way of investigating (category C), and the interaction between science, technology, and society (category D). The subjects of this developing study were 9th grade student of junior high schoolin Kudus. Validity test is done by the content, construct, and concurrent validation. Reliability testing is done by calculating a reliability coefficient “r”. Characteristics tested by determining the level of difficulty, distinguishing features, and the proportion or ratio of scientific literacy category in the instrument. Profile of scientific literacy ability is determined by measuring students' mastery of scientific literacy. The result of reliability test is the price of“r” at first trial is 0.59 and the last trial is 0.74. Validity test results indicate that the instrument meets the content, construct, and concurrent validity with valid, very valid, and valid category. Characteristics of evaluation instruments developed shows that the instrument has a level of difficulty that the proportion of about 13% easy, 67% about the medium, and 20% about the difficult. The results of the analysis of discrimination power combined with a level of difficulty and obtained 5 items with poor quality and should be discarded. Comparison category A: B: C: D is 7: 2: 3: 3. Profile of literacy skills mastery of science shows that scientific literacy is still low at below 50% for all categories. Evaluation instruments developed meet the content validity, construct, and alignment with valid, very valid, and valid criteria.","author":[{"dropping-particle":"","family":"Rusilowati","given":"Ani","non-dropping-particle":"","parse-names":false,"suffix":""},{"dropping-particle":"","family":"Kurniawati","given":"Lina","non-dropping-particle":"","parse-names":false,"suffix":""},{"dropping-particle":"","family":"Nugroho","given":"Sunyoto E.","non-dropping-particle":"","parse-names":false,"suffix":""},{"dropping-particle":"","family":"Widiyatmoko","given":"Arif","non-dropping-particle":"","parse-names":false,"suffix":""}],"container-title":"International Journal of Environmental and Science Education","id":"ITEM-1","issue":"12","issued":{"date-parts":[["2016"]]},"page":"5718-5727","title":"Developing an instrument of scientific literacy asessment on the cycle theme","type":"article-journal","volume":"11"},"uris":["http://www.mendeley.com/documents/?uuid=960cd17e-3c24-4955-a01e-cd708633da1f"]}],"mendeley":{"formattedCitation":"[19]","plainTextFormattedCitation":"[19]","previouslyFormattedCitation":"[19]"},"properties":{"noteIndex":0},"schema":"https://github.com/citation-style-language/schema/raw/master/csl-citation.json"}</w:instrText>
      </w:r>
      <w:r w:rsidRPr="008B2557">
        <w:rPr>
          <w:sz w:val="22"/>
          <w:szCs w:val="22"/>
        </w:rPr>
        <w:fldChar w:fldCharType="separate"/>
      </w:r>
      <w:r w:rsidRPr="008B2557">
        <w:rPr>
          <w:noProof/>
          <w:sz w:val="22"/>
          <w:szCs w:val="22"/>
        </w:rPr>
        <w:t>[19]</w:t>
      </w:r>
      <w:r w:rsidRPr="008B2557">
        <w:rPr>
          <w:sz w:val="22"/>
          <w:szCs w:val="22"/>
        </w:rPr>
        <w:fldChar w:fldCharType="end"/>
      </w:r>
      <w:r w:rsidRPr="008B2557">
        <w:rPr>
          <w:sz w:val="22"/>
          <w:szCs w:val="22"/>
        </w:rPr>
        <w:t xml:space="preserve">. In fact, scientific literacy is closely related to applied disciplines (vocational), especially in technology and engineering. Science literacy has the potential to develop well in the workplace, academia, and society. </w:t>
      </w:r>
      <w:r w:rsidRPr="008B2557">
        <w:rPr>
          <w:sz w:val="22"/>
          <w:szCs w:val="22"/>
        </w:rPr>
        <w:fldChar w:fldCharType="begin" w:fldLock="1"/>
      </w:r>
      <w:r w:rsidRPr="008B2557">
        <w:rPr>
          <w:sz w:val="22"/>
          <w:szCs w:val="22"/>
        </w:rPr>
        <w:instrText>ADDIN CSL_CITATION {"citationItems":[{"id":"ITEM-1","itemData":{"ISBN":"9783319691961","author":[{"dropping-particle":"","family":"Kok-Sing Tang","given":"","non-dropping-particle":"","parse-names":false,"suffix":""},{"dropping-particle":"","family":"Danielsson","given":"Kristina","non-dropping-particle":"","parse-names":false,"suffix":""}],"editor":[{"dropping-particle":"","family":"Tang","given":"Kok-Sing","non-dropping-particle":"","parse-names":false,"suffix":""},{"dropping-particle":"","family":"Danielsson","given":"Kristina","non-dropping-particle":"","parse-names":false,"suffix":""}],"id":"ITEM-1","issued":{"date-parts":[["2018"]]},"number-of-pages":"398","publisher":"Springer Berlin Heidelberg","publisher-place":"cham","title":"Global Developments in Literacy Research for Science Education","type":"book"},"suppress-author":1,"uris":["http://www.mendeley.com/documents/?uuid=47aa9eb7-fdb2-4b15-8e63-58f6a1783666"]}],"mendeley":{"formattedCitation":"[20]","plainTextFormattedCitation":"[20]","previouslyFormattedCitation":"[20]"},"properties":{"noteIndex":0},"schema":"https://github.com/citation-style-language/schema/raw/master/csl-citation.json"}</w:instrText>
      </w:r>
      <w:r w:rsidRPr="008B2557">
        <w:rPr>
          <w:sz w:val="22"/>
          <w:szCs w:val="22"/>
        </w:rPr>
        <w:fldChar w:fldCharType="separate"/>
      </w:r>
      <w:r w:rsidRPr="008B2557">
        <w:rPr>
          <w:noProof/>
          <w:sz w:val="22"/>
          <w:szCs w:val="22"/>
        </w:rPr>
        <w:t>[20]</w:t>
      </w:r>
      <w:r w:rsidRPr="008B2557">
        <w:rPr>
          <w:sz w:val="22"/>
          <w:szCs w:val="22"/>
        </w:rPr>
        <w:fldChar w:fldCharType="end"/>
      </w:r>
      <w:r w:rsidRPr="008B2557">
        <w:rPr>
          <w:sz w:val="22"/>
          <w:szCs w:val="22"/>
        </w:rPr>
        <w:t xml:space="preserve"> Thus, studies of scientific literacy in vocational education in technology and engineering expertise programs are indeed needed. </w:t>
      </w:r>
    </w:p>
    <w:p w14:paraId="478A1B2F" w14:textId="77777777" w:rsidR="008B2557" w:rsidRDefault="008B2557" w:rsidP="008B2557">
      <w:pPr>
        <w:jc w:val="both"/>
        <w:rPr>
          <w:sz w:val="22"/>
          <w:szCs w:val="22"/>
        </w:rPr>
      </w:pPr>
    </w:p>
    <w:p w14:paraId="2BDE5CE1" w14:textId="55D78159" w:rsidR="001D425F" w:rsidRPr="008B2557" w:rsidRDefault="001D425F" w:rsidP="008B2557">
      <w:pPr>
        <w:jc w:val="both"/>
        <w:rPr>
          <w:sz w:val="22"/>
          <w:szCs w:val="22"/>
        </w:rPr>
      </w:pPr>
      <w:r w:rsidRPr="008B2557">
        <w:rPr>
          <w:sz w:val="22"/>
          <w:szCs w:val="22"/>
        </w:rPr>
        <w:t xml:space="preserve">Scientific literacy has contributed to students' ability in problem-solving </w:t>
      </w:r>
      <w:r w:rsidRPr="008B2557">
        <w:rPr>
          <w:sz w:val="22"/>
          <w:szCs w:val="22"/>
        </w:rPr>
        <w:fldChar w:fldCharType="begin" w:fldLock="1"/>
      </w:r>
      <w:r w:rsidRPr="008B2557">
        <w:rPr>
          <w:sz w:val="22"/>
          <w:szCs w:val="22"/>
        </w:rPr>
        <w:instrText>ADDIN CSL_CITATION {"citationItems":[{"id":"ITEM-1","itemData":{"DOI":"10.1007/978-3-658-18254-0","ISBN":"9783658182540","author":[{"dropping-particle":"","family":"Schulte","given":"Theresa","non-dropping-particle":"","parse-names":false,"suffix":""}],"id":"ITEM-1","issued":{"date-parts":[["2017"]]},"number-of-pages":"291","publisher":"Springer Nature","publisher-place":"Berlin","title":"Desirable Science Education","type":"book"},"uris":["http://www.mendeley.com/documents/?uuid=09f07a41-cebf-42c2-aa28-b3053670ec9c"]}],"mendeley":{"formattedCitation":"[21]","plainTextFormattedCitation":"[21]","previouslyFormattedCitation":"[21]"},"properties":{"noteIndex":0},"schema":"https://github.com/citation-style-language/schema/raw/master/csl-citation.json"}</w:instrText>
      </w:r>
      <w:r w:rsidRPr="008B2557">
        <w:rPr>
          <w:sz w:val="22"/>
          <w:szCs w:val="22"/>
        </w:rPr>
        <w:fldChar w:fldCharType="separate"/>
      </w:r>
      <w:r w:rsidRPr="008B2557">
        <w:rPr>
          <w:noProof/>
          <w:sz w:val="22"/>
          <w:szCs w:val="22"/>
        </w:rPr>
        <w:t>[21]</w:t>
      </w:r>
      <w:r w:rsidRPr="008B2557">
        <w:rPr>
          <w:sz w:val="22"/>
          <w:szCs w:val="22"/>
        </w:rPr>
        <w:fldChar w:fldCharType="end"/>
      </w:r>
      <w:r w:rsidRPr="008B2557">
        <w:rPr>
          <w:sz w:val="22"/>
          <w:szCs w:val="22"/>
        </w:rPr>
        <w:t xml:space="preserve">. Therefore, the position of scientific literacy becomes important in improving student competence. Education at the vocational level of technology and engineering expertise programs, students are directed at the needs of technology-based industries </w:t>
      </w:r>
      <w:r w:rsidRPr="008B2557">
        <w:rPr>
          <w:sz w:val="22"/>
          <w:szCs w:val="22"/>
        </w:rPr>
        <w:fldChar w:fldCharType="begin" w:fldLock="1"/>
      </w:r>
      <w:r w:rsidRPr="008B2557">
        <w:rPr>
          <w:sz w:val="22"/>
          <w:szCs w:val="22"/>
        </w:rPr>
        <w:instrText>ADDIN CSL_CITATION {"citationItems":[{"id":"ITEM-1","itemData":{"ISBN":"9781522571254","author":[{"dropping-particle":"","family":"Thanuskodi","given":"S","non-dropping-particle":"","parse-names":false,"suffix":""}],"id":"ITEM-1","issued":{"date-parts":[["2019"]]},"number-of-pages":"438","publisher":"IGI Global","publisher-place":"Hershey PA","title":"Literacy Skill Development for Library Science Professionals","type":"book"},"uris":["http://www.mendeley.com/documents/?uuid=396740f5-5762-403f-a23d-558eed788996"]}],"mendeley":{"formattedCitation":"[22]","plainTextFormattedCitation":"[22]","previouslyFormattedCitation":"[22]"},"properties":{"noteIndex":0},"schema":"https://github.com/citation-style-language/schema/raw/master/csl-citation.json"}</w:instrText>
      </w:r>
      <w:r w:rsidRPr="008B2557">
        <w:rPr>
          <w:sz w:val="22"/>
          <w:szCs w:val="22"/>
        </w:rPr>
        <w:fldChar w:fldCharType="separate"/>
      </w:r>
      <w:r w:rsidRPr="008B2557">
        <w:rPr>
          <w:noProof/>
          <w:sz w:val="22"/>
          <w:szCs w:val="22"/>
        </w:rPr>
        <w:t>[22]</w:t>
      </w:r>
      <w:r w:rsidRPr="008B2557">
        <w:rPr>
          <w:sz w:val="22"/>
          <w:szCs w:val="22"/>
        </w:rPr>
        <w:fldChar w:fldCharType="end"/>
      </w:r>
      <w:r w:rsidRPr="008B2557">
        <w:rPr>
          <w:sz w:val="22"/>
          <w:szCs w:val="22"/>
        </w:rPr>
        <w:t xml:space="preserve">. On the other hand, the quality of education in Indonesia is still at number 94, as well as the competitiveness of its work training which is still ranked 64 out of 137 countries in the world. </w:t>
      </w:r>
      <w:r w:rsidRPr="008B2557">
        <w:rPr>
          <w:sz w:val="22"/>
          <w:szCs w:val="22"/>
        </w:rPr>
        <w:fldChar w:fldCharType="begin" w:fldLock="1"/>
      </w:r>
      <w:r w:rsidRPr="008B2557">
        <w:rPr>
          <w:sz w:val="22"/>
          <w:szCs w:val="22"/>
        </w:rPr>
        <w:instrText>ADDIN CSL_CITATION {"citationItems":[{"id":"ITEM-1","itemData":{"DOI":"92-95044-35-5","ISBN":"9789295044746","ISSN":"08958696","PMID":"18210231","abstract":"The Global Competitiveness Report 2016-2017 assesses the competitiveness landscape of 138 economies, providing insight into the drivers of their productivity and prosperity. This year’s edition highlights that declining openness is threatening growth and prosperity. It also highlights that monetary stimulus measures such as quantitative easing are not enough to sustain growth and must be accompanied by competitiveness reforms. Final key finding points to the fact that updated business practices and investment in innovation are now as important as infrastructure, skills and efficient markets. Switzerland, Singapore and the United States remain the three world’s most competitive economies.","author":[{"dropping-particle":"","family":"Schwab","given":"Klaus","non-dropping-particle":"","parse-names":false,"suffix":""}],"container-title":"World Economic Forum","id":"ITEM-1","issue":"5","issued":{"date-parts":[["2017"]]},"number-of-pages":"22-41","title":"The Global Competitiveness Report The Global Competitiveness Report 2017-2018","type":"book","volume":"5"},"uris":["http://www.mendeley.com/documents/?uuid=2a95a377-54f5-45b8-bf7e-00b1856a145b"]}],"mendeley":{"formattedCitation":"[23]","plainTextFormattedCitation":"[23]","previouslyFormattedCitation":"[23]"},"properties":{"noteIndex":0},"schema":"https://github.com/citation-style-language/schema/raw/master/csl-citation.json"}</w:instrText>
      </w:r>
      <w:r w:rsidRPr="008B2557">
        <w:rPr>
          <w:sz w:val="22"/>
          <w:szCs w:val="22"/>
        </w:rPr>
        <w:fldChar w:fldCharType="separate"/>
      </w:r>
      <w:r w:rsidRPr="008B2557">
        <w:rPr>
          <w:noProof/>
          <w:sz w:val="22"/>
          <w:szCs w:val="22"/>
        </w:rPr>
        <w:t>[23]</w:t>
      </w:r>
      <w:r w:rsidRPr="008B2557">
        <w:rPr>
          <w:sz w:val="22"/>
          <w:szCs w:val="22"/>
        </w:rPr>
        <w:fldChar w:fldCharType="end"/>
      </w:r>
      <w:r w:rsidRPr="008B2557">
        <w:rPr>
          <w:sz w:val="22"/>
          <w:szCs w:val="22"/>
        </w:rPr>
        <w:t xml:space="preserve">. </w:t>
      </w:r>
    </w:p>
    <w:p w14:paraId="2A35B9FA" w14:textId="77777777" w:rsidR="008B2557" w:rsidRDefault="008B2557" w:rsidP="008B2557">
      <w:pPr>
        <w:jc w:val="both"/>
        <w:rPr>
          <w:sz w:val="22"/>
          <w:szCs w:val="22"/>
        </w:rPr>
      </w:pPr>
    </w:p>
    <w:p w14:paraId="0C9DFCAE" w14:textId="1841AA7A" w:rsidR="001D425F" w:rsidRPr="008B2557" w:rsidRDefault="001D425F" w:rsidP="008B2557">
      <w:pPr>
        <w:jc w:val="both"/>
        <w:rPr>
          <w:sz w:val="22"/>
          <w:szCs w:val="22"/>
        </w:rPr>
      </w:pPr>
      <w:r w:rsidRPr="008B2557">
        <w:rPr>
          <w:sz w:val="22"/>
          <w:szCs w:val="22"/>
        </w:rPr>
        <w:t xml:space="preserve">The dimension of scientific literacy in procedural and contextual processes is very much needed in SMK. scientific literacy does not only speak in the realm of science as a subject, but more than that scientific literacy is also a person's ability to apply science in the context of work related to science, industry/work and social society to the survival of life and the environment. </w:t>
      </w:r>
      <w:r w:rsidRPr="008B2557">
        <w:rPr>
          <w:sz w:val="22"/>
          <w:szCs w:val="22"/>
        </w:rPr>
        <w:fldChar w:fldCharType="begin" w:fldLock="1"/>
      </w:r>
      <w:r w:rsidRPr="008B2557">
        <w:rPr>
          <w:sz w:val="22"/>
          <w:szCs w:val="22"/>
        </w:rPr>
        <w:instrText>ADDIN CSL_CITATION {"citationItems":[{"id":"ITEM-1","itemData":{"DOI":"10.1016/j.chb.2017.08.027","ISSN":"07475632","abstract":"Problem-based learning (PBL) is an instructional design approach for promoting student learning in context-rich settings. GlobalEd 2 (GE2) is PBL intervention that combines face-to-face and online environments into a 12-week simulation of international negotiations of science delegates on global science issues. Although GE2 focuses on science, it is implemented in a social studies classroom. This manuscript describes the GE2 environment and evaluates its impact on middle school students’ scientific literacy compared to a comparison group receiving normal educational practice. Hierarchical Linear Modeling (HLM) analyses on GE2 and comparison groups demonstrates the significant positive impact of GE2 on two measures of scientific literacy (Socio-scientific Literacy and Scientific Inquiry), among middle-grade students from two states. Implications regarding instructional practice and future research are discussed.","author":[{"dropping-particle":"","family":"Lawless","given":"Kimberly A.","non-dropping-particle":"","parse-names":false,"suffix":""},{"dropping-particle":"","family":"Brown","given":"Scott W.","non-dropping-particle":"","parse-names":false,"suffix":""},{"dropping-particle":"","family":"Rhoads","given":"Christopher","non-dropping-particle":"","parse-names":false,"suffix":""},{"dropping-particle":"","family":"Lynn","given":"Lisa","non-dropping-particle":"","parse-names":false,"suffix":""},{"dropping-particle":"","family":"Newton","given":"Sarah D.","non-dropping-particle":"","parse-names":false,"suffix":""},{"dropping-particle":"","family":"Brodowiksa","given":"Kamila","non-dropping-particle":"","parse-names":false,"suffix":""},{"dropping-particle":"","family":"Oren","given":"James","non-dropping-particle":"","parse-names":false,"suffix":""},{"dropping-particle":"","family":"Riel","given":"Jeremy","non-dropping-particle":"","parse-names":false,"suffix":""},{"dropping-particle":"","family":"Song","given":"Shiyu","non-dropping-particle":"","parse-names":false,"suffix":""},{"dropping-particle":"","family":"Wang","given":"Meng","non-dropping-particle":"","parse-names":false,"suffix":""}],"container-title":"Computers in Human Behavior","id":"ITEM-1","issue":"January","issued":{"date-parts":[["2018"]]},"page":"389-396","title":"Promoting students’ science literacy skills through a simulation of international negotiations: The GlobalEd 2 Project","type":"article-journal","volume":"78"},"uris":["http://www.mendeley.com/documents/?uuid=aa3c0820-5671-427f-9dbd-ceb93e224bd5"]},{"id":"ITEM-2","itemData":{"DOI":"10.15294/jpii.v6i1.7245","ISSN":"20894392","abstract":"The fundamental issue is the growing use of scientific information possessed by students to solve problems in daily life and produce useful scientific source from scientific literacy. The purpose of the research was to analyze and describe the ability of a student science concepts from the aspect of scientific literacy that includes aspects of scientific knowledge, scientific competence, scientific context as well as the factors that influence the students’ science literacy skills. This research was quantitative descriptive analysis. The instrument used was a matter of objective 40 along with the reasons of the physics concept and biology concepts that are used to measure aspects of scientific knowledge, scientific competence, and scientific context, while the students’ attitudes towards science and science teaching and learning strategies measured by questionnaire instrument. Instruments used included multiple-choice test questions reasoned and questionnaires (the attitude of science and science teaching and learning strategies). Based on data analysis it was known that the ability of science literacy PGSD UMK students varied, 66.2% of students were at the level of nominal and 33.8% of the students were at the functional level. It showed that 66.2% of students already had a concept for connecting science with other disciplines, could write a scientific term, but students still had misconceptions, while 33.8% of students considered the theory and explained concepts correctly, but they had a limited understanding and were difficult to connect to the concept of his own opinion.","author":[{"dropping-particle":"","family":"Fakhriyah","given":"F.","non-dropping-particle":"","parse-names":false,"suffix":""},{"dropping-particle":"","family":"Masfuah","given":"S.","non-dropping-particle":"","parse-names":false,"suffix":""},{"dropping-particle":"","family":"Roysa","given":"M.","non-dropping-particle":"","parse-names":false,"suffix":""},{"dropping-particle":"","family":"Rusilowati","given":"A.","non-dropping-particle":"","parse-names":false,"suffix":""},{"dropping-particle":"","family":"Rahayu","given":"E. S.","non-dropping-particle":"","parse-names":false,"suffix":""}],"container-title":"Jurnal Pendidikan IPA Indonesia","id":"ITEM-2","issue":"1","issued":{"date-parts":[["2017"]]},"page":"81-87","title":"Student’s science literacy in the aspect of content science?","type":"article-journal","volume":"6"},"uris":["http://www.mendeley.com/documents/?uuid=8bc5b9b2-812b-4c5e-a495-e8eb4aab993f"]},{"id":"ITEM-3","itemData":{"DOI":"10.5617/nordina.987","ISSN":"1504-4556","abstract":"This article provides an introduction to what it means to adopt a view of literacy as social practice for science education. This view of literacy builds on the idea that reading and writing are best regarded as situated social practices involving text, not as a set of decontextualised and universally applicable skills. First, we draw on sociocultural perspectives on literacy to show how these perspectives inform our understanding of literacy when the context is science. Second, we use related research literature, mainly concerning the role of text in science education, to present a framework for approaching literacy in science classrooms from a sociocultural perspective. Finally, we discuss how a social view of literacy enables us to consider how literacy occurs in contexts relevant to a transcending science subject for scientific literacy.","author":[{"dropping-particle":"","family":"Sørvik","given":"Gard Ove","non-dropping-particle":"","parse-names":false,"suffix":""},{"dropping-particle":"","family":"Mork","given":"Sonja M.","non-dropping-particle":"","parse-names":false,"suffix":""}],"container-title":"Nordic Studies in Science Education","id":"ITEM-3","issue":"3","issued":{"date-parts":[["2015"]]},"page":"268-281","title":"Scientific literacy as social practice: Implications for reading and writing in science classrooms","type":"article-journal","volume":"11"},"uris":["http://www.mendeley.com/documents/?uuid=08d2efb7-bda1-464a-8006-a855f1b4d7fe"]},{"id":"ITEM-4","itemData":{"DOI":"10.1073/pnas.1704882114","ISSN":"10916490","abstract":"Although Americans generally hold science in high regard and respect its findings, for some contested issues, such as the existence of anthropogenic climate change, public opinion is polarized along religious and political lines. We ask whether individuals with more general education and greater science knowledge, measured in terms of science education and science literacy, display more (or less) polarized beliefs on several such issues. We report secondary analyses of a nationally representative dataset (the General Social Survey), examining the predictors of beliefs regarding six potentially controversial issues. We find that beliefs are correlated with both political and religious identity for stem cell research, the Big Bang, and human evolution, and with political identity alone on climate change. Individuals with greater education, science education, and science literacy display more polarized beliefs on these issues. We find little evidence of political or religious polarization regarding nanotechnology and genetically modified foods. On all six topics, people who trust the scientific enterprise more are also more likely to accept its findings. We discuss the causal mechanisms that might underlie the correlation between education and identity-based polarization.","author":[{"dropping-particle":"","family":"Drummond","given":"Caitlin","non-dropping-particle":"","parse-names":false,"suffix":""},{"dropping-particle":"","family":"Fischhoff","given":"Baruch","non-dropping-particle":"","parse-names":false,"suffix":""}],"container-title":"Proceedings of the National Academy of Sciences of the United States of America","id":"ITEM-4","issue":"36","issued":{"date-parts":[["2017"]]},"page":"9587-9592","title":"Individuals with greater science literacy and education have more polarized beliefs on controversial science topics","type":"paper-conference","volume":"114"},"uris":["http://www.mendeley.com/documents/?uuid=61bef75a-2f44-4012-99e1-0160b08a2b6a"]}],"mendeley":{"formattedCitation":"[24]–[27]","plainTextFormattedCitation":"[24]–[27]","previouslyFormattedCitation":"[24]–[27]"},"properties":{"noteIndex":0},"schema":"https://github.com/citation-style-language/schema/raw/master/csl-citation.json"}</w:instrText>
      </w:r>
      <w:r w:rsidRPr="008B2557">
        <w:rPr>
          <w:sz w:val="22"/>
          <w:szCs w:val="22"/>
        </w:rPr>
        <w:fldChar w:fldCharType="separate"/>
      </w:r>
      <w:r w:rsidRPr="008B2557">
        <w:rPr>
          <w:noProof/>
          <w:sz w:val="22"/>
          <w:szCs w:val="22"/>
        </w:rPr>
        <w:t>[24]–[27]</w:t>
      </w:r>
      <w:r w:rsidRPr="008B2557">
        <w:rPr>
          <w:sz w:val="22"/>
          <w:szCs w:val="22"/>
        </w:rPr>
        <w:fldChar w:fldCharType="end"/>
      </w:r>
      <w:r w:rsidRPr="008B2557">
        <w:rPr>
          <w:sz w:val="22"/>
          <w:szCs w:val="22"/>
        </w:rPr>
        <w:t xml:space="preserve">. Learning that is dissertated by various practicums is one example of how SMKs should really focus on the realm of process and contextualism </w:t>
      </w:r>
      <w:r w:rsidRPr="008B2557">
        <w:rPr>
          <w:sz w:val="22"/>
          <w:szCs w:val="22"/>
        </w:rPr>
        <w:fldChar w:fldCharType="begin" w:fldLock="1"/>
      </w:r>
      <w:r w:rsidRPr="008B2557">
        <w:rPr>
          <w:sz w:val="22"/>
          <w:szCs w:val="22"/>
        </w:rPr>
        <w:instrText>ADDIN CSL_CITATION {"citationItems":[{"id":"ITEM-1","itemData":{"DOI":"10.1080/13636820.2016.1234506","ISSN":"17475090","abstract":"This paper extends arguments for differentiating knowledge into conceptualisations of occupational practice. It is argued that specialised forms of knowledge and practice require recognition and differentiation in ways that many contemporary approaches to practice theory deny. Drawing on Hager's interpretation of MacIntyre, it is suggested that occupational practices are differentiated from non-occupational practices by their 'purposiveness' , and by how their internal and external goods relate. Furthermore, we can differentiate within the category of occupational practices by (i) the character and extent of specialised knowledge that underpins the practice, and by (ii) how socio-epistemic and institutional conditions shape how knowledge is recontextualised within the practice. This leads to an outline differentiation between forms of specialised and non-specialised occupational knowledge and practice.","author":[{"dropping-particle":"","family":"Hordern","given":"Jim","non-dropping-particle":"","parse-names":false,"suffix":""}],"container-title":"Journal of Vocational Education and Training","id":"ITEM-1","issue":"4","issued":{"date-parts":[["2016"]]},"page":"453-469","publisher":"Routledge","title":"Differentiating knowledge, differentiating (occupational) practice","type":"article-journal","volume":"68"},"uris":["http://www.mendeley.com/documents/?uuid=dec5b17e-c497-4af6-98e0-e6aa586fb4c9"]}],"mendeley":{"formattedCitation":"[28]","plainTextFormattedCitation":"[28]","previouslyFormattedCitation":"[28]"},"properties":{"noteIndex":0},"schema":"https://github.com/citation-style-language/schema/raw/master/csl-citation.json"}</w:instrText>
      </w:r>
      <w:r w:rsidRPr="008B2557">
        <w:rPr>
          <w:sz w:val="22"/>
          <w:szCs w:val="22"/>
        </w:rPr>
        <w:fldChar w:fldCharType="separate"/>
      </w:r>
      <w:r w:rsidRPr="008B2557">
        <w:rPr>
          <w:noProof/>
          <w:sz w:val="22"/>
          <w:szCs w:val="22"/>
        </w:rPr>
        <w:t>[28]</w:t>
      </w:r>
      <w:r w:rsidRPr="008B2557">
        <w:rPr>
          <w:sz w:val="22"/>
          <w:szCs w:val="22"/>
        </w:rPr>
        <w:fldChar w:fldCharType="end"/>
      </w:r>
      <w:r w:rsidRPr="008B2557">
        <w:rPr>
          <w:sz w:val="22"/>
          <w:szCs w:val="22"/>
        </w:rPr>
        <w:t xml:space="preserve">. Practicum is not only based on knowledge, memorizing the concept of technology. Practicum requires the implementation of the process through a series of procedures to form competencies and skills in accordance with the needs of the workforce </w:t>
      </w:r>
      <w:r w:rsidRPr="008B2557">
        <w:rPr>
          <w:sz w:val="22"/>
          <w:szCs w:val="22"/>
        </w:rPr>
        <w:fldChar w:fldCharType="begin" w:fldLock="1"/>
      </w:r>
      <w:r w:rsidRPr="008B2557">
        <w:rPr>
          <w:sz w:val="22"/>
          <w:szCs w:val="22"/>
        </w:rPr>
        <w:instrText>ADDIN CSL_CITATION {"citationItems":[{"id":"ITEM-1","itemData":{"DOI":"10.1080/13636820.2017.1392995","ISSN":"17475090","abstract":"AbstractSchools are increasingly acknowledging their responsibility to guide students in their career development. However, the guidance that is provided in the Netherlands, as well as in other Western countries, focuses for the most part on helping students towards their academic achievement, and not on helping them to develop competencies to manage their own career. In order to promote this type of career guidance, 37 secondary vocational schools in the Netherlands participated in a project that offered a training programme, aiming to teach teachers how to conduct career dialogues with students. The programme offers expert guidance to integrate a dialogical approach to career guidance and a more enquiry- and practice-based curriculum in the school’s vision and policy. In this article, the results of semi-structured interviews with 50 teachers who participated in the project are presented. These interviews were conducted right after the start of the project, to study how teachers perceive the initial sit...","author":[{"dropping-particle":"","family":"Draaisma","given":"Aniek","non-dropping-particle":"","parse-names":false,"suffix":""},{"dropping-particle":"","family":"Meijers","given":"Frans","non-dropping-particle":"","parse-names":false,"suffix":""},{"dropping-particle":"","family":"Kuijpers","given":"Marinka","non-dropping-particle":"","parse-names":false,"suffix":""}],"container-title":"Journal of Vocational Education and Training","id":"ITEM-1","issue":"1","issued":{"date-parts":[["2018"]]},"page":"27-46","publisher":"Routledge","title":"The development of strong career learning environments: the project ‘Career Orientation and Guidance’ in Dutch vocational education","type":"article-journal","volume":"70"},"uris":["http://www.mendeley.com/documents/?uuid=7a0879b0-bc48-498d-b1ae-8d50ec1cfd73"]}],"mendeley":{"formattedCitation":"[29]","plainTextFormattedCitation":"[29]","previouslyFormattedCitation":"[29]"},"properties":{"noteIndex":0},"schema":"https://github.com/citation-style-language/schema/raw/master/csl-citation.json"}</w:instrText>
      </w:r>
      <w:r w:rsidRPr="008B2557">
        <w:rPr>
          <w:sz w:val="22"/>
          <w:szCs w:val="22"/>
        </w:rPr>
        <w:fldChar w:fldCharType="separate"/>
      </w:r>
      <w:r w:rsidRPr="008B2557">
        <w:rPr>
          <w:noProof/>
          <w:sz w:val="22"/>
          <w:szCs w:val="22"/>
        </w:rPr>
        <w:t>[29]</w:t>
      </w:r>
      <w:r w:rsidRPr="008B2557">
        <w:rPr>
          <w:sz w:val="22"/>
          <w:szCs w:val="22"/>
        </w:rPr>
        <w:fldChar w:fldCharType="end"/>
      </w:r>
      <w:r w:rsidRPr="008B2557">
        <w:rPr>
          <w:sz w:val="22"/>
          <w:szCs w:val="22"/>
        </w:rPr>
        <w:t xml:space="preserve">. ]. At its peak, students can implement the learning, so that they can replicate similar conditions in the wider environment in the world of work or industry, the environment and social awareness in society </w:t>
      </w:r>
      <w:r w:rsidRPr="008B2557">
        <w:rPr>
          <w:sz w:val="22"/>
          <w:szCs w:val="22"/>
        </w:rPr>
        <w:fldChar w:fldCharType="begin" w:fldLock="1"/>
      </w:r>
      <w:r w:rsidRPr="008B2557">
        <w:rPr>
          <w:sz w:val="22"/>
          <w:szCs w:val="22"/>
        </w:rPr>
        <w:instrText>ADDIN CSL_CITATION {"citationItems":[{"id":"ITEM-1","itemData":{"DOI":"10.1007/s12186-017-9180-0","ISBN":"1218601791800","ISSN":"18747868","abstract":"© 2017 Springer Science+Business Media Dordrecht There is a notable difference in occupational injury rates in the two Scandinavian countries, Sweden and Denmark, with the latter having a 40% higher rate of fatal occupational injuries in the construction industry. This study explored differences in the vocational education and training (VET) systems between Sweden and Denmark that may be important for students’ safety learning and practice during VET. In both countries, students participate in full-time education, and the curriculum includes school-based as well as company- based training. However, during company- based training Swedish students retain their student status, whereas Danish students are employed as apprentices. From a perspective of viewing safety as a social practice developed through interactions of different social and institutional bodies, the analysis points to this difference in employment status as important for their safety practices and also for the teachers’ position to influence safety learning and practices during company-based training. An analysis of interview and survey data focusing on how VET students enact safety ‘knowings’ across learning sites, suggest how different forms of connectivity models in VET promote various forms of safety learning among students.","author":[{"dropping-particle":"","family":"Grytnes","given":"Regine","non-dropping-particle":"","parse-names":false,"suffix":""},{"dropping-particle":"","family":"Grill","given":"Martin","non-dropping-particle":"","parse-names":false,"suffix":""},{"dropping-particle":"","family":"Pousette","given":"Anders","non-dropping-particle":"","parse-names":false,"suffix":""},{"dropping-particle":"","family":"Törner","given":"Marianne","non-dropping-particle":"","parse-names":false,"suffix":""},{"dropping-particle":"","family":"Nielsen","given":"Kent J.","non-dropping-particle":"","parse-names":false,"suffix":""}],"container-title":"Vocations and Learning","id":"ITEM-1","issued":{"date-parts":[["2017"]]},"page":"1-23","publisher":"Vocations and Learning","title":"Apprentice or Student? The Structures of Construction Industry Vocational Education and Training in Denmark and Sweden and their Possible Consequences for Safety Learning","type":"article-journal"},"uris":["http://www.mendeley.com/documents/?uuid=a96f0161-dae4-487d-9589-40859b813fd9"]}],"mendeley":{"formattedCitation":"[30]","plainTextFormattedCitation":"[30]","previouslyFormattedCitation":"[30]"},"properties":{"noteIndex":0},"schema":"https://github.com/citation-style-language/schema/raw/master/csl-citation.json"}</w:instrText>
      </w:r>
      <w:r w:rsidRPr="008B2557">
        <w:rPr>
          <w:sz w:val="22"/>
          <w:szCs w:val="22"/>
        </w:rPr>
        <w:fldChar w:fldCharType="separate"/>
      </w:r>
      <w:r w:rsidRPr="008B2557">
        <w:rPr>
          <w:noProof/>
          <w:sz w:val="22"/>
          <w:szCs w:val="22"/>
        </w:rPr>
        <w:t>[30]</w:t>
      </w:r>
      <w:r w:rsidRPr="008B2557">
        <w:rPr>
          <w:sz w:val="22"/>
          <w:szCs w:val="22"/>
        </w:rPr>
        <w:fldChar w:fldCharType="end"/>
      </w:r>
      <w:r w:rsidRPr="008B2557">
        <w:rPr>
          <w:sz w:val="22"/>
          <w:szCs w:val="22"/>
        </w:rPr>
        <w:t xml:space="preserve">. </w:t>
      </w:r>
    </w:p>
    <w:p w14:paraId="4653159F" w14:textId="77777777" w:rsidR="008B2557" w:rsidRDefault="008B2557" w:rsidP="008B2557">
      <w:pPr>
        <w:jc w:val="both"/>
        <w:rPr>
          <w:sz w:val="22"/>
          <w:szCs w:val="22"/>
        </w:rPr>
      </w:pPr>
    </w:p>
    <w:p w14:paraId="5E968BC9" w14:textId="77777777" w:rsidR="008B2557" w:rsidRDefault="001D425F" w:rsidP="008B2557">
      <w:pPr>
        <w:spacing w:after="240"/>
        <w:jc w:val="both"/>
        <w:rPr>
          <w:sz w:val="22"/>
          <w:szCs w:val="22"/>
        </w:rPr>
      </w:pPr>
      <w:r w:rsidRPr="008B2557">
        <w:rPr>
          <w:sz w:val="22"/>
          <w:szCs w:val="22"/>
        </w:rPr>
        <w:t xml:space="preserve">Contextual based learning refers to the needs of the business, work and industry </w:t>
      </w:r>
      <w:r w:rsidRPr="008B2557">
        <w:rPr>
          <w:sz w:val="22"/>
          <w:szCs w:val="22"/>
        </w:rPr>
        <w:fldChar w:fldCharType="begin" w:fldLock="1"/>
      </w:r>
      <w:r w:rsidRPr="008B2557">
        <w:rPr>
          <w:sz w:val="22"/>
          <w:szCs w:val="22"/>
        </w:rPr>
        <w:instrText>ADDIN CSL_CITATION {"citationItems":[{"id":"ITEM-1","itemData":{"DOI":"10.1080/13636820.2018.1443971","ISSN":"17475090","abstract":"AbstractIn this article, we analyse a recent industry-driven initiative in Sweden for the organisation and operation of Vocational Education and Training. In the context of a statist and school-based system for VET, this is an initiative which seems to be an example of an anomaly in the present system. The initiative is called the Technical College scheme and is a certification scheme for upper secondary school education in technology. The aim of this article is to describe and explain the establishment of the Technical College scheme in Sweden from a historical institutionalist approach. Based on this approach, the case is analysed as a process of incremental institutional change, with a focus on initiatives and strategies by different stakeholders driving the invention and implementation of the scheme, the importance of the power balances between central interests, and how the process has been shaped by institutional conditions. Our study shows how previously marginalised actors in a VET system can mobi...","author":[{"dropping-particle":"","family":"Persson","given":"Bo","non-dropping-particle":"","parse-names":false,"suffix":""},{"dropping-particle":"","family":"Hermelin","given":"Brita","non-dropping-particle":"","parse-names":false,"suffix":""}],"container-title":"Journal of Vocational Education and Training","id":"ITEM-1","issued":{"date-parts":[["2018"]]},"page":"1-21","publisher":"Routledge","title":"Mobilising for change in vocational education and training in Sweden – a case study of the ‘Technical College’ scheme","type":"article-journal","volume":"6820"},"uris":["http://www.mendeley.com/documents/?uuid=31853c17-f142-46ba-b4ae-3c148c4b4107"]}],"mendeley":{"formattedCitation":"[31]","plainTextFormattedCitation":"[31]","previouslyFormattedCitation":"[31]"},"properties":{"noteIndex":0},"schema":"https://github.com/citation-style-language/schema/raw/master/csl-citation.json"}</w:instrText>
      </w:r>
      <w:r w:rsidRPr="008B2557">
        <w:rPr>
          <w:sz w:val="22"/>
          <w:szCs w:val="22"/>
        </w:rPr>
        <w:fldChar w:fldCharType="separate"/>
      </w:r>
      <w:r w:rsidRPr="008B2557">
        <w:rPr>
          <w:noProof/>
          <w:sz w:val="22"/>
          <w:szCs w:val="22"/>
        </w:rPr>
        <w:t>[31]</w:t>
      </w:r>
      <w:r w:rsidRPr="008B2557">
        <w:rPr>
          <w:sz w:val="22"/>
          <w:szCs w:val="22"/>
        </w:rPr>
        <w:fldChar w:fldCharType="end"/>
      </w:r>
      <w:r w:rsidRPr="008B2557">
        <w:rPr>
          <w:sz w:val="22"/>
          <w:szCs w:val="22"/>
        </w:rPr>
        <w:t xml:space="preserve"> which is also a dimension of scientific literacy </w:t>
      </w:r>
      <w:r w:rsidRPr="008B2557">
        <w:rPr>
          <w:sz w:val="22"/>
          <w:szCs w:val="22"/>
        </w:rPr>
        <w:fldChar w:fldCharType="begin" w:fldLock="1"/>
      </w:r>
      <w:r w:rsidRPr="008B2557">
        <w:rPr>
          <w:sz w:val="22"/>
          <w:szCs w:val="22"/>
        </w:rPr>
        <w:instrText>ADDIN CSL_CITATION {"citationItems":[{"id":"ITEM-1","itemData":{"DOI":"10.1126/science.aar8480","ISSN":"10959203","author":[{"dropping-particle":"","family":"Allum","given":"Nick","non-dropping-particle":"","parse-names":false,"suffix":""},{"dropping-particle":"","family":"Besley","given":"John","non-dropping-particle":"","parse-names":false,"suffix":""},{"dropping-particle":"","family":"Gomez","given":"Louis","non-dropping-particle":"","parse-names":false,"suffix":""},{"dropping-particle":"","family":"Brunton-Smith","given":"Ian","non-dropping-particle":"","parse-names":false,"suffix":""}],"container-title":"Science","id":"ITEM-1","issue":"6391","issued":{"date-parts":[["2018"]]},"page":"861-862","title":"Disparities in science literacy","type":"article-journal","volume":"360"},"uris":["http://www.mendeley.com/documents/?uuid=cca29464-c9d6-470c-a160-df1edf2c7f05"]}],"mendeley":{"formattedCitation":"[32]","plainTextFormattedCitation":"[32]","previouslyFormattedCitation":"[32]"},"properties":{"noteIndex":0},"schema":"https://github.com/citation-style-language/schema/raw/master/csl-citation.json"}</w:instrText>
      </w:r>
      <w:r w:rsidRPr="008B2557">
        <w:rPr>
          <w:sz w:val="22"/>
          <w:szCs w:val="22"/>
        </w:rPr>
        <w:fldChar w:fldCharType="separate"/>
      </w:r>
      <w:r w:rsidRPr="008B2557">
        <w:rPr>
          <w:noProof/>
          <w:sz w:val="22"/>
          <w:szCs w:val="22"/>
        </w:rPr>
        <w:t>[32]</w:t>
      </w:r>
      <w:r w:rsidRPr="008B2557">
        <w:rPr>
          <w:sz w:val="22"/>
          <w:szCs w:val="22"/>
        </w:rPr>
        <w:fldChar w:fldCharType="end"/>
      </w:r>
      <w:r w:rsidRPr="008B2557">
        <w:rPr>
          <w:sz w:val="22"/>
          <w:szCs w:val="22"/>
        </w:rPr>
        <w:t xml:space="preserve"> should be taken seriously. That is, it takes a picture of the real conditions about how the scientific literacy of vocational students in technology and engineering expertise programs. Regarding the various limitations and breadth of technology and engineering expertise, this research will be limited to vocational students with Construction and Property Skills Competencies</w:t>
      </w:r>
    </w:p>
    <w:p w14:paraId="0B4CC81A" w14:textId="33ED84DB" w:rsidR="00652442" w:rsidRPr="008B2557" w:rsidRDefault="008B2557" w:rsidP="009C1EDB">
      <w:pPr>
        <w:pStyle w:val="ListParagraph"/>
        <w:numPr>
          <w:ilvl w:val="0"/>
          <w:numId w:val="46"/>
        </w:numPr>
        <w:spacing w:after="240"/>
        <w:ind w:left="426" w:hanging="426"/>
        <w:jc w:val="both"/>
        <w:rPr>
          <w:b/>
          <w:bCs/>
          <w:sz w:val="22"/>
          <w:szCs w:val="22"/>
        </w:rPr>
      </w:pPr>
      <w:r w:rsidRPr="008B2557">
        <w:rPr>
          <w:b/>
          <w:bCs/>
          <w:sz w:val="22"/>
          <w:szCs w:val="18"/>
        </w:rPr>
        <w:t>Methodology</w:t>
      </w:r>
    </w:p>
    <w:p w14:paraId="2E3409D9" w14:textId="2A9D77A8" w:rsidR="001D425F" w:rsidRPr="008B2557" w:rsidRDefault="001D425F" w:rsidP="008B2557">
      <w:pPr>
        <w:pStyle w:val="Paragraph"/>
        <w:ind w:firstLine="0"/>
        <w:rPr>
          <w:sz w:val="22"/>
          <w:szCs w:val="22"/>
        </w:rPr>
      </w:pPr>
      <w:r w:rsidRPr="008B2557">
        <w:rPr>
          <w:sz w:val="22"/>
          <w:szCs w:val="22"/>
        </w:rPr>
        <w:t xml:space="preserve">This research is descriptive narrative research that discusses the literacy of mechanical science. This research is basic research with a research design referring to a qualitative approach to the type of phenomenology in which the research subjects are vocational students in the competence of Construction and Property expertise in Jakarta &amp; Bogor. The study was conducted in the range of January to February 2020 with research subjects in class X vocational students. The sampling technique is done by simple random sampling. The selected SMKs are SMKN 35 Jakarta, SMKN 26 Jakarta, and SMKN 1 </w:t>
      </w:r>
      <w:proofErr w:type="spellStart"/>
      <w:r w:rsidRPr="008B2557">
        <w:rPr>
          <w:sz w:val="22"/>
          <w:szCs w:val="22"/>
        </w:rPr>
        <w:t>Kemang</w:t>
      </w:r>
      <w:proofErr w:type="spellEnd"/>
      <w:r w:rsidRPr="008B2557">
        <w:rPr>
          <w:sz w:val="22"/>
          <w:szCs w:val="22"/>
        </w:rPr>
        <w:t xml:space="preserve"> Bogor, totaling 101 students. The instrument used in this study was a modification of the scientific literacy instrument developed by </w:t>
      </w:r>
      <w:proofErr w:type="spellStart"/>
      <w:r w:rsidRPr="008B2557">
        <w:rPr>
          <w:sz w:val="22"/>
          <w:szCs w:val="22"/>
        </w:rPr>
        <w:t>Mckeown</w:t>
      </w:r>
      <w:proofErr w:type="spellEnd"/>
      <w:r w:rsidRPr="008B2557">
        <w:rPr>
          <w:sz w:val="22"/>
          <w:szCs w:val="22"/>
        </w:rPr>
        <w:t xml:space="preserve"> </w:t>
      </w:r>
      <w:r w:rsidRPr="008B2557">
        <w:rPr>
          <w:sz w:val="22"/>
          <w:szCs w:val="22"/>
        </w:rPr>
        <w:fldChar w:fldCharType="begin" w:fldLock="1"/>
      </w:r>
      <w:r w:rsidRPr="008B2557">
        <w:rPr>
          <w:sz w:val="22"/>
          <w:szCs w:val="22"/>
        </w:rPr>
        <w:instrText>ADDIN CSL_CITATION {"citationItems":[{"id":"ITEM-1","itemData":{"author":[{"dropping-particle":"","family":"Mckeown","given":"Tammy R.","non-dropping-particle":"","parse-names":false,"suffix":""}],"id":"ITEM-1","issued":{"date-parts":[["2017"]]},"number-of-pages":"157","title":"Validation Study of the Science Literacy Assessment: A Measure to Assess Middle School Students' Attitudes Toward Science and Ability to Think Scientifically","type":"book"},"uris":["http://www.mendeley.com/documents/?uuid=a9eed6d8-d257-4503-9682-8b5bd4308744"]}],"mendeley":{"formattedCitation":"[33]","plainTextFormattedCitation":"[33]","previouslyFormattedCitation":"[33]"},"properties":{"noteIndex":0},"schema":"https://github.com/citation-style-language/schema/raw/master/csl-citation.json"}</w:instrText>
      </w:r>
      <w:r w:rsidRPr="008B2557">
        <w:rPr>
          <w:sz w:val="22"/>
          <w:szCs w:val="22"/>
        </w:rPr>
        <w:fldChar w:fldCharType="separate"/>
      </w:r>
      <w:r w:rsidRPr="008B2557">
        <w:rPr>
          <w:noProof/>
          <w:sz w:val="22"/>
          <w:szCs w:val="22"/>
        </w:rPr>
        <w:t>[33]</w:t>
      </w:r>
      <w:r w:rsidRPr="008B2557">
        <w:rPr>
          <w:sz w:val="22"/>
          <w:szCs w:val="22"/>
        </w:rPr>
        <w:fldChar w:fldCharType="end"/>
      </w:r>
      <w:r w:rsidRPr="008B2557">
        <w:rPr>
          <w:sz w:val="22"/>
          <w:szCs w:val="22"/>
        </w:rPr>
        <w:t xml:space="preserve"> and </w:t>
      </w:r>
      <w:proofErr w:type="spellStart"/>
      <w:r w:rsidRPr="008B2557">
        <w:rPr>
          <w:sz w:val="22"/>
          <w:szCs w:val="22"/>
        </w:rPr>
        <w:t>Rusilowati</w:t>
      </w:r>
      <w:proofErr w:type="spellEnd"/>
      <w:r w:rsidRPr="008B2557">
        <w:rPr>
          <w:sz w:val="22"/>
          <w:szCs w:val="22"/>
        </w:rPr>
        <w:t xml:space="preserve"> et al </w:t>
      </w:r>
      <w:r w:rsidRPr="008B2557">
        <w:rPr>
          <w:sz w:val="22"/>
          <w:szCs w:val="22"/>
        </w:rPr>
        <w:fldChar w:fldCharType="begin" w:fldLock="1"/>
      </w:r>
      <w:r w:rsidRPr="008B2557">
        <w:rPr>
          <w:sz w:val="22"/>
          <w:szCs w:val="22"/>
        </w:rPr>
        <w:instrText>ADDIN CSL_CITATION {"citationItems":[{"id":"ITEM-1","itemData":{"ISSN":"13063065","abstract":"The purpose of this study is to develop scientific literacy evaluation instrument that tested its validity, reliability, and characteristics to measure the skill of student’s scientific literacy used four scientific literacy, categories as follow:science as a body of knowledge (category A), science as a way of thinking (category B), science as a way of investigating (category C), and the interaction between science, technology, and society (category D). The subjects of this developing study were 9th grade student of junior high schoolin Kudus. Validity test is done by the content, construct, and concurrent validation. Reliability testing is done by calculating a reliability coefficient “r”. Characteristics tested by determining the level of difficulty, distinguishing features, and the proportion or ratio of scientific literacy category in the instrument. Profile of scientific literacy ability is determined by measuring students' mastery of scientific literacy. The result of reliability test is the price of“r” at first trial is 0.59 and the last trial is 0.74. Validity test results indicate that the instrument meets the content, construct, and concurrent validity with valid, very valid, and valid category. Characteristics of evaluation instruments developed shows that the instrument has a level of difficulty that the proportion of about 13% easy, 67% about the medium, and 20% about the difficult. The results of the analysis of discrimination power combined with a level of difficulty and obtained 5 items with poor quality and should be discarded. Comparison category A: B: C: D is 7: 2: 3: 3. Profile of literacy skills mastery of science shows that scientific literacy is still low at below 50% for all categories. Evaluation instruments developed meet the content validity, construct, and alignment with valid, very valid, and valid criteria.","author":[{"dropping-particle":"","family":"Rusilowati","given":"Ani","non-dropping-particle":"","parse-names":false,"suffix":""},{"dropping-particle":"","family":"Kurniawati","given":"Lina","non-dropping-particle":"","parse-names":false,"suffix":""},{"dropping-particle":"","family":"Nugroho","given":"Sunyoto E.","non-dropping-particle":"","parse-names":false,"suffix":""},{"dropping-particle":"","family":"Widiyatmoko","given":"Arif","non-dropping-particle":"","parse-names":false,"suffix":""}],"container-title":"International Journal of Environmental and Science Education","id":"ITEM-1","issue":"12","issued":{"date-parts":[["2016"]]},"page":"5718-5727","title":"Developing an instrument of scientific literacy asessment on the cycle theme","type":"article-journal","volume":"11"},"uris":["http://www.mendeley.com/documents/?uuid=960cd17e-3c24-4955-a01e-cd708633da1f"]}],"mendeley":{"formattedCitation":"[19]","plainTextFormattedCitation":"[19]","previouslyFormattedCitation":"[19]"},"properties":{"noteIndex":0},"schema":"https://github.com/citation-style-language/schema/raw/master/csl-citation.json"}</w:instrText>
      </w:r>
      <w:r w:rsidRPr="008B2557">
        <w:rPr>
          <w:sz w:val="22"/>
          <w:szCs w:val="22"/>
        </w:rPr>
        <w:fldChar w:fldCharType="separate"/>
      </w:r>
      <w:r w:rsidRPr="008B2557">
        <w:rPr>
          <w:noProof/>
          <w:sz w:val="22"/>
          <w:szCs w:val="22"/>
        </w:rPr>
        <w:t>[19]</w:t>
      </w:r>
      <w:r w:rsidRPr="008B2557">
        <w:rPr>
          <w:sz w:val="22"/>
          <w:szCs w:val="22"/>
        </w:rPr>
        <w:fldChar w:fldCharType="end"/>
      </w:r>
      <w:r w:rsidRPr="008B2557">
        <w:rPr>
          <w:sz w:val="22"/>
          <w:szCs w:val="22"/>
        </w:rPr>
        <w:t xml:space="preserve"> which included indicators of science as the body of knowledge, Science as the investigative tools of nature, Science as a way of thinking and Interaction of science, environment, technology and society </w:t>
      </w:r>
      <w:r w:rsidRPr="008B2557">
        <w:rPr>
          <w:sz w:val="22"/>
          <w:szCs w:val="22"/>
        </w:rPr>
        <w:fldChar w:fldCharType="begin" w:fldLock="1"/>
      </w:r>
      <w:r w:rsidRPr="008B2557">
        <w:rPr>
          <w:sz w:val="22"/>
          <w:szCs w:val="22"/>
        </w:rPr>
        <w:instrText>ADDIN CSL_CITATION {"citationItems":[{"id":"ITEM-1","itemData":{"DOI":"10.15294/jpfi.v12i2.4252","ISSN":"1693-1246","abstract":"The purpose of this research is to develop scientific literacy-based science text books and to determine the characteristics, validity, readability, as well as the effectiveness of the textbooks.The study started with product development and then continued by feasibility test and readability test. Feasibility test was done with the respondent of lecturer and science teachers of VII, VIII, IX grade at SMP N at Central Java. Readability test used cloze test that filled by VII, VIII, and IX grade students at that schools. The data analysis was done with percentage discription and t-test. The study results in feasibility test showed that the developed literacy science textbook has average score 90,74%. It means the literacy science textbook is suitable. Based on the readability test result, science literacy textbook is easy to learn. The average of score of cloze test was 88,14%. The effectiveness of the developed science textbook was classified as an effective stimulant to increase students scientific literacy.Tujuan penelitian ini adalah mengembangkan buku ajar IPA berbasis literasi sains, menentukan karakteristik, kevalidannya, tingkat keterbacaan, dan keefektifannya. Penelitian pengembangan ini dimulai dengan analisis kebutuhan, penyusunan tema, pengembangan buku ajar, uji kevalidan dan keterbacaan buku yang telah dikembangkan. Validasi dilakukan oleh dosen dan guru IPA kelas VII, VII, IX. Uji validitas, tingkat keterbacaan dan keefektifan buku dilakukan di SMP N di Jawa Tengah. Subjek ujicoba adalah siswa kelas VII, VIII, IX. Teknik analisis data menggunakan deskriptif persentase untuk uji kevalidan dan keterbacaan, dan uji t untuk keefektifan. Hasil validasi menunjukkan seluruh buku yang dikembangkan adalah valid dengan rata-rata skor 90,74% berada pada kategori sangat valid. Skor rata-rata tingkat keterbacaan sebesar 88,14% beradapada kategori mudah dipahami. Buku ajar yang dikembangkan efektif untuk meningkatkan kemampuan literasi sains.","author":[{"dropping-particle":"","family":"Rusilowati","given":"A.","non-dropping-particle":"","parse-names":false,"suffix":""},{"dropping-particle":"","family":"Nugroho","given":"S. E.","non-dropping-particle":"","parse-names":false,"suffix":""},{"dropping-particle":"","family":"Susilowati","given":"S. M.","non-dropping-particle":"","parse-names":false,"suffix":""}],"container-title":"Jurnal Pendidikan Fisika Indonesia","id":"ITEM-1","issue":"2","issued":{"date-parts":[["2016"]]},"page":"98-105","title":"Development of Science Textbook Based on Scientific Literacy for Secondary School","type":"article-journal","volume":"12"},"uris":["http://www.mendeley.com/documents/?uuid=5baa7403-1d18-4a59-b3b8-4a030ae6a122"]}],"mendeley":{"formattedCitation":"[34]","plainTextFormattedCitation":"[34]","previouslyFormattedCitation":"[34]"},"properties":{"noteIndex":0},"schema":"https://github.com/citation-style-language/schema/raw/master/csl-citation.json"}</w:instrText>
      </w:r>
      <w:r w:rsidRPr="008B2557">
        <w:rPr>
          <w:sz w:val="22"/>
          <w:szCs w:val="22"/>
        </w:rPr>
        <w:fldChar w:fldCharType="separate"/>
      </w:r>
      <w:r w:rsidRPr="008B2557">
        <w:rPr>
          <w:noProof/>
          <w:sz w:val="22"/>
          <w:szCs w:val="22"/>
        </w:rPr>
        <w:t>[34]</w:t>
      </w:r>
      <w:r w:rsidRPr="008B2557">
        <w:rPr>
          <w:sz w:val="22"/>
          <w:szCs w:val="22"/>
        </w:rPr>
        <w:fldChar w:fldCharType="end"/>
      </w:r>
      <w:r w:rsidRPr="008B2557">
        <w:rPr>
          <w:sz w:val="22"/>
          <w:szCs w:val="22"/>
        </w:rPr>
        <w:t xml:space="preserve"> with 19 items as follows</w:t>
      </w:r>
      <w:r w:rsidR="008B2557">
        <w:rPr>
          <w:sz w:val="22"/>
          <w:szCs w:val="22"/>
        </w:rPr>
        <w:t>.</w:t>
      </w:r>
    </w:p>
    <w:p w14:paraId="1D6A8B79" w14:textId="408DDD6C" w:rsidR="001D425F" w:rsidRPr="008B2557" w:rsidRDefault="001D425F" w:rsidP="008B2557">
      <w:pPr>
        <w:jc w:val="center"/>
        <w:rPr>
          <w:b/>
          <w:bCs/>
          <w:sz w:val="22"/>
          <w:szCs w:val="22"/>
        </w:rPr>
      </w:pPr>
      <w:r w:rsidRPr="008B2557">
        <w:rPr>
          <w:b/>
          <w:bCs/>
          <w:sz w:val="22"/>
          <w:szCs w:val="22"/>
        </w:rPr>
        <w:t xml:space="preserve">Table </w:t>
      </w:r>
      <w:r w:rsidR="008B2557">
        <w:rPr>
          <w:b/>
          <w:bCs/>
          <w:sz w:val="22"/>
          <w:szCs w:val="22"/>
        </w:rPr>
        <w:t>2</w:t>
      </w:r>
      <w:r w:rsidRPr="008B2557">
        <w:rPr>
          <w:b/>
          <w:bCs/>
          <w:sz w:val="22"/>
          <w:szCs w:val="22"/>
        </w:rPr>
        <w:t>. Distribution of items per indicator</w:t>
      </w:r>
    </w:p>
    <w:tbl>
      <w:tblPr>
        <w:tblStyle w:val="TableGrid"/>
        <w:tblW w:w="10009" w:type="dxa"/>
        <w:tblBorders>
          <w:left w:val="none" w:sz="0" w:space="0" w:color="auto"/>
          <w:right w:val="none" w:sz="0" w:space="0" w:color="auto"/>
          <w:insideV w:val="none" w:sz="0" w:space="0" w:color="auto"/>
        </w:tblBorders>
        <w:tblLook w:val="04A0" w:firstRow="1" w:lastRow="0" w:firstColumn="1" w:lastColumn="0" w:noHBand="0" w:noVBand="1"/>
      </w:tblPr>
      <w:tblGrid>
        <w:gridCol w:w="999"/>
        <w:gridCol w:w="1803"/>
        <w:gridCol w:w="2495"/>
        <w:gridCol w:w="1582"/>
        <w:gridCol w:w="3130"/>
      </w:tblGrid>
      <w:tr w:rsidR="001D425F" w:rsidRPr="008B2557" w14:paraId="6BACBC0B" w14:textId="77777777" w:rsidTr="00BA2234">
        <w:tc>
          <w:tcPr>
            <w:tcW w:w="650" w:type="dxa"/>
          </w:tcPr>
          <w:p w14:paraId="1B7558EE" w14:textId="77777777" w:rsidR="001D425F" w:rsidRPr="008B2557" w:rsidRDefault="001D425F" w:rsidP="00BA2234">
            <w:pPr>
              <w:rPr>
                <w:b/>
                <w:bCs/>
                <w:sz w:val="22"/>
                <w:szCs w:val="22"/>
              </w:rPr>
            </w:pPr>
          </w:p>
        </w:tc>
        <w:tc>
          <w:tcPr>
            <w:tcW w:w="1855" w:type="dxa"/>
          </w:tcPr>
          <w:p w14:paraId="7FE1703C" w14:textId="77777777" w:rsidR="001D425F" w:rsidRPr="008B2557" w:rsidRDefault="001D425F" w:rsidP="008B2557">
            <w:pPr>
              <w:jc w:val="center"/>
              <w:rPr>
                <w:b/>
                <w:bCs/>
                <w:sz w:val="22"/>
                <w:szCs w:val="22"/>
              </w:rPr>
            </w:pPr>
            <w:r w:rsidRPr="008B2557">
              <w:rPr>
                <w:b/>
                <w:bCs/>
                <w:sz w:val="22"/>
                <w:szCs w:val="22"/>
              </w:rPr>
              <w:t>Science as the body of knowledge</w:t>
            </w:r>
          </w:p>
        </w:tc>
        <w:tc>
          <w:tcPr>
            <w:tcW w:w="2593" w:type="dxa"/>
          </w:tcPr>
          <w:p w14:paraId="069B9C78" w14:textId="77777777" w:rsidR="001D425F" w:rsidRPr="008B2557" w:rsidRDefault="001D425F" w:rsidP="008B2557">
            <w:pPr>
              <w:jc w:val="center"/>
              <w:rPr>
                <w:b/>
                <w:bCs/>
                <w:sz w:val="22"/>
                <w:szCs w:val="22"/>
              </w:rPr>
            </w:pPr>
            <w:r w:rsidRPr="008B2557">
              <w:rPr>
                <w:b/>
                <w:bCs/>
                <w:sz w:val="22"/>
                <w:szCs w:val="22"/>
              </w:rPr>
              <w:t>Science as the investigative tools of nature</w:t>
            </w:r>
          </w:p>
        </w:tc>
        <w:tc>
          <w:tcPr>
            <w:tcW w:w="1633" w:type="dxa"/>
          </w:tcPr>
          <w:p w14:paraId="1ACE6603" w14:textId="77777777" w:rsidR="001D425F" w:rsidRPr="008B2557" w:rsidRDefault="001D425F" w:rsidP="008B2557">
            <w:pPr>
              <w:jc w:val="center"/>
              <w:rPr>
                <w:b/>
                <w:bCs/>
                <w:sz w:val="22"/>
                <w:szCs w:val="22"/>
              </w:rPr>
            </w:pPr>
            <w:r w:rsidRPr="008B2557">
              <w:rPr>
                <w:b/>
                <w:bCs/>
                <w:sz w:val="22"/>
                <w:szCs w:val="22"/>
              </w:rPr>
              <w:t>Science as a way of thinking</w:t>
            </w:r>
          </w:p>
        </w:tc>
        <w:tc>
          <w:tcPr>
            <w:tcW w:w="3278" w:type="dxa"/>
          </w:tcPr>
          <w:p w14:paraId="7B2C4053" w14:textId="77777777" w:rsidR="001D425F" w:rsidRPr="008B2557" w:rsidRDefault="001D425F" w:rsidP="008B2557">
            <w:pPr>
              <w:jc w:val="center"/>
              <w:rPr>
                <w:b/>
                <w:bCs/>
                <w:sz w:val="22"/>
                <w:szCs w:val="22"/>
              </w:rPr>
            </w:pPr>
            <w:r w:rsidRPr="008B2557">
              <w:rPr>
                <w:b/>
                <w:bCs/>
                <w:sz w:val="22"/>
                <w:szCs w:val="22"/>
              </w:rPr>
              <w:t xml:space="preserve">Interaction of science, environment, </w:t>
            </w:r>
            <w:proofErr w:type="spellStart"/>
            <w:r w:rsidRPr="008B2557">
              <w:rPr>
                <w:b/>
                <w:bCs/>
                <w:sz w:val="22"/>
                <w:szCs w:val="22"/>
              </w:rPr>
              <w:t>technolody</w:t>
            </w:r>
            <w:proofErr w:type="spellEnd"/>
            <w:r w:rsidRPr="008B2557">
              <w:rPr>
                <w:b/>
                <w:bCs/>
                <w:sz w:val="22"/>
                <w:szCs w:val="22"/>
              </w:rPr>
              <w:t xml:space="preserve"> and society</w:t>
            </w:r>
          </w:p>
        </w:tc>
      </w:tr>
      <w:tr w:rsidR="001D425F" w:rsidRPr="008B2557" w14:paraId="41A7BD6B" w14:textId="77777777" w:rsidTr="00BA2234">
        <w:tc>
          <w:tcPr>
            <w:tcW w:w="650" w:type="dxa"/>
          </w:tcPr>
          <w:p w14:paraId="5CB6D0A1" w14:textId="77777777" w:rsidR="001D425F" w:rsidRPr="008B2557" w:rsidRDefault="001D425F" w:rsidP="00BA2234">
            <w:pPr>
              <w:jc w:val="both"/>
              <w:rPr>
                <w:b/>
                <w:bCs/>
                <w:sz w:val="22"/>
                <w:szCs w:val="22"/>
              </w:rPr>
            </w:pPr>
            <w:r w:rsidRPr="008B2557">
              <w:rPr>
                <w:b/>
                <w:bCs/>
                <w:sz w:val="22"/>
                <w:szCs w:val="22"/>
              </w:rPr>
              <w:t>Item</w:t>
            </w:r>
          </w:p>
          <w:p w14:paraId="6C6E9A36" w14:textId="77777777" w:rsidR="001D425F" w:rsidRPr="008B2557" w:rsidRDefault="001D425F" w:rsidP="00BA2234">
            <w:pPr>
              <w:jc w:val="both"/>
              <w:rPr>
                <w:b/>
                <w:bCs/>
                <w:sz w:val="22"/>
                <w:szCs w:val="22"/>
              </w:rPr>
            </w:pPr>
            <w:r w:rsidRPr="008B2557">
              <w:rPr>
                <w:b/>
                <w:bCs/>
                <w:sz w:val="22"/>
                <w:szCs w:val="22"/>
              </w:rPr>
              <w:t>Number</w:t>
            </w:r>
          </w:p>
        </w:tc>
        <w:tc>
          <w:tcPr>
            <w:tcW w:w="1855" w:type="dxa"/>
          </w:tcPr>
          <w:p w14:paraId="6A1EEEC5" w14:textId="77777777" w:rsidR="001D425F" w:rsidRPr="008B2557" w:rsidRDefault="001D425F" w:rsidP="00BA2234">
            <w:pPr>
              <w:jc w:val="center"/>
              <w:rPr>
                <w:sz w:val="22"/>
                <w:szCs w:val="22"/>
              </w:rPr>
            </w:pPr>
            <w:r w:rsidRPr="008B2557">
              <w:rPr>
                <w:sz w:val="22"/>
                <w:szCs w:val="22"/>
              </w:rPr>
              <w:t>3, 6, 7, 12</w:t>
            </w:r>
          </w:p>
        </w:tc>
        <w:tc>
          <w:tcPr>
            <w:tcW w:w="2593" w:type="dxa"/>
          </w:tcPr>
          <w:p w14:paraId="3FBADDCC" w14:textId="77777777" w:rsidR="001D425F" w:rsidRPr="008B2557" w:rsidRDefault="001D425F" w:rsidP="00BA2234">
            <w:pPr>
              <w:jc w:val="center"/>
              <w:rPr>
                <w:sz w:val="22"/>
                <w:szCs w:val="22"/>
              </w:rPr>
            </w:pPr>
            <w:r w:rsidRPr="008B2557">
              <w:rPr>
                <w:sz w:val="22"/>
                <w:szCs w:val="22"/>
              </w:rPr>
              <w:t>2, 4, 10, 16, 19</w:t>
            </w:r>
          </w:p>
        </w:tc>
        <w:tc>
          <w:tcPr>
            <w:tcW w:w="1633" w:type="dxa"/>
          </w:tcPr>
          <w:p w14:paraId="7EDBB9F7" w14:textId="77777777" w:rsidR="001D425F" w:rsidRPr="008B2557" w:rsidRDefault="001D425F" w:rsidP="00BA2234">
            <w:pPr>
              <w:jc w:val="center"/>
              <w:rPr>
                <w:sz w:val="22"/>
                <w:szCs w:val="22"/>
              </w:rPr>
            </w:pPr>
            <w:r w:rsidRPr="008B2557">
              <w:rPr>
                <w:sz w:val="22"/>
                <w:szCs w:val="22"/>
              </w:rPr>
              <w:t>1, 5, 9, 11, 13, 17</w:t>
            </w:r>
          </w:p>
        </w:tc>
        <w:tc>
          <w:tcPr>
            <w:tcW w:w="3278" w:type="dxa"/>
          </w:tcPr>
          <w:p w14:paraId="4E7A3749" w14:textId="77777777" w:rsidR="001D425F" w:rsidRPr="008B2557" w:rsidRDefault="001D425F" w:rsidP="00BA2234">
            <w:pPr>
              <w:jc w:val="center"/>
              <w:rPr>
                <w:sz w:val="22"/>
                <w:szCs w:val="22"/>
              </w:rPr>
            </w:pPr>
            <w:r w:rsidRPr="008B2557">
              <w:rPr>
                <w:sz w:val="22"/>
                <w:szCs w:val="22"/>
              </w:rPr>
              <w:t>8, 14, 15, 18,</w:t>
            </w:r>
          </w:p>
        </w:tc>
      </w:tr>
    </w:tbl>
    <w:p w14:paraId="21BF95B3" w14:textId="33E4784E" w:rsidR="00652442" w:rsidRPr="00984B7F" w:rsidRDefault="003D5E1B" w:rsidP="009C1EDB">
      <w:pPr>
        <w:pStyle w:val="ListParagraph"/>
        <w:numPr>
          <w:ilvl w:val="0"/>
          <w:numId w:val="46"/>
        </w:numPr>
        <w:spacing w:before="240" w:after="240"/>
        <w:ind w:left="426" w:hanging="426"/>
        <w:rPr>
          <w:b/>
          <w:bCs/>
          <w:caps/>
          <w:sz w:val="18"/>
          <w:szCs w:val="18"/>
        </w:rPr>
      </w:pPr>
      <w:r>
        <w:rPr>
          <w:b/>
          <w:bCs/>
          <w:sz w:val="22"/>
          <w:szCs w:val="18"/>
        </w:rPr>
        <w:t>Conclusion</w:t>
      </w:r>
    </w:p>
    <w:p w14:paraId="759B45B1" w14:textId="4CDB1148" w:rsidR="001D425F" w:rsidRPr="0024659C" w:rsidRDefault="001D425F" w:rsidP="001D425F">
      <w:pPr>
        <w:jc w:val="both"/>
        <w:rPr>
          <w:sz w:val="22"/>
          <w:szCs w:val="22"/>
        </w:rPr>
      </w:pPr>
      <w:r w:rsidRPr="009C1EDB">
        <w:rPr>
          <w:sz w:val="22"/>
          <w:szCs w:val="22"/>
        </w:rPr>
        <w:t xml:space="preserve">The data obtained in this study are presented in the form of a proportion of correct answers from the 19 items given. The sample in this study amounted to 101 grade X students of SMK competency in construction and property expertise. Data is taken from the period of 20 January to 2 February 2020. The results can be seen in the table below:  </w:t>
      </w:r>
    </w:p>
    <w:p w14:paraId="60CD8718" w14:textId="73DBA879" w:rsidR="001D425F" w:rsidRPr="0024659C" w:rsidRDefault="001D425F" w:rsidP="0024659C">
      <w:pPr>
        <w:jc w:val="center"/>
        <w:rPr>
          <w:b/>
          <w:bCs/>
          <w:sz w:val="22"/>
          <w:szCs w:val="22"/>
        </w:rPr>
      </w:pPr>
      <w:r w:rsidRPr="0024659C">
        <w:rPr>
          <w:b/>
          <w:bCs/>
          <w:sz w:val="22"/>
          <w:szCs w:val="22"/>
        </w:rPr>
        <w:t xml:space="preserve">Table </w:t>
      </w:r>
      <w:r w:rsidR="0024659C" w:rsidRPr="0024659C">
        <w:rPr>
          <w:b/>
          <w:bCs/>
          <w:sz w:val="22"/>
          <w:szCs w:val="22"/>
        </w:rPr>
        <w:t>3</w:t>
      </w:r>
      <w:r w:rsidRPr="0024659C">
        <w:rPr>
          <w:b/>
          <w:bCs/>
          <w:sz w:val="22"/>
          <w:szCs w:val="22"/>
        </w:rPr>
        <w:t>. Percentage of students answered correctly on scientific literacy instruments</w:t>
      </w:r>
    </w:p>
    <w:tbl>
      <w:tblPr>
        <w:tblStyle w:val="TableGrid"/>
        <w:tblW w:w="9126" w:type="dxa"/>
        <w:tblBorders>
          <w:left w:val="none" w:sz="0" w:space="0" w:color="auto"/>
          <w:right w:val="none" w:sz="0" w:space="0" w:color="auto"/>
          <w:insideV w:val="none" w:sz="0" w:space="0" w:color="auto"/>
        </w:tblBorders>
        <w:tblLook w:val="04A0" w:firstRow="1" w:lastRow="0" w:firstColumn="1" w:lastColumn="0" w:noHBand="0" w:noVBand="1"/>
      </w:tblPr>
      <w:tblGrid>
        <w:gridCol w:w="3123"/>
        <w:gridCol w:w="1374"/>
        <w:gridCol w:w="1310"/>
        <w:gridCol w:w="1901"/>
        <w:gridCol w:w="1418"/>
      </w:tblGrid>
      <w:tr w:rsidR="001D425F" w:rsidRPr="0024659C" w14:paraId="62444217" w14:textId="77777777" w:rsidTr="001D425F">
        <w:trPr>
          <w:tblHeader/>
        </w:trPr>
        <w:tc>
          <w:tcPr>
            <w:tcW w:w="3123" w:type="dxa"/>
          </w:tcPr>
          <w:p w14:paraId="47C47DDB" w14:textId="77777777" w:rsidR="001D425F" w:rsidRPr="0024659C" w:rsidRDefault="001D425F" w:rsidP="004A4E5D">
            <w:pPr>
              <w:rPr>
                <w:b/>
                <w:bCs/>
                <w:sz w:val="22"/>
                <w:szCs w:val="22"/>
              </w:rPr>
            </w:pPr>
          </w:p>
        </w:tc>
        <w:tc>
          <w:tcPr>
            <w:tcW w:w="1374" w:type="dxa"/>
          </w:tcPr>
          <w:p w14:paraId="581D281A" w14:textId="77777777" w:rsidR="001D425F" w:rsidRPr="0024659C" w:rsidRDefault="001D425F" w:rsidP="004A4E5D">
            <w:pPr>
              <w:jc w:val="center"/>
              <w:rPr>
                <w:b/>
                <w:bCs/>
                <w:sz w:val="22"/>
                <w:szCs w:val="22"/>
              </w:rPr>
            </w:pPr>
            <w:r w:rsidRPr="0024659C">
              <w:rPr>
                <w:b/>
                <w:bCs/>
                <w:sz w:val="22"/>
                <w:szCs w:val="22"/>
              </w:rPr>
              <w:t>SMKN 26 Jakarta</w:t>
            </w:r>
          </w:p>
        </w:tc>
        <w:tc>
          <w:tcPr>
            <w:tcW w:w="1310" w:type="dxa"/>
          </w:tcPr>
          <w:p w14:paraId="71985CB6" w14:textId="77777777" w:rsidR="001D425F" w:rsidRPr="0024659C" w:rsidRDefault="001D425F" w:rsidP="004A4E5D">
            <w:pPr>
              <w:jc w:val="center"/>
              <w:rPr>
                <w:b/>
                <w:bCs/>
                <w:sz w:val="22"/>
                <w:szCs w:val="22"/>
              </w:rPr>
            </w:pPr>
            <w:r w:rsidRPr="0024659C">
              <w:rPr>
                <w:b/>
                <w:bCs/>
                <w:sz w:val="22"/>
                <w:szCs w:val="22"/>
              </w:rPr>
              <w:t>SMKN 35 Jakarta</w:t>
            </w:r>
          </w:p>
        </w:tc>
        <w:tc>
          <w:tcPr>
            <w:tcW w:w="1901" w:type="dxa"/>
          </w:tcPr>
          <w:p w14:paraId="7D29A833" w14:textId="77777777" w:rsidR="001D425F" w:rsidRPr="0024659C" w:rsidRDefault="001D425F" w:rsidP="004A4E5D">
            <w:pPr>
              <w:jc w:val="center"/>
              <w:rPr>
                <w:b/>
                <w:bCs/>
                <w:sz w:val="22"/>
                <w:szCs w:val="22"/>
              </w:rPr>
            </w:pPr>
            <w:r w:rsidRPr="0024659C">
              <w:rPr>
                <w:b/>
                <w:bCs/>
                <w:sz w:val="22"/>
                <w:szCs w:val="22"/>
              </w:rPr>
              <w:t xml:space="preserve">SMKN 1 </w:t>
            </w:r>
            <w:proofErr w:type="spellStart"/>
            <w:r w:rsidRPr="0024659C">
              <w:rPr>
                <w:b/>
                <w:bCs/>
                <w:sz w:val="22"/>
                <w:szCs w:val="22"/>
              </w:rPr>
              <w:t>Kemang</w:t>
            </w:r>
            <w:proofErr w:type="spellEnd"/>
            <w:r w:rsidRPr="0024659C">
              <w:rPr>
                <w:b/>
                <w:bCs/>
                <w:sz w:val="22"/>
                <w:szCs w:val="22"/>
              </w:rPr>
              <w:t xml:space="preserve"> Bogor</w:t>
            </w:r>
          </w:p>
        </w:tc>
        <w:tc>
          <w:tcPr>
            <w:tcW w:w="1418" w:type="dxa"/>
          </w:tcPr>
          <w:p w14:paraId="4226B6EC" w14:textId="77777777" w:rsidR="001D425F" w:rsidRPr="0024659C" w:rsidRDefault="001D425F" w:rsidP="004A4E5D">
            <w:pPr>
              <w:jc w:val="center"/>
              <w:rPr>
                <w:b/>
                <w:bCs/>
                <w:sz w:val="22"/>
                <w:szCs w:val="22"/>
              </w:rPr>
            </w:pPr>
            <w:r w:rsidRPr="0024659C">
              <w:rPr>
                <w:b/>
                <w:bCs/>
                <w:sz w:val="22"/>
                <w:szCs w:val="22"/>
              </w:rPr>
              <w:t>Total</w:t>
            </w:r>
          </w:p>
        </w:tc>
      </w:tr>
      <w:tr w:rsidR="001D425F" w:rsidRPr="0024659C" w14:paraId="659EFBA5" w14:textId="77777777" w:rsidTr="004A4E5D">
        <w:tc>
          <w:tcPr>
            <w:tcW w:w="3123" w:type="dxa"/>
          </w:tcPr>
          <w:p w14:paraId="6FA85BB2" w14:textId="77777777" w:rsidR="001D425F" w:rsidRPr="0024659C" w:rsidRDefault="001D425F" w:rsidP="004A4E5D">
            <w:pPr>
              <w:rPr>
                <w:sz w:val="22"/>
                <w:szCs w:val="22"/>
              </w:rPr>
            </w:pPr>
            <w:r w:rsidRPr="0024659C">
              <w:rPr>
                <w:sz w:val="22"/>
                <w:szCs w:val="22"/>
              </w:rPr>
              <w:t>Science as the body of knowledge</w:t>
            </w:r>
          </w:p>
        </w:tc>
        <w:tc>
          <w:tcPr>
            <w:tcW w:w="1374" w:type="dxa"/>
          </w:tcPr>
          <w:p w14:paraId="28D2B8B9" w14:textId="77777777" w:rsidR="001D425F" w:rsidRPr="0024659C" w:rsidRDefault="001D425F" w:rsidP="004A4E5D">
            <w:pPr>
              <w:jc w:val="center"/>
              <w:rPr>
                <w:sz w:val="22"/>
                <w:szCs w:val="22"/>
              </w:rPr>
            </w:pPr>
            <w:r w:rsidRPr="0024659C">
              <w:rPr>
                <w:sz w:val="22"/>
                <w:szCs w:val="22"/>
              </w:rPr>
              <w:t>55,41%</w:t>
            </w:r>
          </w:p>
        </w:tc>
        <w:tc>
          <w:tcPr>
            <w:tcW w:w="1310" w:type="dxa"/>
          </w:tcPr>
          <w:p w14:paraId="37054AD4" w14:textId="77777777" w:rsidR="001D425F" w:rsidRPr="0024659C" w:rsidRDefault="001D425F" w:rsidP="004A4E5D">
            <w:pPr>
              <w:jc w:val="center"/>
              <w:rPr>
                <w:sz w:val="22"/>
                <w:szCs w:val="22"/>
              </w:rPr>
            </w:pPr>
            <w:r w:rsidRPr="0024659C">
              <w:rPr>
                <w:sz w:val="22"/>
                <w:szCs w:val="22"/>
              </w:rPr>
              <w:t>47,79%</w:t>
            </w:r>
          </w:p>
        </w:tc>
        <w:tc>
          <w:tcPr>
            <w:tcW w:w="1901" w:type="dxa"/>
          </w:tcPr>
          <w:p w14:paraId="611474A4" w14:textId="77777777" w:rsidR="001D425F" w:rsidRPr="0024659C" w:rsidRDefault="001D425F" w:rsidP="004A4E5D">
            <w:pPr>
              <w:jc w:val="center"/>
              <w:rPr>
                <w:sz w:val="22"/>
                <w:szCs w:val="22"/>
              </w:rPr>
            </w:pPr>
            <w:r w:rsidRPr="0024659C">
              <w:rPr>
                <w:sz w:val="22"/>
                <w:szCs w:val="22"/>
              </w:rPr>
              <w:t>64,17%</w:t>
            </w:r>
          </w:p>
        </w:tc>
        <w:tc>
          <w:tcPr>
            <w:tcW w:w="1418" w:type="dxa"/>
          </w:tcPr>
          <w:p w14:paraId="68CB984F" w14:textId="77777777" w:rsidR="001D425F" w:rsidRPr="0024659C" w:rsidRDefault="001D425F" w:rsidP="004A4E5D">
            <w:pPr>
              <w:jc w:val="center"/>
              <w:rPr>
                <w:sz w:val="22"/>
                <w:szCs w:val="22"/>
              </w:rPr>
            </w:pPr>
            <w:r w:rsidRPr="0024659C">
              <w:rPr>
                <w:sz w:val="22"/>
                <w:szCs w:val="22"/>
              </w:rPr>
              <w:t>55,45%</w:t>
            </w:r>
          </w:p>
        </w:tc>
      </w:tr>
      <w:tr w:rsidR="001D425F" w:rsidRPr="0024659C" w14:paraId="04EBAF01" w14:textId="77777777" w:rsidTr="004A4E5D">
        <w:tc>
          <w:tcPr>
            <w:tcW w:w="3123" w:type="dxa"/>
          </w:tcPr>
          <w:p w14:paraId="1F28C6D4" w14:textId="77777777" w:rsidR="001D425F" w:rsidRPr="0024659C" w:rsidRDefault="001D425F" w:rsidP="004A4E5D">
            <w:pPr>
              <w:rPr>
                <w:sz w:val="22"/>
                <w:szCs w:val="22"/>
              </w:rPr>
            </w:pPr>
            <w:r w:rsidRPr="0024659C">
              <w:rPr>
                <w:sz w:val="22"/>
                <w:szCs w:val="22"/>
              </w:rPr>
              <w:t>Science as the investigative tools of nature</w:t>
            </w:r>
          </w:p>
        </w:tc>
        <w:tc>
          <w:tcPr>
            <w:tcW w:w="1374" w:type="dxa"/>
          </w:tcPr>
          <w:p w14:paraId="7A607D57" w14:textId="77777777" w:rsidR="001D425F" w:rsidRPr="0024659C" w:rsidRDefault="001D425F" w:rsidP="004A4E5D">
            <w:pPr>
              <w:jc w:val="center"/>
              <w:rPr>
                <w:sz w:val="22"/>
                <w:szCs w:val="22"/>
              </w:rPr>
            </w:pPr>
            <w:r w:rsidRPr="0024659C">
              <w:rPr>
                <w:sz w:val="22"/>
                <w:szCs w:val="22"/>
              </w:rPr>
              <w:t>59,46%</w:t>
            </w:r>
          </w:p>
        </w:tc>
        <w:tc>
          <w:tcPr>
            <w:tcW w:w="1310" w:type="dxa"/>
          </w:tcPr>
          <w:p w14:paraId="62B57A00" w14:textId="77777777" w:rsidR="001D425F" w:rsidRPr="0024659C" w:rsidRDefault="001D425F" w:rsidP="004A4E5D">
            <w:pPr>
              <w:jc w:val="center"/>
              <w:rPr>
                <w:sz w:val="22"/>
                <w:szCs w:val="22"/>
              </w:rPr>
            </w:pPr>
            <w:r w:rsidRPr="0024659C">
              <w:rPr>
                <w:sz w:val="22"/>
                <w:szCs w:val="22"/>
              </w:rPr>
              <w:t>51,51%</w:t>
            </w:r>
          </w:p>
        </w:tc>
        <w:tc>
          <w:tcPr>
            <w:tcW w:w="1901" w:type="dxa"/>
          </w:tcPr>
          <w:p w14:paraId="67163487" w14:textId="77777777" w:rsidR="001D425F" w:rsidRPr="0024659C" w:rsidRDefault="001D425F" w:rsidP="004A4E5D">
            <w:pPr>
              <w:jc w:val="center"/>
              <w:rPr>
                <w:sz w:val="22"/>
                <w:szCs w:val="22"/>
              </w:rPr>
            </w:pPr>
            <w:r w:rsidRPr="0024659C">
              <w:rPr>
                <w:sz w:val="22"/>
                <w:szCs w:val="22"/>
              </w:rPr>
              <w:t>55,33%</w:t>
            </w:r>
          </w:p>
        </w:tc>
        <w:tc>
          <w:tcPr>
            <w:tcW w:w="1418" w:type="dxa"/>
          </w:tcPr>
          <w:p w14:paraId="59EA19C6" w14:textId="77777777" w:rsidR="001D425F" w:rsidRPr="0024659C" w:rsidRDefault="001D425F" w:rsidP="004A4E5D">
            <w:pPr>
              <w:jc w:val="center"/>
              <w:rPr>
                <w:sz w:val="22"/>
                <w:szCs w:val="22"/>
              </w:rPr>
            </w:pPr>
            <w:r w:rsidRPr="0024659C">
              <w:rPr>
                <w:sz w:val="22"/>
                <w:szCs w:val="22"/>
              </w:rPr>
              <w:t>55,05%</w:t>
            </w:r>
          </w:p>
        </w:tc>
      </w:tr>
      <w:tr w:rsidR="001D425F" w:rsidRPr="0024659C" w14:paraId="48D0DF30" w14:textId="77777777" w:rsidTr="004A4E5D">
        <w:tc>
          <w:tcPr>
            <w:tcW w:w="3123" w:type="dxa"/>
          </w:tcPr>
          <w:p w14:paraId="60A56652" w14:textId="77777777" w:rsidR="001D425F" w:rsidRPr="0024659C" w:rsidRDefault="001D425F" w:rsidP="004A4E5D">
            <w:pPr>
              <w:rPr>
                <w:sz w:val="22"/>
                <w:szCs w:val="22"/>
              </w:rPr>
            </w:pPr>
            <w:r w:rsidRPr="0024659C">
              <w:rPr>
                <w:sz w:val="22"/>
                <w:szCs w:val="22"/>
              </w:rPr>
              <w:t>Science as a way of thinking</w:t>
            </w:r>
          </w:p>
        </w:tc>
        <w:tc>
          <w:tcPr>
            <w:tcW w:w="1374" w:type="dxa"/>
          </w:tcPr>
          <w:p w14:paraId="44533107" w14:textId="77777777" w:rsidR="001D425F" w:rsidRPr="0024659C" w:rsidRDefault="001D425F" w:rsidP="004A4E5D">
            <w:pPr>
              <w:jc w:val="center"/>
              <w:rPr>
                <w:sz w:val="22"/>
                <w:szCs w:val="22"/>
              </w:rPr>
            </w:pPr>
            <w:r w:rsidRPr="0024659C">
              <w:rPr>
                <w:sz w:val="22"/>
                <w:szCs w:val="22"/>
              </w:rPr>
              <w:t>60,36%</w:t>
            </w:r>
          </w:p>
        </w:tc>
        <w:tc>
          <w:tcPr>
            <w:tcW w:w="1310" w:type="dxa"/>
          </w:tcPr>
          <w:p w14:paraId="468CC032" w14:textId="77777777" w:rsidR="001D425F" w:rsidRPr="0024659C" w:rsidRDefault="001D425F" w:rsidP="004A4E5D">
            <w:pPr>
              <w:jc w:val="center"/>
              <w:rPr>
                <w:sz w:val="22"/>
                <w:szCs w:val="22"/>
              </w:rPr>
            </w:pPr>
            <w:r w:rsidRPr="0024659C">
              <w:rPr>
                <w:sz w:val="22"/>
                <w:szCs w:val="22"/>
              </w:rPr>
              <w:t>54,90%</w:t>
            </w:r>
          </w:p>
        </w:tc>
        <w:tc>
          <w:tcPr>
            <w:tcW w:w="1901" w:type="dxa"/>
          </w:tcPr>
          <w:p w14:paraId="20B61229" w14:textId="77777777" w:rsidR="001D425F" w:rsidRPr="0024659C" w:rsidRDefault="001D425F" w:rsidP="004A4E5D">
            <w:pPr>
              <w:jc w:val="center"/>
              <w:rPr>
                <w:sz w:val="22"/>
                <w:szCs w:val="22"/>
              </w:rPr>
            </w:pPr>
            <w:r w:rsidRPr="0024659C">
              <w:rPr>
                <w:sz w:val="22"/>
                <w:szCs w:val="22"/>
              </w:rPr>
              <w:t>54,22%</w:t>
            </w:r>
          </w:p>
        </w:tc>
        <w:tc>
          <w:tcPr>
            <w:tcW w:w="1418" w:type="dxa"/>
          </w:tcPr>
          <w:p w14:paraId="03E37A20" w14:textId="77777777" w:rsidR="001D425F" w:rsidRPr="0024659C" w:rsidRDefault="001D425F" w:rsidP="004A4E5D">
            <w:pPr>
              <w:jc w:val="center"/>
              <w:rPr>
                <w:sz w:val="22"/>
                <w:szCs w:val="22"/>
              </w:rPr>
            </w:pPr>
            <w:r w:rsidRPr="0024659C">
              <w:rPr>
                <w:sz w:val="22"/>
                <w:szCs w:val="22"/>
              </w:rPr>
              <w:t>59,41%</w:t>
            </w:r>
          </w:p>
        </w:tc>
      </w:tr>
      <w:tr w:rsidR="001D425F" w:rsidRPr="0024659C" w14:paraId="1A1B5816" w14:textId="77777777" w:rsidTr="004A4E5D">
        <w:tc>
          <w:tcPr>
            <w:tcW w:w="3123" w:type="dxa"/>
          </w:tcPr>
          <w:p w14:paraId="100F0BCF" w14:textId="77777777" w:rsidR="001D425F" w:rsidRPr="0024659C" w:rsidRDefault="001D425F" w:rsidP="004A4E5D">
            <w:pPr>
              <w:rPr>
                <w:sz w:val="22"/>
                <w:szCs w:val="22"/>
              </w:rPr>
            </w:pPr>
            <w:r w:rsidRPr="0024659C">
              <w:rPr>
                <w:sz w:val="22"/>
                <w:szCs w:val="22"/>
              </w:rPr>
              <w:t xml:space="preserve">Interaction of science, environment, </w:t>
            </w:r>
            <w:proofErr w:type="spellStart"/>
            <w:r w:rsidRPr="0024659C">
              <w:rPr>
                <w:sz w:val="22"/>
                <w:szCs w:val="22"/>
              </w:rPr>
              <w:t>technolody</w:t>
            </w:r>
            <w:proofErr w:type="spellEnd"/>
            <w:r w:rsidRPr="0024659C">
              <w:rPr>
                <w:sz w:val="22"/>
                <w:szCs w:val="22"/>
              </w:rPr>
              <w:t xml:space="preserve"> and society</w:t>
            </w:r>
          </w:p>
        </w:tc>
        <w:tc>
          <w:tcPr>
            <w:tcW w:w="1374" w:type="dxa"/>
          </w:tcPr>
          <w:p w14:paraId="2C44AFBC" w14:textId="77777777" w:rsidR="001D425F" w:rsidRPr="0024659C" w:rsidRDefault="001D425F" w:rsidP="004A4E5D">
            <w:pPr>
              <w:jc w:val="center"/>
              <w:rPr>
                <w:sz w:val="22"/>
                <w:szCs w:val="22"/>
              </w:rPr>
            </w:pPr>
            <w:r w:rsidRPr="0024659C">
              <w:rPr>
                <w:sz w:val="22"/>
                <w:szCs w:val="22"/>
              </w:rPr>
              <w:t>58,78%</w:t>
            </w:r>
          </w:p>
        </w:tc>
        <w:tc>
          <w:tcPr>
            <w:tcW w:w="1310" w:type="dxa"/>
          </w:tcPr>
          <w:p w14:paraId="6216873A" w14:textId="77777777" w:rsidR="001D425F" w:rsidRPr="0024659C" w:rsidRDefault="001D425F" w:rsidP="004A4E5D">
            <w:pPr>
              <w:jc w:val="center"/>
              <w:rPr>
                <w:sz w:val="22"/>
                <w:szCs w:val="22"/>
              </w:rPr>
            </w:pPr>
            <w:r w:rsidRPr="0024659C">
              <w:rPr>
                <w:sz w:val="22"/>
                <w:szCs w:val="22"/>
              </w:rPr>
              <w:t>51,47%</w:t>
            </w:r>
          </w:p>
        </w:tc>
        <w:tc>
          <w:tcPr>
            <w:tcW w:w="1901" w:type="dxa"/>
          </w:tcPr>
          <w:p w14:paraId="154EA44C" w14:textId="77777777" w:rsidR="001D425F" w:rsidRPr="0024659C" w:rsidRDefault="001D425F" w:rsidP="004A4E5D">
            <w:pPr>
              <w:jc w:val="center"/>
              <w:rPr>
                <w:sz w:val="22"/>
                <w:szCs w:val="22"/>
              </w:rPr>
            </w:pPr>
            <w:r w:rsidRPr="0024659C">
              <w:rPr>
                <w:sz w:val="22"/>
                <w:szCs w:val="22"/>
              </w:rPr>
              <w:t>61,67%</w:t>
            </w:r>
          </w:p>
          <w:p w14:paraId="0501C47D" w14:textId="77777777" w:rsidR="001D425F" w:rsidRPr="0024659C" w:rsidRDefault="001D425F" w:rsidP="004A4E5D">
            <w:pPr>
              <w:jc w:val="center"/>
              <w:rPr>
                <w:sz w:val="22"/>
                <w:szCs w:val="22"/>
              </w:rPr>
            </w:pPr>
          </w:p>
        </w:tc>
        <w:tc>
          <w:tcPr>
            <w:tcW w:w="1418" w:type="dxa"/>
          </w:tcPr>
          <w:p w14:paraId="2FDBB0D3" w14:textId="77777777" w:rsidR="001D425F" w:rsidRPr="0024659C" w:rsidRDefault="001D425F" w:rsidP="004A4E5D">
            <w:pPr>
              <w:jc w:val="center"/>
              <w:rPr>
                <w:sz w:val="22"/>
                <w:szCs w:val="22"/>
              </w:rPr>
            </w:pPr>
            <w:r w:rsidRPr="0024659C">
              <w:rPr>
                <w:sz w:val="22"/>
                <w:szCs w:val="22"/>
              </w:rPr>
              <w:t>57,18%</w:t>
            </w:r>
          </w:p>
        </w:tc>
      </w:tr>
      <w:tr w:rsidR="001D425F" w:rsidRPr="0024659C" w14:paraId="641C3ACC" w14:textId="77777777" w:rsidTr="004A4E5D">
        <w:tc>
          <w:tcPr>
            <w:tcW w:w="3123" w:type="dxa"/>
          </w:tcPr>
          <w:p w14:paraId="260EF7C5" w14:textId="77777777" w:rsidR="001D425F" w:rsidRPr="0024659C" w:rsidRDefault="001D425F" w:rsidP="004A4E5D">
            <w:pPr>
              <w:rPr>
                <w:sz w:val="22"/>
                <w:szCs w:val="22"/>
              </w:rPr>
            </w:pPr>
            <w:r w:rsidRPr="0024659C">
              <w:rPr>
                <w:sz w:val="22"/>
                <w:szCs w:val="22"/>
              </w:rPr>
              <w:t xml:space="preserve">Rata-rata </w:t>
            </w:r>
          </w:p>
        </w:tc>
        <w:tc>
          <w:tcPr>
            <w:tcW w:w="1374" w:type="dxa"/>
          </w:tcPr>
          <w:p w14:paraId="274407C0" w14:textId="77777777" w:rsidR="001D425F" w:rsidRPr="0024659C" w:rsidRDefault="001D425F" w:rsidP="004A4E5D">
            <w:pPr>
              <w:jc w:val="center"/>
              <w:rPr>
                <w:sz w:val="22"/>
                <w:szCs w:val="22"/>
              </w:rPr>
            </w:pPr>
            <w:r w:rsidRPr="0024659C">
              <w:rPr>
                <w:sz w:val="22"/>
                <w:szCs w:val="22"/>
              </w:rPr>
              <w:t>58,50%</w:t>
            </w:r>
          </w:p>
        </w:tc>
        <w:tc>
          <w:tcPr>
            <w:tcW w:w="1310" w:type="dxa"/>
          </w:tcPr>
          <w:p w14:paraId="77EA19A7" w14:textId="77777777" w:rsidR="001D425F" w:rsidRPr="0024659C" w:rsidRDefault="001D425F" w:rsidP="004A4E5D">
            <w:pPr>
              <w:jc w:val="center"/>
              <w:rPr>
                <w:sz w:val="22"/>
                <w:szCs w:val="22"/>
              </w:rPr>
            </w:pPr>
            <w:r w:rsidRPr="0024659C">
              <w:rPr>
                <w:sz w:val="22"/>
                <w:szCs w:val="22"/>
              </w:rPr>
              <w:t>51,42%</w:t>
            </w:r>
          </w:p>
        </w:tc>
        <w:tc>
          <w:tcPr>
            <w:tcW w:w="1901" w:type="dxa"/>
          </w:tcPr>
          <w:p w14:paraId="6AE711C1" w14:textId="77777777" w:rsidR="001D425F" w:rsidRPr="0024659C" w:rsidRDefault="001D425F" w:rsidP="004A4E5D">
            <w:pPr>
              <w:jc w:val="center"/>
              <w:rPr>
                <w:sz w:val="22"/>
                <w:szCs w:val="22"/>
              </w:rPr>
            </w:pPr>
            <w:r w:rsidRPr="0024659C">
              <w:rPr>
                <w:sz w:val="22"/>
                <w:szCs w:val="22"/>
              </w:rPr>
              <w:t>58,85%</w:t>
            </w:r>
          </w:p>
        </w:tc>
        <w:tc>
          <w:tcPr>
            <w:tcW w:w="1418" w:type="dxa"/>
          </w:tcPr>
          <w:p w14:paraId="3DA0FD25" w14:textId="77777777" w:rsidR="001D425F" w:rsidRPr="0024659C" w:rsidRDefault="001D425F" w:rsidP="004A4E5D">
            <w:pPr>
              <w:jc w:val="center"/>
              <w:rPr>
                <w:sz w:val="22"/>
                <w:szCs w:val="22"/>
              </w:rPr>
            </w:pPr>
            <w:r w:rsidRPr="0024659C">
              <w:rPr>
                <w:sz w:val="22"/>
                <w:szCs w:val="22"/>
              </w:rPr>
              <w:t>56,77%</w:t>
            </w:r>
          </w:p>
        </w:tc>
      </w:tr>
    </w:tbl>
    <w:p w14:paraId="2A089374" w14:textId="77777777" w:rsidR="001D425F" w:rsidRPr="00517857" w:rsidRDefault="001D425F" w:rsidP="001D425F">
      <w:pPr>
        <w:jc w:val="both"/>
        <w:rPr>
          <w:sz w:val="20"/>
        </w:rPr>
      </w:pPr>
    </w:p>
    <w:p w14:paraId="260D9FD6" w14:textId="77777777" w:rsidR="001D425F" w:rsidRPr="0024659C" w:rsidRDefault="001D425F" w:rsidP="002D0149">
      <w:pPr>
        <w:jc w:val="both"/>
        <w:rPr>
          <w:sz w:val="22"/>
          <w:szCs w:val="22"/>
        </w:rPr>
      </w:pPr>
      <w:bookmarkStart w:id="0" w:name="_Hlk35195685"/>
      <w:r w:rsidRPr="0024659C">
        <w:rPr>
          <w:sz w:val="22"/>
          <w:szCs w:val="22"/>
        </w:rPr>
        <w:t xml:space="preserve">The average of students who answered correctly from 19 test items overall was only 56.77% with students of SMKN 26 Jakarta at 58.50%, SMKN 35 Jakarta at 51.42% and SMKN 1 </w:t>
      </w:r>
      <w:proofErr w:type="spellStart"/>
      <w:r w:rsidRPr="0024659C">
        <w:rPr>
          <w:sz w:val="22"/>
          <w:szCs w:val="22"/>
        </w:rPr>
        <w:t>Kemang</w:t>
      </w:r>
      <w:proofErr w:type="spellEnd"/>
      <w:r w:rsidRPr="0024659C">
        <w:rPr>
          <w:sz w:val="22"/>
          <w:szCs w:val="22"/>
        </w:rPr>
        <w:t xml:space="preserve"> Bogor at 58.85%. If it is assumed that the minimum assessment standard is 70%, the results above indicate that none of the SMKs can meet the minimum standard. Likewise, if elaborated further per indicator, there is no one indicator that can be met by SMKN in Jakarta and Bogor. In fact, the SMKs taken as samples can be said to be quite good in terms of academic achievement at the provincial and national levels. That is, it can be concluded that the majority of class X vocational students do not have good scientific literacy.</w:t>
      </w:r>
    </w:p>
    <w:p w14:paraId="7E6F48FA" w14:textId="77777777" w:rsidR="002D0149" w:rsidRDefault="002D0149" w:rsidP="002D0149">
      <w:pPr>
        <w:jc w:val="both"/>
        <w:rPr>
          <w:sz w:val="22"/>
          <w:szCs w:val="22"/>
        </w:rPr>
      </w:pPr>
    </w:p>
    <w:p w14:paraId="73B98E49" w14:textId="7CFFDA86" w:rsidR="001D425F" w:rsidRPr="0024659C" w:rsidRDefault="001D425F" w:rsidP="002D0149">
      <w:pPr>
        <w:jc w:val="both"/>
        <w:rPr>
          <w:sz w:val="22"/>
          <w:szCs w:val="22"/>
        </w:rPr>
      </w:pPr>
      <w:r w:rsidRPr="0024659C">
        <w:rPr>
          <w:sz w:val="22"/>
          <w:szCs w:val="22"/>
        </w:rPr>
        <w:t xml:space="preserve">Overall, the proportion of students at SMKN 26 Jakarta can answer correctly at 58.50%. If parsed per indicator the proportion answered correctly on the Science as the body of knowledge indicator is 55.41%, the Science as the investigative tools of nature indicator is 59.46%, the Science as a way of thinking indicator is 60.36% and the Interaction indicator of science, environment, technology, and society is 58.78%. The condition is not much different from the results in SMKN 35 Jakarta with the proportion of students answering correctly at 51.42%. If parsed per indicator the proportion answered correctly on the Science as the body of knowledge indicator is 47.79%, the Science as the investigative tools of nature indicator is 51.51%, the Science as a way of thinking indicator is 54.90% and the Interaction indicator of science, environment, technology, and society is 51.47%. Whereas in SMKN 1 </w:t>
      </w:r>
      <w:proofErr w:type="spellStart"/>
      <w:r w:rsidRPr="0024659C">
        <w:rPr>
          <w:sz w:val="22"/>
          <w:szCs w:val="22"/>
        </w:rPr>
        <w:t>Kemang</w:t>
      </w:r>
      <w:proofErr w:type="spellEnd"/>
      <w:r w:rsidRPr="0024659C">
        <w:rPr>
          <w:sz w:val="22"/>
          <w:szCs w:val="22"/>
        </w:rPr>
        <w:t xml:space="preserve"> Bogor the proportion of students answering correctly was 58.85%. If parsed per indicator the proportion answered correctly on the Science as the body of knowledge indicator is 64.71%, the Science as the investigative tools of nature indicator is 55.33%, the Science as a way of thinking indicator is 54.67% and the Interaction indicator of science, environment, technology, and society is 61.67%.</w:t>
      </w:r>
    </w:p>
    <w:p w14:paraId="20972F4A" w14:textId="77777777" w:rsidR="002D0149" w:rsidRDefault="002D0149" w:rsidP="002D0149">
      <w:pPr>
        <w:jc w:val="both"/>
        <w:rPr>
          <w:sz w:val="22"/>
          <w:szCs w:val="22"/>
        </w:rPr>
      </w:pPr>
    </w:p>
    <w:p w14:paraId="3094738B" w14:textId="0E4FA5C5" w:rsidR="001D425F" w:rsidRPr="0024659C" w:rsidRDefault="001D425F" w:rsidP="002D0149">
      <w:pPr>
        <w:jc w:val="both"/>
        <w:rPr>
          <w:sz w:val="22"/>
          <w:szCs w:val="22"/>
        </w:rPr>
      </w:pPr>
      <w:r w:rsidRPr="0024659C">
        <w:rPr>
          <w:sz w:val="22"/>
          <w:szCs w:val="22"/>
        </w:rPr>
        <w:t xml:space="preserve">The above conditions at the same time confirm the 2018 PISA report </w:t>
      </w:r>
      <w:r w:rsidRPr="0024659C">
        <w:rPr>
          <w:sz w:val="22"/>
          <w:szCs w:val="22"/>
        </w:rPr>
        <w:fldChar w:fldCharType="begin" w:fldLock="1"/>
      </w:r>
      <w:r w:rsidRPr="0024659C">
        <w:rPr>
          <w:sz w:val="22"/>
          <w:szCs w:val="22"/>
        </w:rPr>
        <w:instrText>ADDIN CSL_CITATION {"citationItems":[{"id":"ITEM-1","itemData":{"ISBN":"9789264541887","author":[{"dropping-particle":"","family":"OECD","given":"","non-dropping-particle":"","parse-names":false,"suffix":""}],"id":"ITEM-1","issued":{"date-parts":[["2019"]]},"number-of-pages":"2018-2020","publisher":"OECD","publisher-place":"Paris","title":"OECD Multilingual Summaries PISA 2018 Results What Students Know and Can Do Hasil PISA 2018 (Volume I)","type":"book"},"uris":["http://www.mendeley.com/documents/?uuid=3a0b1fb1-4ec1-4497-b61b-d1dff76ef4f1"]}],"mendeley":{"formattedCitation":"[35]","plainTextFormattedCitation":"[35]","previouslyFormattedCitation":"[35]"},"properties":{"noteIndex":0},"schema":"https://github.com/citation-style-language/schema/raw/master/csl-citation.json"}</w:instrText>
      </w:r>
      <w:r w:rsidRPr="0024659C">
        <w:rPr>
          <w:sz w:val="22"/>
          <w:szCs w:val="22"/>
        </w:rPr>
        <w:fldChar w:fldCharType="separate"/>
      </w:r>
      <w:r w:rsidRPr="0024659C">
        <w:rPr>
          <w:noProof/>
          <w:sz w:val="22"/>
          <w:szCs w:val="22"/>
        </w:rPr>
        <w:t>[35]</w:t>
      </w:r>
      <w:r w:rsidRPr="0024659C">
        <w:rPr>
          <w:sz w:val="22"/>
          <w:szCs w:val="22"/>
        </w:rPr>
        <w:fldChar w:fldCharType="end"/>
      </w:r>
      <w:r w:rsidRPr="0024659C">
        <w:rPr>
          <w:sz w:val="22"/>
          <w:szCs w:val="22"/>
        </w:rPr>
        <w:t xml:space="preserve">, because students who were sampled in 2018 are currently sitting in class X of SMK. This result raises the suspicion that the cluster of junior high school outputs that become input for vocational high schools is a group with very weak </w:t>
      </w:r>
      <w:r w:rsidRPr="0024659C">
        <w:rPr>
          <w:sz w:val="22"/>
          <w:szCs w:val="22"/>
        </w:rPr>
        <w:lastRenderedPageBreak/>
        <w:t>scientific literacy. This means that input from construction and property vocational schools in Jakarta and Bogor is suspected to come from a cluster of junior high school students who have very weak scientific literacy. There are also junior high school students from clusters whose scientific literacy is weak, and the average is not entered vocational School on this skill competency or may be an input for high school.</w:t>
      </w:r>
      <w:bookmarkEnd w:id="0"/>
      <w:r w:rsidRPr="0024659C">
        <w:rPr>
          <w:sz w:val="22"/>
          <w:szCs w:val="22"/>
        </w:rPr>
        <w:t xml:space="preserve"> </w:t>
      </w:r>
    </w:p>
    <w:p w14:paraId="4304A2DB" w14:textId="77777777" w:rsidR="002D0149" w:rsidRDefault="002D0149" w:rsidP="002D0149">
      <w:pPr>
        <w:jc w:val="both"/>
        <w:rPr>
          <w:sz w:val="22"/>
          <w:szCs w:val="22"/>
        </w:rPr>
      </w:pPr>
    </w:p>
    <w:p w14:paraId="4A215A10" w14:textId="62FDF09D" w:rsidR="001D425F" w:rsidRPr="0024659C" w:rsidRDefault="001D425F" w:rsidP="002D0149">
      <w:pPr>
        <w:jc w:val="both"/>
        <w:rPr>
          <w:sz w:val="22"/>
          <w:szCs w:val="22"/>
        </w:rPr>
      </w:pPr>
      <w:r w:rsidRPr="0024659C">
        <w:rPr>
          <w:sz w:val="22"/>
          <w:szCs w:val="22"/>
        </w:rPr>
        <w:t xml:space="preserve">The description of the results brings up something unique, SMKN students in Jakarta are on an overall average and per indicator lower than SMK students in Bogor. If the results are broken down per indicator of SMKN students in Jakarta, they are stronger in the Science as a way of thinking indicator and weakest in the Science as the body of knowledge indicator. In contrast, the SMKN in Bogor is the strongest in the Science as the body of knowledge indicator and the weakest in the Science as a way of thinking indicator. This condition also raises the suspicion that SMKN in Jakarta is more focused on ways of thinking and SMKN in Bogor is more focused on knowledge. </w:t>
      </w:r>
    </w:p>
    <w:p w14:paraId="2C82F282" w14:textId="77777777" w:rsidR="002D0149" w:rsidRDefault="002D0149" w:rsidP="002D0149">
      <w:pPr>
        <w:jc w:val="both"/>
        <w:rPr>
          <w:sz w:val="22"/>
          <w:szCs w:val="22"/>
        </w:rPr>
      </w:pPr>
    </w:p>
    <w:p w14:paraId="7C88E4FC" w14:textId="23E89403" w:rsidR="001D425F" w:rsidRPr="0024659C" w:rsidRDefault="001D425F" w:rsidP="002D0149">
      <w:pPr>
        <w:jc w:val="both"/>
        <w:rPr>
          <w:sz w:val="22"/>
          <w:szCs w:val="22"/>
        </w:rPr>
      </w:pPr>
      <w:r w:rsidRPr="0024659C">
        <w:rPr>
          <w:sz w:val="22"/>
          <w:szCs w:val="22"/>
        </w:rPr>
        <w:t>The data above also shows that in the Interaction of science, environment, technology and society indicators, the SMK in Bogor is also stronger than the SMK in Jakarta. In fact, SMK in Jakarta has better supporting facilities and teachers.</w:t>
      </w:r>
      <w:r w:rsidRPr="0024659C">
        <w:rPr>
          <w:sz w:val="22"/>
          <w:szCs w:val="22"/>
        </w:rPr>
        <w:fldChar w:fldCharType="begin" w:fldLock="1"/>
      </w:r>
      <w:r w:rsidRPr="0024659C">
        <w:rPr>
          <w:sz w:val="22"/>
          <w:szCs w:val="22"/>
        </w:rPr>
        <w:instrText>ADDIN CSL_CITATION {"citationItems":[{"id":"ITEM-1","itemData":{"ISSN":"2528-4339","abstract":"National education standards is a means to ensure the quality of educational services. School administrators must fulfill minimum standards in helping students to achieve learning target. The purpose of this study was to determine the achievement of national education standards and the extent to which they contribute to eight national education standards towards the learning achievement of high school students. The research method is a survey. The results showed that first, among the achievement of eight national education standards, educational facilities and infrastructures standards, process standards competency standards and education professional standards were considered low. Second, the eight national education standards contribute less significant to student national examination score. This means that successful learning achievement is determined by other factors, both internal and external, such as motivation, interest, parental background, school environment. From the eight standards, teacher","author":[{"dropping-particle":"","family":"Raharjo","given":"Sabar Budi","non-dropping-particle":"","parse-names":false,"suffix":""}],"container-title":"Jurnal Pendidikan dan Kebudayaan","id":"ITEM-1","issue":"4","issued":{"date-parts":[["2014"]]},"page":"470-482","title":"Kontribusi Delapan Standar Nasional Pendidikan Terhadap Pencapaian Prestasi Belajar","type":"article-journal","volume":"20"},"uris":["http://www.mendeley.com/documents/?uuid=409080d1-77ee-495f-a9b0-61c6fdde5ed6"]}],"mendeley":{"formattedCitation":"[36]","plainTextFormattedCitation":"[36]","previouslyFormattedCitation":"[36]"},"properties":{"noteIndex":0},"schema":"https://github.com/citation-style-language/schema/raw/master/csl-citation.json"}</w:instrText>
      </w:r>
      <w:r w:rsidRPr="0024659C">
        <w:rPr>
          <w:sz w:val="22"/>
          <w:szCs w:val="22"/>
        </w:rPr>
        <w:fldChar w:fldCharType="separate"/>
      </w:r>
      <w:r w:rsidRPr="0024659C">
        <w:rPr>
          <w:noProof/>
          <w:sz w:val="22"/>
          <w:szCs w:val="22"/>
        </w:rPr>
        <w:t>[36]</w:t>
      </w:r>
      <w:r w:rsidRPr="0024659C">
        <w:rPr>
          <w:sz w:val="22"/>
          <w:szCs w:val="22"/>
        </w:rPr>
        <w:fldChar w:fldCharType="end"/>
      </w:r>
      <w:r w:rsidRPr="0024659C">
        <w:rPr>
          <w:sz w:val="22"/>
          <w:szCs w:val="22"/>
        </w:rPr>
        <w:t xml:space="preserve"> Even when the research was carried out by PNS teachers on the competence of construction and property expertise at SMK 1 </w:t>
      </w:r>
      <w:proofErr w:type="spellStart"/>
      <w:r w:rsidRPr="0024659C">
        <w:rPr>
          <w:sz w:val="22"/>
          <w:szCs w:val="22"/>
        </w:rPr>
        <w:t>Kemang</w:t>
      </w:r>
      <w:proofErr w:type="spellEnd"/>
      <w:r w:rsidRPr="0024659C">
        <w:rPr>
          <w:sz w:val="22"/>
          <w:szCs w:val="22"/>
        </w:rPr>
        <w:t xml:space="preserve"> Bogor, only 1 person remained the honorary teacher and was still considered a millennial generation (young teacher). Unlike the 26 and 35 SMKN which have more than 3 PNS teachers with an average teaching experience of more than 10 years (senior teachers). </w:t>
      </w:r>
    </w:p>
    <w:p w14:paraId="70229E21" w14:textId="77777777" w:rsidR="002D0149" w:rsidRDefault="002D0149" w:rsidP="002D0149">
      <w:pPr>
        <w:jc w:val="both"/>
        <w:rPr>
          <w:sz w:val="22"/>
          <w:szCs w:val="22"/>
        </w:rPr>
      </w:pPr>
    </w:p>
    <w:p w14:paraId="14EB5978" w14:textId="202695D3" w:rsidR="00652442" w:rsidRPr="00BC1FAD" w:rsidRDefault="001D425F" w:rsidP="00BC1FAD">
      <w:pPr>
        <w:spacing w:after="240"/>
        <w:jc w:val="both"/>
        <w:rPr>
          <w:sz w:val="22"/>
          <w:szCs w:val="22"/>
        </w:rPr>
      </w:pPr>
      <w:r w:rsidRPr="0024659C">
        <w:rPr>
          <w:sz w:val="22"/>
          <w:szCs w:val="22"/>
        </w:rPr>
        <w:t>On the other hand, if examined further related to the instruments used, there are unique things. Instrument items used are classified as very common. Materially, this scientific literacy instrument still covers things that discuss science subjects and does not reflect vocational material, especially competency in construction and property expertise. Very open possibility, under one of the factors causing the low scientific literacy of vocational students in this study lies in that section. Therefore, a more specific item is needed which animates most of the vocational students' competencies. One of the liveliest subjects is mechanical mechanics. Mechanical mechanics is a field of physics that studies the behavior of forces acting on a structure.</w:t>
      </w:r>
      <w:r w:rsidRPr="0024659C">
        <w:rPr>
          <w:sz w:val="22"/>
          <w:szCs w:val="22"/>
        </w:rPr>
        <w:fldChar w:fldCharType="begin" w:fldLock="1"/>
      </w:r>
      <w:r w:rsidRPr="0024659C">
        <w:rPr>
          <w:sz w:val="22"/>
          <w:szCs w:val="22"/>
        </w:rPr>
        <w:instrText>ADDIN CSL_CITATION {"citationItems":[{"id":"ITEM-1","itemData":{"author":[{"dropping-particle":"","family":"Wardoyo Tunggul Cipto","given":"Tri","non-dropping-particle":"","parse-names":false,"suffix":""}],"container-title":"E-Journal Pendidikan Teknik Sipil Dan Perencanaan","id":"ITEM-1","issue":"3","issued":{"date-parts":[["2015"]]},"page":"1-7","title":"Pengembangan Media Pembelajaran Berbasis Video Animasi Pada Mata Pelajaran Mekanika Teknik di SMKN 1 Purworejo","type":"article-journal","volume":"3"},"uris":["http://www.mendeley.com/documents/?uuid=3f8ae516-a70b-43db-872d-46498f934235"]}],"mendeley":{"formattedCitation":"[37]","plainTextFormattedCitation":"[37]","previouslyFormattedCitation":"[37]"},"properties":{"noteIndex":0},"schema":"https://github.com/citation-style-language/schema/raw/master/csl-citation.json"}</w:instrText>
      </w:r>
      <w:r w:rsidRPr="0024659C">
        <w:rPr>
          <w:sz w:val="22"/>
          <w:szCs w:val="22"/>
        </w:rPr>
        <w:fldChar w:fldCharType="separate"/>
      </w:r>
      <w:r w:rsidRPr="0024659C">
        <w:rPr>
          <w:noProof/>
          <w:sz w:val="22"/>
          <w:szCs w:val="22"/>
        </w:rPr>
        <w:t>[37]</w:t>
      </w:r>
      <w:r w:rsidRPr="0024659C">
        <w:rPr>
          <w:sz w:val="22"/>
          <w:szCs w:val="22"/>
        </w:rPr>
        <w:fldChar w:fldCharType="end"/>
      </w:r>
      <w:r w:rsidRPr="0024659C">
        <w:rPr>
          <w:sz w:val="22"/>
          <w:szCs w:val="22"/>
        </w:rPr>
        <w:t xml:space="preserve"> Mechanical mechanics is a subject that contributes so much to the field of construction </w:t>
      </w:r>
      <w:r w:rsidRPr="0024659C">
        <w:rPr>
          <w:sz w:val="22"/>
          <w:szCs w:val="22"/>
        </w:rPr>
        <w:fldChar w:fldCharType="begin" w:fldLock="1"/>
      </w:r>
      <w:r w:rsidRPr="0024659C">
        <w:rPr>
          <w:sz w:val="22"/>
          <w:szCs w:val="22"/>
        </w:rPr>
        <w:instrText>ADDIN CSL_CITATION {"citationItems":[{"id":"ITEM-1","itemData":{"abstract":"Penelitian ini bertujuan untuk mengetahui hubungan efikasi diri terhadap kemampuan berpikir tingkat tinggi siswa sekolah menengah kejuruan program keahlian teknik bangunan. Permasalahan yang dibahas dalam penelitian ini adalah apakah ada hubungan antara efikasi diri terhadap kemampuan berpikir tingkat tinggi siswa Sekolah Menengah Kejuruan (SMK), dalam hal ini program keahlian teknik bangunan. Tempat penelitian yang dilakukan di SMK Negeri 4, SMK Negeri 26, SMK Negeri 56 Jakarta ini melibatkan 90 siswa kelas XI program keahlian Teknik Bangunan yang terdiri dari 3 kelas yaitu: kelas XI TKBB SMK Negeri 4, XI TGB SMK Negeri 26, XI TGB SMK Negeri 56 dengan sampel penelitian berjumlah 30 siswa. Metode yang digunakan dalam penelitian ini adalah metode survey dengan pendekatan kuantitatif. Teknik analisis data yang digunakan adalah teknik analisis regresi dan analisis korelasi. Hasil penelitian menunjukan bahwa : Terdapat hubungan antara efikasi diri terhadap kemampuan berpikir tingkat tinggi siswa yang dibuktikan dengan nilai thitung lebih besar dari ttabel sebesar 2,395 &gt; 1,671 dan signifikansi koefisien korelasi sebesar 0,300, dalam artian memiliki kontribusi tergolong rendah.","author":[{"dropping-particle":"","family":"Basito","given":"Martin Daniel","non-dropping-particle":"","parse-names":false,"suffix":""},{"dropping-particle":"","family":"Arthur","given":"Riyan","non-dropping-particle":"","parse-names":false,"suffix":""},{"dropping-particle":"","family":"Daryati","given":"Daryati","non-dropping-particle":"","parse-names":false,"suffix":""}],"container-title":"Jurnal Pensil","id":"ITEM-1","issue":"1","issued":{"date-parts":[["2018"]]},"page":"1-14","title":"Hubungan Efikasi Diri terhadap Kemampuan Berpikir Tingkat Tinggi Siswa SMK Program Keahlian Teknik Bangunan pada Mata Pelajaran Mekanika Teknik","type":"article-journal","volume":"7"},"uris":["http://www.mendeley.com/documents/?uuid=a4380d37-532b-4168-a958-a0f83876d160"]}],"mendeley":{"formattedCitation":"[38]","plainTextFormattedCitation":"[38]","previouslyFormattedCitation":"[38]"},"properties":{"noteIndex":0},"schema":"https://github.com/citation-style-language/schema/raw/master/csl-citation.json"}</w:instrText>
      </w:r>
      <w:r w:rsidRPr="0024659C">
        <w:rPr>
          <w:sz w:val="22"/>
          <w:szCs w:val="22"/>
        </w:rPr>
        <w:fldChar w:fldCharType="separate"/>
      </w:r>
      <w:r w:rsidRPr="0024659C">
        <w:rPr>
          <w:noProof/>
          <w:sz w:val="22"/>
          <w:szCs w:val="22"/>
        </w:rPr>
        <w:t>[38]</w:t>
      </w:r>
      <w:r w:rsidRPr="0024659C">
        <w:rPr>
          <w:sz w:val="22"/>
          <w:szCs w:val="22"/>
        </w:rPr>
        <w:fldChar w:fldCharType="end"/>
      </w:r>
      <w:r w:rsidRPr="0024659C">
        <w:rPr>
          <w:sz w:val="22"/>
          <w:szCs w:val="22"/>
        </w:rPr>
        <w:t>. Therefore, it is important to recommend developing a mechanical science literacy instrument for vocational students’ competency in construction and property skills.</w:t>
      </w:r>
    </w:p>
    <w:p w14:paraId="23D40592" w14:textId="482C3BD2" w:rsidR="00652442" w:rsidRPr="00BC1FAD" w:rsidRDefault="00BC1FAD" w:rsidP="00BC1FAD">
      <w:pPr>
        <w:pStyle w:val="ListParagraph"/>
        <w:numPr>
          <w:ilvl w:val="0"/>
          <w:numId w:val="46"/>
        </w:numPr>
        <w:spacing w:after="240"/>
        <w:ind w:left="426" w:hanging="426"/>
        <w:rPr>
          <w:b/>
          <w:bCs/>
          <w:caps/>
          <w:sz w:val="20"/>
        </w:rPr>
      </w:pPr>
      <w:r w:rsidRPr="00BC1FAD">
        <w:rPr>
          <w:b/>
          <w:bCs/>
          <w:sz w:val="22"/>
          <w:szCs w:val="18"/>
        </w:rPr>
        <w:t>References</w:t>
      </w:r>
      <w:r w:rsidR="00652442" w:rsidRPr="00BC1FAD">
        <w:rPr>
          <w:b/>
          <w:bCs/>
        </w:rPr>
        <w:t xml:space="preserve"> </w:t>
      </w:r>
    </w:p>
    <w:p w14:paraId="17E675A1"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sz w:val="22"/>
          <w:szCs w:val="22"/>
        </w:rPr>
        <w:fldChar w:fldCharType="begin" w:fldLock="1"/>
      </w:r>
      <w:r w:rsidRPr="00BC1FAD">
        <w:rPr>
          <w:sz w:val="22"/>
          <w:szCs w:val="22"/>
        </w:rPr>
        <w:instrText xml:space="preserve">ADDIN Mendeley Bibliography CSL_BIBLIOGRAPHY </w:instrText>
      </w:r>
      <w:r w:rsidRPr="00BC1FAD">
        <w:rPr>
          <w:sz w:val="22"/>
          <w:szCs w:val="22"/>
        </w:rPr>
        <w:fldChar w:fldCharType="separate"/>
      </w:r>
      <w:r w:rsidRPr="00BC1FAD">
        <w:rPr>
          <w:noProof/>
          <w:sz w:val="22"/>
          <w:szCs w:val="22"/>
        </w:rPr>
        <w:t>[1]</w:t>
      </w:r>
      <w:r w:rsidRPr="00BC1FAD">
        <w:rPr>
          <w:noProof/>
          <w:sz w:val="22"/>
          <w:szCs w:val="22"/>
        </w:rPr>
        <w:tab/>
        <w:t xml:space="preserve">Kemendikbud, </w:t>
      </w:r>
      <w:r w:rsidRPr="00BC1FAD">
        <w:rPr>
          <w:i/>
          <w:iCs/>
          <w:noProof/>
          <w:sz w:val="22"/>
          <w:szCs w:val="22"/>
        </w:rPr>
        <w:t>Materi Pendukung Literasi Sains</w:t>
      </w:r>
      <w:r w:rsidRPr="00BC1FAD">
        <w:rPr>
          <w:noProof/>
          <w:sz w:val="22"/>
          <w:szCs w:val="22"/>
        </w:rPr>
        <w:t>. 2017.</w:t>
      </w:r>
    </w:p>
    <w:p w14:paraId="7F3B4ED1"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w:t>
      </w:r>
      <w:r w:rsidRPr="00BC1FAD">
        <w:rPr>
          <w:noProof/>
          <w:sz w:val="22"/>
          <w:szCs w:val="22"/>
        </w:rPr>
        <w:tab/>
        <w:t xml:space="preserve">S. Sutjipto, “Perancangan Kurikulum Sekolah Menengah Kejuruan Sebagai Pranata Budaya Kerja,” </w:t>
      </w:r>
      <w:r w:rsidRPr="00BC1FAD">
        <w:rPr>
          <w:i/>
          <w:iCs/>
          <w:noProof/>
          <w:sz w:val="22"/>
          <w:szCs w:val="22"/>
        </w:rPr>
        <w:t>J. Pendidik. dan Kebud.</w:t>
      </w:r>
      <w:r w:rsidRPr="00BC1FAD">
        <w:rPr>
          <w:noProof/>
          <w:sz w:val="22"/>
          <w:szCs w:val="22"/>
        </w:rPr>
        <w:t>, vol. 4, no. 1, pp. 102–126, 2019.</w:t>
      </w:r>
    </w:p>
    <w:p w14:paraId="214BA402"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w:t>
      </w:r>
      <w:r w:rsidRPr="00BC1FAD">
        <w:rPr>
          <w:noProof/>
          <w:sz w:val="22"/>
          <w:szCs w:val="22"/>
        </w:rPr>
        <w:tab/>
        <w:t xml:space="preserve">J. H. Falk </w:t>
      </w:r>
      <w:r w:rsidRPr="00BC1FAD">
        <w:rPr>
          <w:i/>
          <w:iCs/>
          <w:noProof/>
          <w:sz w:val="22"/>
          <w:szCs w:val="22"/>
        </w:rPr>
        <w:t>et al.</w:t>
      </w:r>
      <w:r w:rsidRPr="00BC1FAD">
        <w:rPr>
          <w:noProof/>
          <w:sz w:val="22"/>
          <w:szCs w:val="22"/>
        </w:rPr>
        <w:t xml:space="preserve">, “Correlating Science Center Use With Adult Science Literacy: An International, Cross-Institutional Study,” </w:t>
      </w:r>
      <w:r w:rsidRPr="00BC1FAD">
        <w:rPr>
          <w:i/>
          <w:iCs/>
          <w:noProof/>
          <w:sz w:val="22"/>
          <w:szCs w:val="22"/>
        </w:rPr>
        <w:t>Sci. Educ.</w:t>
      </w:r>
      <w:r w:rsidRPr="00BC1FAD">
        <w:rPr>
          <w:noProof/>
          <w:sz w:val="22"/>
          <w:szCs w:val="22"/>
        </w:rPr>
        <w:t>, vol. 100, no. 5, pp. 849–876, 2016.</w:t>
      </w:r>
    </w:p>
    <w:p w14:paraId="6DDFB2C5"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[4]</w:t>
      </w:r>
      <w:r w:rsidRPr="00BC1FAD">
        <w:rPr>
          <w:noProof/>
          <w:sz w:val="22"/>
          <w:szCs w:val="22"/>
        </w:rPr>
        <w:tab/>
        <w:t xml:space="preserve">C. E. Snow and K. A. Dibner, </w:t>
      </w:r>
      <w:r w:rsidRPr="00BC1FAD">
        <w:rPr>
          <w:i/>
          <w:iCs/>
          <w:noProof/>
          <w:sz w:val="22"/>
          <w:szCs w:val="22"/>
        </w:rPr>
        <w:t>Science literacy: Concepts, contexts, and consequences</w:t>
      </w:r>
      <w:r w:rsidRPr="00BC1FAD">
        <w:rPr>
          <w:noProof/>
          <w:sz w:val="22"/>
          <w:szCs w:val="22"/>
        </w:rPr>
        <w:t>. Washington DC: The National Academies Press, 2016.</w:t>
      </w:r>
    </w:p>
    <w:p w14:paraId="39DA2BCC"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[5]</w:t>
      </w:r>
      <w:r w:rsidRPr="00BC1FAD">
        <w:rPr>
          <w:noProof/>
          <w:sz w:val="22"/>
          <w:szCs w:val="22"/>
        </w:rPr>
        <w:tab/>
        <w:t xml:space="preserve">N. Y. Hidayat, Wardono, and A. Rusilowati, “Analisis Kemampuan Literasi Matematika Ditinjau Dari Metakognisi Siswa dalam Pembelajaran Synectics Berbantuan Schoology,” in </w:t>
      </w:r>
      <w:r w:rsidRPr="00BC1FAD">
        <w:rPr>
          <w:i/>
          <w:iCs/>
          <w:noProof/>
          <w:sz w:val="22"/>
          <w:szCs w:val="22"/>
        </w:rPr>
        <w:t>Prisma, Prosicing Seminar Nasional Matematika</w:t>
      </w:r>
      <w:r w:rsidRPr="00BC1FAD">
        <w:rPr>
          <w:noProof/>
          <w:sz w:val="22"/>
          <w:szCs w:val="22"/>
        </w:rPr>
        <w:t>, 2019, vol. 2, pp. 911–916.</w:t>
      </w:r>
    </w:p>
    <w:p w14:paraId="01CF113F"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[6]</w:t>
      </w:r>
      <w:r w:rsidRPr="00BC1FAD">
        <w:rPr>
          <w:noProof/>
          <w:sz w:val="22"/>
          <w:szCs w:val="22"/>
        </w:rPr>
        <w:tab/>
        <w:t xml:space="preserve">OECD, </w:t>
      </w:r>
      <w:r w:rsidRPr="00BC1FAD">
        <w:rPr>
          <w:i/>
          <w:iCs/>
          <w:noProof/>
          <w:sz w:val="22"/>
          <w:szCs w:val="22"/>
        </w:rPr>
        <w:t>PISA 2018 insights and interpretations</w:t>
      </w:r>
      <w:r w:rsidRPr="00BC1FAD">
        <w:rPr>
          <w:noProof/>
          <w:sz w:val="22"/>
          <w:szCs w:val="22"/>
        </w:rPr>
        <w:t>. Paris: OECD, 2019.</w:t>
      </w:r>
    </w:p>
    <w:p w14:paraId="7FD55315"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[7]</w:t>
      </w:r>
      <w:r w:rsidRPr="00BC1FAD">
        <w:rPr>
          <w:noProof/>
          <w:sz w:val="22"/>
          <w:szCs w:val="22"/>
        </w:rPr>
        <w:tab/>
        <w:t xml:space="preserve">D. Kastberg, J. Chan, G. Murray, and P. Gonzales, </w:t>
      </w:r>
      <w:r w:rsidRPr="00BC1FAD">
        <w:rPr>
          <w:i/>
          <w:iCs/>
          <w:noProof/>
          <w:sz w:val="22"/>
          <w:szCs w:val="22"/>
        </w:rPr>
        <w:t>Performance of U.S. 15-Year-Old Students in Science, Reading, and Mathematics Literacy in an International Context t: First Look at PISA 2015 (NCES 2017-048)</w:t>
      </w:r>
      <w:r w:rsidRPr="00BC1FAD">
        <w:rPr>
          <w:noProof/>
          <w:sz w:val="22"/>
          <w:szCs w:val="22"/>
        </w:rPr>
        <w:t>. Washington DC: U.S. Department of Education, 2016.</w:t>
      </w:r>
    </w:p>
    <w:p w14:paraId="35E14B7C"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[8]</w:t>
      </w:r>
      <w:r w:rsidRPr="00BC1FAD">
        <w:rPr>
          <w:noProof/>
          <w:sz w:val="22"/>
          <w:szCs w:val="22"/>
        </w:rPr>
        <w:tab/>
        <w:t xml:space="preserve">B. Hayat and S. Yusuf, </w:t>
      </w:r>
      <w:r w:rsidRPr="00BC1FAD">
        <w:rPr>
          <w:i/>
          <w:iCs/>
          <w:noProof/>
          <w:sz w:val="22"/>
          <w:szCs w:val="22"/>
        </w:rPr>
        <w:t>Benchmark Internasional Mutu Pendidikan</w:t>
      </w:r>
      <w:r w:rsidRPr="00BC1FAD">
        <w:rPr>
          <w:noProof/>
          <w:sz w:val="22"/>
          <w:szCs w:val="22"/>
        </w:rPr>
        <w:t>. Jakarta: Bumi Aksara, 2011.</w:t>
      </w:r>
    </w:p>
    <w:p w14:paraId="1F19B262"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[9]</w:t>
      </w:r>
      <w:r w:rsidRPr="00BC1FAD">
        <w:rPr>
          <w:noProof/>
          <w:sz w:val="22"/>
          <w:szCs w:val="22"/>
        </w:rPr>
        <w:tab/>
        <w:t xml:space="preserve">OECD, </w:t>
      </w:r>
      <w:r w:rsidRPr="00BC1FAD">
        <w:rPr>
          <w:i/>
          <w:iCs/>
          <w:noProof/>
          <w:sz w:val="22"/>
          <w:szCs w:val="22"/>
        </w:rPr>
        <w:t xml:space="preserve">PISA 2015 Assessment and Analytical Framework (SCIENCE, READING, </w:t>
      </w:r>
      <w:r w:rsidRPr="00BC1FAD">
        <w:rPr>
          <w:i/>
          <w:iCs/>
          <w:noProof/>
          <w:sz w:val="22"/>
          <w:szCs w:val="22"/>
        </w:rPr>
        <w:lastRenderedPageBreak/>
        <w:t>MATHEMATIC, FINANCIAL LITERACY AND COLLABORATIVE PROBLEM SOLVING)</w:t>
      </w:r>
      <w:r w:rsidRPr="00BC1FAD">
        <w:rPr>
          <w:noProof/>
          <w:sz w:val="22"/>
          <w:szCs w:val="22"/>
        </w:rPr>
        <w:t>, Revised. Paris: OECD, 2017.</w:t>
      </w:r>
    </w:p>
    <w:p w14:paraId="37DD2761"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[10]</w:t>
      </w:r>
      <w:r w:rsidRPr="00BC1FAD">
        <w:rPr>
          <w:noProof/>
          <w:sz w:val="22"/>
          <w:szCs w:val="22"/>
        </w:rPr>
        <w:tab/>
        <w:t xml:space="preserve">T. Chen, H. M. Hsu, S. W. Stamm, and R. Yeh, “Creating an instrument for evaluating critical thinking apps for college students,” </w:t>
      </w:r>
      <w:r w:rsidRPr="00BC1FAD">
        <w:rPr>
          <w:i/>
          <w:iCs/>
          <w:noProof/>
          <w:sz w:val="22"/>
          <w:szCs w:val="22"/>
        </w:rPr>
        <w:t>E-Learning Digit. Media</w:t>
      </w:r>
      <w:r w:rsidRPr="00BC1FAD">
        <w:rPr>
          <w:noProof/>
          <w:sz w:val="22"/>
          <w:szCs w:val="22"/>
        </w:rPr>
        <w:t>, vol. 16, no. 6, pp. 433–454, 2019.</w:t>
      </w:r>
    </w:p>
    <w:p w14:paraId="3A3C7C8B"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[11]</w:t>
      </w:r>
      <w:r w:rsidRPr="00BC1FAD">
        <w:rPr>
          <w:noProof/>
          <w:sz w:val="22"/>
          <w:szCs w:val="22"/>
        </w:rPr>
        <w:tab/>
        <w:t xml:space="preserve">A. Crowell and C. Schunn, “Unpacking the Relationship Between Science Education and Applied Scientific Literacy,” </w:t>
      </w:r>
      <w:r w:rsidRPr="00BC1FAD">
        <w:rPr>
          <w:i/>
          <w:iCs/>
          <w:noProof/>
          <w:sz w:val="22"/>
          <w:szCs w:val="22"/>
        </w:rPr>
        <w:t>Res. Sci. Educ.</w:t>
      </w:r>
      <w:r w:rsidRPr="00BC1FAD">
        <w:rPr>
          <w:noProof/>
          <w:sz w:val="22"/>
          <w:szCs w:val="22"/>
        </w:rPr>
        <w:t>, vol. 46, no. 1, pp. 129–140, 2016.</w:t>
      </w:r>
    </w:p>
    <w:p w14:paraId="3D82C533"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[12]</w:t>
      </w:r>
      <w:r w:rsidRPr="00BC1FAD">
        <w:rPr>
          <w:noProof/>
          <w:sz w:val="22"/>
          <w:szCs w:val="22"/>
        </w:rPr>
        <w:tab/>
        <w:t xml:space="preserve">C. Greenhow, T. Gibbins, and M. M. Menzer, “Re-thinking scientific literacy out-of-school: Arguing science issues in a niche Facebook application,” </w:t>
      </w:r>
      <w:r w:rsidRPr="00BC1FAD">
        <w:rPr>
          <w:i/>
          <w:iCs/>
          <w:noProof/>
          <w:sz w:val="22"/>
          <w:szCs w:val="22"/>
        </w:rPr>
        <w:t>Comput. Human Behav.</w:t>
      </w:r>
      <w:r w:rsidRPr="00BC1FAD">
        <w:rPr>
          <w:noProof/>
          <w:sz w:val="22"/>
          <w:szCs w:val="22"/>
        </w:rPr>
        <w:t>, vol. 53, no. December, pp. 593–604, 2015.</w:t>
      </w:r>
    </w:p>
    <w:p w14:paraId="5CD41429"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[13]</w:t>
      </w:r>
      <w:r w:rsidRPr="00BC1FAD">
        <w:rPr>
          <w:noProof/>
          <w:sz w:val="22"/>
          <w:szCs w:val="22"/>
        </w:rPr>
        <w:tab/>
        <w:t xml:space="preserve">D. M. Miller and D. A. C. Czegan, “Integrating the Liberal Arts and Chemistry: A Series of General Chemistry Assignments to Develop Science Literacy,” </w:t>
      </w:r>
      <w:r w:rsidRPr="00BC1FAD">
        <w:rPr>
          <w:i/>
          <w:iCs/>
          <w:noProof/>
          <w:sz w:val="22"/>
          <w:szCs w:val="22"/>
        </w:rPr>
        <w:t>J. Chem. Educ.</w:t>
      </w:r>
      <w:r w:rsidRPr="00BC1FAD">
        <w:rPr>
          <w:noProof/>
          <w:sz w:val="22"/>
          <w:szCs w:val="22"/>
        </w:rPr>
        <w:t>, vol. 93, no. 5, pp. 864–869, 2016.</w:t>
      </w:r>
    </w:p>
    <w:p w14:paraId="4F16528B"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[14]</w:t>
      </w:r>
      <w:r w:rsidRPr="00BC1FAD">
        <w:rPr>
          <w:noProof/>
          <w:sz w:val="22"/>
          <w:szCs w:val="22"/>
        </w:rPr>
        <w:tab/>
        <w:t xml:space="preserve">D. Ardianto and B. Rubini, “Comparison of students’ scientific literacy in integrated science learning through model of guided discovery and problem based learning,” </w:t>
      </w:r>
      <w:r w:rsidRPr="00BC1FAD">
        <w:rPr>
          <w:i/>
          <w:iCs/>
          <w:noProof/>
          <w:sz w:val="22"/>
          <w:szCs w:val="22"/>
        </w:rPr>
        <w:t>J. Pendidik. IPA Indones.</w:t>
      </w:r>
      <w:r w:rsidRPr="00BC1FAD">
        <w:rPr>
          <w:noProof/>
          <w:sz w:val="22"/>
          <w:szCs w:val="22"/>
        </w:rPr>
        <w:t>, vol. 5, no. 1, pp. 31–37, 2016.</w:t>
      </w:r>
    </w:p>
    <w:p w14:paraId="26697CAF"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[15]</w:t>
      </w:r>
      <w:r w:rsidRPr="00BC1FAD">
        <w:rPr>
          <w:noProof/>
          <w:sz w:val="22"/>
          <w:szCs w:val="22"/>
        </w:rPr>
        <w:tab/>
        <w:t xml:space="preserve">K. L. Wright, A. D. Franks, L. J. Kuo, E. M. McTigue, and J. Serrano, “Both Theory and Practice: Science Literacy Instruction and Theories of Reading,” </w:t>
      </w:r>
      <w:r w:rsidRPr="00BC1FAD">
        <w:rPr>
          <w:i/>
          <w:iCs/>
          <w:noProof/>
          <w:sz w:val="22"/>
          <w:szCs w:val="22"/>
        </w:rPr>
        <w:t>Int. J. Sci. Math. Educ.</w:t>
      </w:r>
      <w:r w:rsidRPr="00BC1FAD">
        <w:rPr>
          <w:noProof/>
          <w:sz w:val="22"/>
          <w:szCs w:val="22"/>
        </w:rPr>
        <w:t>, vol. 14, no. 7, pp. 1275–1292, 2016.</w:t>
      </w:r>
    </w:p>
    <w:p w14:paraId="37E1056A"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[16]</w:t>
      </w:r>
      <w:r w:rsidRPr="00BC1FAD">
        <w:rPr>
          <w:noProof/>
          <w:sz w:val="22"/>
          <w:szCs w:val="22"/>
        </w:rPr>
        <w:tab/>
        <w:t xml:space="preserve">A. Hine and F. Medvecky, “Unfinished science in museums: A push for critical science literacy,” </w:t>
      </w:r>
      <w:r w:rsidRPr="00BC1FAD">
        <w:rPr>
          <w:i/>
          <w:iCs/>
          <w:noProof/>
          <w:sz w:val="22"/>
          <w:szCs w:val="22"/>
        </w:rPr>
        <w:t>J. Sci. Commun.</w:t>
      </w:r>
      <w:r w:rsidRPr="00BC1FAD">
        <w:rPr>
          <w:noProof/>
          <w:sz w:val="22"/>
          <w:szCs w:val="22"/>
        </w:rPr>
        <w:t>, vol. 14, no. 2, pp. 1–14, 2015.</w:t>
      </w:r>
    </w:p>
    <w:p w14:paraId="4E99840E"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[17]</w:t>
      </w:r>
      <w:r w:rsidRPr="00BC1FAD">
        <w:rPr>
          <w:noProof/>
          <w:sz w:val="22"/>
          <w:szCs w:val="22"/>
        </w:rPr>
        <w:tab/>
        <w:t xml:space="preserve">J. Gropen, J. F. Kook, C. Hoisington, and N. Clark-Chiarelli, “Foundations of Science Literacy: Efficacy of a Preschool Professional Development Program in Science on Classroom Instruction, Teachers’ Pedagogical Content Knowledge, and Children’s Observations and Predictions,” </w:t>
      </w:r>
      <w:r w:rsidRPr="00BC1FAD">
        <w:rPr>
          <w:i/>
          <w:iCs/>
          <w:noProof/>
          <w:sz w:val="22"/>
          <w:szCs w:val="22"/>
        </w:rPr>
        <w:t>Early Educ. Dev.</w:t>
      </w:r>
      <w:r w:rsidRPr="00BC1FAD">
        <w:rPr>
          <w:noProof/>
          <w:sz w:val="22"/>
          <w:szCs w:val="22"/>
        </w:rPr>
        <w:t>, vol. 28, no. 5, pp. 607–631, 2017.</w:t>
      </w:r>
    </w:p>
    <w:p w14:paraId="726BF10A"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[18]</w:t>
      </w:r>
      <w:r w:rsidRPr="00BC1FAD">
        <w:rPr>
          <w:noProof/>
          <w:sz w:val="22"/>
          <w:szCs w:val="22"/>
        </w:rPr>
        <w:tab/>
        <w:t xml:space="preserve">M. I. S. Putra, W. Widodo, and B. Jatmiko, “The development of guided inquiry science learning materials to improve science literacy skill of prospective mi teachers,” </w:t>
      </w:r>
      <w:r w:rsidRPr="00BC1FAD">
        <w:rPr>
          <w:i/>
          <w:iCs/>
          <w:noProof/>
          <w:sz w:val="22"/>
          <w:szCs w:val="22"/>
        </w:rPr>
        <w:t>J. Pendidik. IPA Indones.</w:t>
      </w:r>
      <w:r w:rsidRPr="00BC1FAD">
        <w:rPr>
          <w:noProof/>
          <w:sz w:val="22"/>
          <w:szCs w:val="22"/>
        </w:rPr>
        <w:t>, vol. 5, no. 1, pp. 83–93, 2016.</w:t>
      </w:r>
    </w:p>
    <w:p w14:paraId="320AF250"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[19]</w:t>
      </w:r>
      <w:r w:rsidRPr="00BC1FAD">
        <w:rPr>
          <w:noProof/>
          <w:sz w:val="22"/>
          <w:szCs w:val="22"/>
        </w:rPr>
        <w:tab/>
        <w:t xml:space="preserve">A. Rusilowati, L. Kurniawati, S. E. Nugroho, and A. Widiyatmoko, “Developing an instrument of scientific literacy asessment on the cycle theme,” </w:t>
      </w:r>
      <w:r w:rsidRPr="00BC1FAD">
        <w:rPr>
          <w:i/>
          <w:iCs/>
          <w:noProof/>
          <w:sz w:val="22"/>
          <w:szCs w:val="22"/>
        </w:rPr>
        <w:t>Int. J. Environ. Sci. Educ.</w:t>
      </w:r>
      <w:r w:rsidRPr="00BC1FAD">
        <w:rPr>
          <w:noProof/>
          <w:sz w:val="22"/>
          <w:szCs w:val="22"/>
        </w:rPr>
        <w:t>, vol. 11, no. 12, pp. 5718–5727, 2016.</w:t>
      </w:r>
    </w:p>
    <w:p w14:paraId="68FEAD45"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[20]</w:t>
      </w:r>
      <w:r w:rsidRPr="00BC1FAD">
        <w:rPr>
          <w:noProof/>
          <w:sz w:val="22"/>
          <w:szCs w:val="22"/>
        </w:rPr>
        <w:tab/>
        <w:t xml:space="preserve">Kok-Sing Tang and K. Danielsson, </w:t>
      </w:r>
      <w:r w:rsidRPr="00BC1FAD">
        <w:rPr>
          <w:i/>
          <w:iCs/>
          <w:noProof/>
          <w:sz w:val="22"/>
          <w:szCs w:val="22"/>
        </w:rPr>
        <w:t>Global Developments in Literacy Research for Science Education</w:t>
      </w:r>
      <w:r w:rsidRPr="00BC1FAD">
        <w:rPr>
          <w:noProof/>
          <w:sz w:val="22"/>
          <w:szCs w:val="22"/>
        </w:rPr>
        <w:t>. cham: Springer Berlin Heidelberg, 2018.</w:t>
      </w:r>
    </w:p>
    <w:p w14:paraId="0D4A117A"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[21]</w:t>
      </w:r>
      <w:r w:rsidRPr="00BC1FAD">
        <w:rPr>
          <w:noProof/>
          <w:sz w:val="22"/>
          <w:szCs w:val="22"/>
        </w:rPr>
        <w:tab/>
        <w:t xml:space="preserve">T. Schulte, </w:t>
      </w:r>
      <w:r w:rsidRPr="00BC1FAD">
        <w:rPr>
          <w:i/>
          <w:iCs/>
          <w:noProof/>
          <w:sz w:val="22"/>
          <w:szCs w:val="22"/>
        </w:rPr>
        <w:t>Desirable Science Education</w:t>
      </w:r>
      <w:r w:rsidRPr="00BC1FAD">
        <w:rPr>
          <w:noProof/>
          <w:sz w:val="22"/>
          <w:szCs w:val="22"/>
        </w:rPr>
        <w:t>. Berlin: Springer Nature, 2017.</w:t>
      </w:r>
    </w:p>
    <w:p w14:paraId="6D8D2DE4"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[22]</w:t>
      </w:r>
      <w:r w:rsidRPr="00BC1FAD">
        <w:rPr>
          <w:noProof/>
          <w:sz w:val="22"/>
          <w:szCs w:val="22"/>
        </w:rPr>
        <w:tab/>
        <w:t xml:space="preserve">S. Thanuskodi, </w:t>
      </w:r>
      <w:r w:rsidRPr="00BC1FAD">
        <w:rPr>
          <w:i/>
          <w:iCs/>
          <w:noProof/>
          <w:sz w:val="22"/>
          <w:szCs w:val="22"/>
        </w:rPr>
        <w:t>Literacy Skill Development for Library Science Professionals</w:t>
      </w:r>
      <w:r w:rsidRPr="00BC1FAD">
        <w:rPr>
          <w:noProof/>
          <w:sz w:val="22"/>
          <w:szCs w:val="22"/>
        </w:rPr>
        <w:t>. Hershey PA: IGI Global, 2019.</w:t>
      </w:r>
    </w:p>
    <w:p w14:paraId="5C2662FC"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[23]</w:t>
      </w:r>
      <w:r w:rsidRPr="00BC1FAD">
        <w:rPr>
          <w:noProof/>
          <w:sz w:val="22"/>
          <w:szCs w:val="22"/>
        </w:rPr>
        <w:tab/>
        <w:t xml:space="preserve">K. Schwab, </w:t>
      </w:r>
      <w:r w:rsidRPr="00BC1FAD">
        <w:rPr>
          <w:i/>
          <w:iCs/>
          <w:noProof/>
          <w:sz w:val="22"/>
          <w:szCs w:val="22"/>
        </w:rPr>
        <w:t>The Global Competitiveness Report The Global Competitiveness Report 2017-2018</w:t>
      </w:r>
      <w:r w:rsidRPr="00BC1FAD">
        <w:rPr>
          <w:noProof/>
          <w:sz w:val="22"/>
          <w:szCs w:val="22"/>
        </w:rPr>
        <w:t>, vol. 5, no. 5. 2017.</w:t>
      </w:r>
    </w:p>
    <w:p w14:paraId="47B051C3"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[24]</w:t>
      </w:r>
      <w:r w:rsidRPr="00BC1FAD">
        <w:rPr>
          <w:noProof/>
          <w:sz w:val="22"/>
          <w:szCs w:val="22"/>
        </w:rPr>
        <w:tab/>
        <w:t xml:space="preserve">K. A. Lawless </w:t>
      </w:r>
      <w:r w:rsidRPr="00BC1FAD">
        <w:rPr>
          <w:i/>
          <w:iCs/>
          <w:noProof/>
          <w:sz w:val="22"/>
          <w:szCs w:val="22"/>
        </w:rPr>
        <w:t>et al.</w:t>
      </w:r>
      <w:r w:rsidRPr="00BC1FAD">
        <w:rPr>
          <w:noProof/>
          <w:sz w:val="22"/>
          <w:szCs w:val="22"/>
        </w:rPr>
        <w:t xml:space="preserve">, “Promoting students’ science literacy skills through a simulation of international negotiations: The GlobalEd 2 Project,” </w:t>
      </w:r>
      <w:r w:rsidRPr="00BC1FAD">
        <w:rPr>
          <w:i/>
          <w:iCs/>
          <w:noProof/>
          <w:sz w:val="22"/>
          <w:szCs w:val="22"/>
        </w:rPr>
        <w:t>Comput. Human Behav.</w:t>
      </w:r>
      <w:r w:rsidRPr="00BC1FAD">
        <w:rPr>
          <w:noProof/>
          <w:sz w:val="22"/>
          <w:szCs w:val="22"/>
        </w:rPr>
        <w:t>, vol. 78, no. January, pp. 389–396, 2018.</w:t>
      </w:r>
    </w:p>
    <w:p w14:paraId="523D751D"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[25]</w:t>
      </w:r>
      <w:r w:rsidRPr="00BC1FAD">
        <w:rPr>
          <w:noProof/>
          <w:sz w:val="22"/>
          <w:szCs w:val="22"/>
        </w:rPr>
        <w:tab/>
        <w:t xml:space="preserve">F. Fakhriyah, S. Masfuah, M. Roysa, A. Rusilowati, and E. S. Rahayu, “Student’s science literacy in the aspect of content science?,” </w:t>
      </w:r>
      <w:r w:rsidRPr="00BC1FAD">
        <w:rPr>
          <w:i/>
          <w:iCs/>
          <w:noProof/>
          <w:sz w:val="22"/>
          <w:szCs w:val="22"/>
        </w:rPr>
        <w:t>J. Pendidik. IPA Indones.</w:t>
      </w:r>
      <w:r w:rsidRPr="00BC1FAD">
        <w:rPr>
          <w:noProof/>
          <w:sz w:val="22"/>
          <w:szCs w:val="22"/>
        </w:rPr>
        <w:t>, vol. 6, no. 1, pp. 81–87, 2017.</w:t>
      </w:r>
    </w:p>
    <w:p w14:paraId="1AC2BA1F"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[26]</w:t>
      </w:r>
      <w:r w:rsidRPr="00BC1FAD">
        <w:rPr>
          <w:noProof/>
          <w:sz w:val="22"/>
          <w:szCs w:val="22"/>
        </w:rPr>
        <w:tab/>
        <w:t xml:space="preserve">G. O. Sørvik and S. M. Mork, “Scientific literacy as social practice: Implications for reading and writing in science classrooms,” </w:t>
      </w:r>
      <w:r w:rsidRPr="00BC1FAD">
        <w:rPr>
          <w:i/>
          <w:iCs/>
          <w:noProof/>
          <w:sz w:val="22"/>
          <w:szCs w:val="22"/>
        </w:rPr>
        <w:t>Nord. Stud. Sci. Educ.</w:t>
      </w:r>
      <w:r w:rsidRPr="00BC1FAD">
        <w:rPr>
          <w:noProof/>
          <w:sz w:val="22"/>
          <w:szCs w:val="22"/>
        </w:rPr>
        <w:t>, vol. 11, no. 3, pp. 268–281, 2015.</w:t>
      </w:r>
    </w:p>
    <w:p w14:paraId="3B6AEFE8"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[27]</w:t>
      </w:r>
      <w:r w:rsidRPr="00BC1FAD">
        <w:rPr>
          <w:noProof/>
          <w:sz w:val="22"/>
          <w:szCs w:val="22"/>
        </w:rPr>
        <w:tab/>
        <w:t xml:space="preserve">C. Drummond and B. Fischhoff, “Individuals with greater science literacy and education have more polarized beliefs on controversial science topics,” in </w:t>
      </w:r>
      <w:r w:rsidRPr="00BC1FAD">
        <w:rPr>
          <w:i/>
          <w:iCs/>
          <w:noProof/>
          <w:sz w:val="22"/>
          <w:szCs w:val="22"/>
        </w:rPr>
        <w:t>Proceedings of the National Academy of Sciences of the United States of America</w:t>
      </w:r>
      <w:r w:rsidRPr="00BC1FAD">
        <w:rPr>
          <w:noProof/>
          <w:sz w:val="22"/>
          <w:szCs w:val="22"/>
        </w:rPr>
        <w:t>, 2017, vol. 114, no. 36, pp. 9587–9592.</w:t>
      </w:r>
    </w:p>
    <w:p w14:paraId="10827D69"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[28]</w:t>
      </w:r>
      <w:r w:rsidRPr="00BC1FAD">
        <w:rPr>
          <w:noProof/>
          <w:sz w:val="22"/>
          <w:szCs w:val="22"/>
        </w:rPr>
        <w:tab/>
        <w:t xml:space="preserve">J. Hordern, “Differentiating knowledge, differentiating (occupational) practice,” </w:t>
      </w:r>
      <w:r w:rsidRPr="00BC1FAD">
        <w:rPr>
          <w:i/>
          <w:iCs/>
          <w:noProof/>
          <w:sz w:val="22"/>
          <w:szCs w:val="22"/>
        </w:rPr>
        <w:t>J. Vocat. Educ. Train.</w:t>
      </w:r>
      <w:r w:rsidRPr="00BC1FAD">
        <w:rPr>
          <w:noProof/>
          <w:sz w:val="22"/>
          <w:szCs w:val="22"/>
        </w:rPr>
        <w:t>, vol. 68, no. 4, pp. 453–469, 2016.</w:t>
      </w:r>
    </w:p>
    <w:p w14:paraId="7911EEB9"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[29]</w:t>
      </w:r>
      <w:r w:rsidRPr="00BC1FAD">
        <w:rPr>
          <w:noProof/>
          <w:sz w:val="22"/>
          <w:szCs w:val="22"/>
        </w:rPr>
        <w:tab/>
        <w:t xml:space="preserve">A. Draaisma, F. Meijers, and M. Kuijpers, “The development of strong career learning environments: the project ‘Career Orientation and Guidance’ in Dutch vocational education,” </w:t>
      </w:r>
      <w:r w:rsidRPr="00BC1FAD">
        <w:rPr>
          <w:i/>
          <w:iCs/>
          <w:noProof/>
          <w:sz w:val="22"/>
          <w:szCs w:val="22"/>
        </w:rPr>
        <w:t xml:space="preserve">J. </w:t>
      </w:r>
      <w:r w:rsidRPr="00BC1FAD">
        <w:rPr>
          <w:i/>
          <w:iCs/>
          <w:noProof/>
          <w:sz w:val="22"/>
          <w:szCs w:val="22"/>
        </w:rPr>
        <w:lastRenderedPageBreak/>
        <w:t>Vocat. Educ. Train.</w:t>
      </w:r>
      <w:r w:rsidRPr="00BC1FAD">
        <w:rPr>
          <w:noProof/>
          <w:sz w:val="22"/>
          <w:szCs w:val="22"/>
        </w:rPr>
        <w:t>, vol. 70, no. 1, pp. 27–46, 2018.</w:t>
      </w:r>
    </w:p>
    <w:p w14:paraId="40001748"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[30]</w:t>
      </w:r>
      <w:r w:rsidRPr="00BC1FAD">
        <w:rPr>
          <w:noProof/>
          <w:sz w:val="22"/>
          <w:szCs w:val="22"/>
        </w:rPr>
        <w:tab/>
        <w:t xml:space="preserve">R. Grytnes, M. Grill, A. Pousette, M. Törner, and K. J. Nielsen, “Apprentice or Student? The Structures of Construction Industry Vocational Education and Training in Denmark and Sweden and their Possible Consequences for Safety Learning,” </w:t>
      </w:r>
      <w:r w:rsidRPr="00BC1FAD">
        <w:rPr>
          <w:i/>
          <w:iCs/>
          <w:noProof/>
          <w:sz w:val="22"/>
          <w:szCs w:val="22"/>
        </w:rPr>
        <w:t>Vocat. Learn.</w:t>
      </w:r>
      <w:r w:rsidRPr="00BC1FAD">
        <w:rPr>
          <w:noProof/>
          <w:sz w:val="22"/>
          <w:szCs w:val="22"/>
        </w:rPr>
        <w:t>, pp. 1–23, 2017.</w:t>
      </w:r>
    </w:p>
    <w:p w14:paraId="5E8A0A88"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[31]</w:t>
      </w:r>
      <w:r w:rsidRPr="00BC1FAD">
        <w:rPr>
          <w:noProof/>
          <w:sz w:val="22"/>
          <w:szCs w:val="22"/>
        </w:rPr>
        <w:tab/>
        <w:t xml:space="preserve">B. Persson and B. Hermelin, “Mobilising for change in vocational education and training in Sweden – a case study of the ‘Technical College’ scheme,” </w:t>
      </w:r>
      <w:r w:rsidRPr="00BC1FAD">
        <w:rPr>
          <w:i/>
          <w:iCs/>
          <w:noProof/>
          <w:sz w:val="22"/>
          <w:szCs w:val="22"/>
        </w:rPr>
        <w:t>J. Vocat. Educ. Train.</w:t>
      </w:r>
      <w:r w:rsidRPr="00BC1FAD">
        <w:rPr>
          <w:noProof/>
          <w:sz w:val="22"/>
          <w:szCs w:val="22"/>
        </w:rPr>
        <w:t>, vol. 6820, pp. 1–21, 2018.</w:t>
      </w:r>
    </w:p>
    <w:p w14:paraId="70C2FA64"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[32]</w:t>
      </w:r>
      <w:r w:rsidRPr="00BC1FAD">
        <w:rPr>
          <w:noProof/>
          <w:sz w:val="22"/>
          <w:szCs w:val="22"/>
        </w:rPr>
        <w:tab/>
        <w:t xml:space="preserve">N. Allum, J. Besley, L. Gomez, and I. Brunton-Smith, “Disparities in science literacy,” </w:t>
      </w:r>
      <w:r w:rsidRPr="00BC1FAD">
        <w:rPr>
          <w:i/>
          <w:iCs/>
          <w:noProof/>
          <w:sz w:val="22"/>
          <w:szCs w:val="22"/>
        </w:rPr>
        <w:t>Science (80-. ).</w:t>
      </w:r>
      <w:r w:rsidRPr="00BC1FAD">
        <w:rPr>
          <w:noProof/>
          <w:sz w:val="22"/>
          <w:szCs w:val="22"/>
        </w:rPr>
        <w:t>, vol. 360, no. 6391, pp. 861–862, 2018.</w:t>
      </w:r>
    </w:p>
    <w:p w14:paraId="030CB941"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[33]</w:t>
      </w:r>
      <w:r w:rsidRPr="00BC1FAD">
        <w:rPr>
          <w:noProof/>
          <w:sz w:val="22"/>
          <w:szCs w:val="22"/>
        </w:rPr>
        <w:tab/>
        <w:t xml:space="preserve">T. R. Mckeown, </w:t>
      </w:r>
      <w:r w:rsidRPr="00BC1FAD">
        <w:rPr>
          <w:i/>
          <w:iCs/>
          <w:noProof/>
          <w:sz w:val="22"/>
          <w:szCs w:val="22"/>
        </w:rPr>
        <w:t>Validation Study of the Science Literacy Assessment: A Measure to Assess Middle School Students’ Attitudes Toward Science and Ability to Think Scientifically</w:t>
      </w:r>
      <w:r w:rsidRPr="00BC1FAD">
        <w:rPr>
          <w:noProof/>
          <w:sz w:val="22"/>
          <w:szCs w:val="22"/>
        </w:rPr>
        <w:t>. 2017.</w:t>
      </w:r>
    </w:p>
    <w:p w14:paraId="1A2BADE2"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[34]</w:t>
      </w:r>
      <w:r w:rsidRPr="00BC1FAD">
        <w:rPr>
          <w:noProof/>
          <w:sz w:val="22"/>
          <w:szCs w:val="22"/>
        </w:rPr>
        <w:tab/>
        <w:t xml:space="preserve">A. Rusilowati, S. E. Nugroho, and S. M. Susilowati, “Development of Science Textbook Based on Scientific Literacy for Secondary School,” </w:t>
      </w:r>
      <w:r w:rsidRPr="00BC1FAD">
        <w:rPr>
          <w:i/>
          <w:iCs/>
          <w:noProof/>
          <w:sz w:val="22"/>
          <w:szCs w:val="22"/>
        </w:rPr>
        <w:t>J. Pendidik. Fis. Indones.</w:t>
      </w:r>
      <w:r w:rsidRPr="00BC1FAD">
        <w:rPr>
          <w:noProof/>
          <w:sz w:val="22"/>
          <w:szCs w:val="22"/>
        </w:rPr>
        <w:t>, vol. 12, no. 2, pp. 98–105, 2016.</w:t>
      </w:r>
    </w:p>
    <w:p w14:paraId="18BA8495"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[35]</w:t>
      </w:r>
      <w:r w:rsidRPr="00BC1FAD">
        <w:rPr>
          <w:noProof/>
          <w:sz w:val="22"/>
          <w:szCs w:val="22"/>
        </w:rPr>
        <w:tab/>
        <w:t xml:space="preserve">OECD, </w:t>
      </w:r>
      <w:r w:rsidRPr="00BC1FAD">
        <w:rPr>
          <w:i/>
          <w:iCs/>
          <w:noProof/>
          <w:sz w:val="22"/>
          <w:szCs w:val="22"/>
        </w:rPr>
        <w:t>OECD Multilingual Summaries PISA 2018 Results What Students Know and Can Do Hasil PISA 2018 (Volume I)</w:t>
      </w:r>
      <w:r w:rsidRPr="00BC1FAD">
        <w:rPr>
          <w:noProof/>
          <w:sz w:val="22"/>
          <w:szCs w:val="22"/>
        </w:rPr>
        <w:t>. Paris: OECD, 2019.</w:t>
      </w:r>
    </w:p>
    <w:p w14:paraId="467D0B90"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[36]</w:t>
      </w:r>
      <w:r w:rsidRPr="00BC1FAD">
        <w:rPr>
          <w:noProof/>
          <w:sz w:val="22"/>
          <w:szCs w:val="22"/>
        </w:rPr>
        <w:tab/>
        <w:t xml:space="preserve">S. B. Raharjo, “Kontribusi Delapan Standar Nasional Pendidikan Terhadap Pencapaian Prestasi Belajar,” </w:t>
      </w:r>
      <w:r w:rsidRPr="00BC1FAD">
        <w:rPr>
          <w:i/>
          <w:iCs/>
          <w:noProof/>
          <w:sz w:val="22"/>
          <w:szCs w:val="22"/>
        </w:rPr>
        <w:t>J. Pendidik. dan Kebud.</w:t>
      </w:r>
      <w:r w:rsidRPr="00BC1FAD">
        <w:rPr>
          <w:noProof/>
          <w:sz w:val="22"/>
          <w:szCs w:val="22"/>
        </w:rPr>
        <w:t>, vol. 20, no. 4, pp. 470–482, 2014.</w:t>
      </w:r>
    </w:p>
    <w:p w14:paraId="46317F6F"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[37]</w:t>
      </w:r>
      <w:r w:rsidRPr="00BC1FAD">
        <w:rPr>
          <w:noProof/>
          <w:sz w:val="22"/>
          <w:szCs w:val="22"/>
        </w:rPr>
        <w:tab/>
        <w:t xml:space="preserve">T. Wardoyo Tunggul Cipto, “Pengembangan Media Pembelajaran Berbasis Video Animasi Pada Mata Pelajaran Mekanika Teknik di SMKN 1 Purworejo,” </w:t>
      </w:r>
      <w:r w:rsidRPr="00BC1FAD">
        <w:rPr>
          <w:i/>
          <w:iCs/>
          <w:noProof/>
          <w:sz w:val="22"/>
          <w:szCs w:val="22"/>
        </w:rPr>
        <w:t>E-Journal Pendidik. Tek. Sipil Dan Perenc.</w:t>
      </w:r>
      <w:r w:rsidRPr="00BC1FAD">
        <w:rPr>
          <w:noProof/>
          <w:sz w:val="22"/>
          <w:szCs w:val="22"/>
        </w:rPr>
        <w:t>, vol. 3, no. 3, pp. 1–7, 2015.</w:t>
      </w:r>
    </w:p>
    <w:p w14:paraId="73F2A348" w14:textId="77777777" w:rsidR="001D425F" w:rsidRPr="00BC1FAD" w:rsidRDefault="001D425F" w:rsidP="00BC1FAD">
      <w:pPr>
        <w:widowControl w:val="0"/>
        <w:autoSpaceDE w:val="0"/>
        <w:autoSpaceDN w:val="0"/>
        <w:adjustRightInd w:val="0"/>
        <w:ind w:left="567" w:hanging="567"/>
        <w:jc w:val="both"/>
        <w:rPr>
          <w:noProof/>
          <w:sz w:val="22"/>
          <w:szCs w:val="22"/>
        </w:rPr>
      </w:pPr>
      <w:r w:rsidRPr="00BC1FAD">
        <w:rPr>
          <w:noProof/>
          <w:sz w:val="22"/>
          <w:szCs w:val="22"/>
        </w:rPr>
        <w:t>[38]</w:t>
      </w:r>
      <w:r w:rsidRPr="00BC1FAD">
        <w:rPr>
          <w:noProof/>
          <w:sz w:val="22"/>
          <w:szCs w:val="22"/>
        </w:rPr>
        <w:tab/>
        <w:t xml:space="preserve">M. D. Basito, R. Arthur, and D. Daryati, “Hubungan Efikasi Diri terhadap Kemampuan Berpikir Tingkat Tinggi Siswa SMK Program Keahlian Teknik Bangunan pada Mata Pelajaran Mekanika Teknik,” </w:t>
      </w:r>
      <w:r w:rsidRPr="00BC1FAD">
        <w:rPr>
          <w:i/>
          <w:iCs/>
          <w:noProof/>
          <w:sz w:val="22"/>
          <w:szCs w:val="22"/>
        </w:rPr>
        <w:t>J. Pensil</w:t>
      </w:r>
      <w:r w:rsidRPr="00BC1FAD">
        <w:rPr>
          <w:noProof/>
          <w:sz w:val="22"/>
          <w:szCs w:val="22"/>
        </w:rPr>
        <w:t>, vol. 7, no. 1, pp. 1–14, 2018.</w:t>
      </w:r>
    </w:p>
    <w:p w14:paraId="3E6EF8D1" w14:textId="77777777" w:rsidR="001D425F" w:rsidRPr="001D425F" w:rsidRDefault="001D425F" w:rsidP="00BC1FAD">
      <w:pPr>
        <w:pStyle w:val="Paragraph"/>
      </w:pPr>
      <w:r w:rsidRPr="00BC1FAD">
        <w:rPr>
          <w:sz w:val="22"/>
          <w:szCs w:val="22"/>
        </w:rPr>
        <w:fldChar w:fldCharType="end"/>
      </w:r>
    </w:p>
    <w:p w14:paraId="424C46E9" w14:textId="77777777" w:rsidR="00114AB1" w:rsidRPr="00114AB1" w:rsidRDefault="00114AB1" w:rsidP="0053224F">
      <w:pPr>
        <w:pStyle w:val="Heading1"/>
      </w:pPr>
    </w:p>
    <w:sectPr w:rsidR="00114AB1" w:rsidRPr="00114AB1" w:rsidSect="00F23596">
      <w:pgSz w:w="11907" w:h="16840" w:code="9"/>
      <w:pgMar w:top="2268" w:right="1418" w:bottom="1531" w:left="1418"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2"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6" w15:restartNumberingAfterBreak="0">
    <w:nsid w:val="3AA17CE3"/>
    <w:multiLevelType w:val="hybridMultilevel"/>
    <w:tmpl w:val="CD247E7E"/>
    <w:lvl w:ilvl="0" w:tplc="DEE21A56">
      <w:start w:val="1"/>
      <w:numFmt w:val="decimal"/>
      <w:pStyle w:val="Referen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30689"/>
    <w:multiLevelType w:val="hybridMultilevel"/>
    <w:tmpl w:val="9C3EA526"/>
    <w:lvl w:ilvl="0" w:tplc="6D82B36A">
      <w:start w:val="1"/>
      <w:numFmt w:val="decimal"/>
      <w:lvlText w:val="%1."/>
      <w:lvlJc w:val="left"/>
      <w:pPr>
        <w:ind w:left="720" w:hanging="360"/>
      </w:pPr>
      <w:rPr>
        <w:rFonts w:hint="default"/>
        <w:b/>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29184F"/>
    <w:multiLevelType w:val="hybridMultilevel"/>
    <w:tmpl w:val="82DA6DCC"/>
    <w:lvl w:ilvl="0" w:tplc="92D2F2F6">
      <w:start w:val="1"/>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3"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2E6F57"/>
    <w:multiLevelType w:val="multilevel"/>
    <w:tmpl w:val="6972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643F7"/>
    <w:multiLevelType w:val="hybridMultilevel"/>
    <w:tmpl w:val="A30CAC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AA97E4A"/>
    <w:multiLevelType w:val="multilevel"/>
    <w:tmpl w:val="21562CB0"/>
    <w:name w:val="/#"/>
    <w:lvl w:ilvl="0">
      <w:start w:val="1"/>
      <w:numFmt w:val="decimal"/>
      <w:lvlText w:val="%1"/>
      <w:lvlJc w:val="left"/>
      <w:pPr>
        <w:tabs>
          <w:tab w:val="num" w:pos="360"/>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num w:numId="1">
    <w:abstractNumId w:val="16"/>
  </w:num>
  <w:num w:numId="2">
    <w:abstractNumId w:val="1"/>
  </w:num>
  <w:num w:numId="3">
    <w:abstractNumId w:val="12"/>
  </w:num>
  <w:num w:numId="4">
    <w:abstractNumId w:val="5"/>
  </w:num>
  <w:num w:numId="5">
    <w:abstractNumId w:val="11"/>
  </w:num>
  <w:num w:numId="6">
    <w:abstractNumId w:val="2"/>
  </w:num>
  <w:num w:numId="7">
    <w:abstractNumId w:val="4"/>
  </w:num>
  <w:num w:numId="8">
    <w:abstractNumId w:val="0"/>
  </w:num>
  <w:num w:numId="9">
    <w:abstractNumId w:val="14"/>
  </w:num>
  <w:num w:numId="10">
    <w:abstractNumId w:val="7"/>
  </w:num>
  <w:num w:numId="11">
    <w:abstractNumId w:val="13"/>
  </w:num>
  <w:num w:numId="12">
    <w:abstractNumId w:val="9"/>
  </w:num>
  <w:num w:numId="13">
    <w:abstractNumId w:val="3"/>
  </w:num>
  <w:num w:numId="14">
    <w:abstractNumId w:val="14"/>
  </w:num>
  <w:num w:numId="15">
    <w:abstractNumId w:val="6"/>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lvlOverride w:ilvl="0">
      <w:startOverride w:val="1"/>
    </w:lvlOverride>
  </w:num>
  <w:num w:numId="35">
    <w:abstractNumId w:val="12"/>
    <w:lvlOverride w:ilvl="0">
      <w:startOverride w:val="1"/>
    </w:lvlOverride>
  </w:num>
  <w:num w:numId="36">
    <w:abstractNumId w:val="12"/>
  </w:num>
  <w:num w:numId="37">
    <w:abstractNumId w:val="12"/>
    <w:lvlOverride w:ilvl="0">
      <w:startOverride w:val="1"/>
    </w:lvlOverride>
  </w:num>
  <w:num w:numId="38">
    <w:abstractNumId w:val="12"/>
  </w:num>
  <w:num w:numId="39">
    <w:abstractNumId w:val="1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2"/>
  </w:num>
  <w:num w:numId="43">
    <w:abstractNumId w:val="12"/>
  </w:num>
  <w:num w:numId="44">
    <w:abstractNumId w:val="8"/>
  </w:num>
  <w:num w:numId="45">
    <w:abstractNumId w:val="10"/>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51"/>
    <w:rsid w:val="00014140"/>
    <w:rsid w:val="00031EC9"/>
    <w:rsid w:val="00066FED"/>
    <w:rsid w:val="00075EA6"/>
    <w:rsid w:val="0007709F"/>
    <w:rsid w:val="00086F62"/>
    <w:rsid w:val="0009320B"/>
    <w:rsid w:val="00096AE0"/>
    <w:rsid w:val="000B1B74"/>
    <w:rsid w:val="000B3A2D"/>
    <w:rsid w:val="000B49C0"/>
    <w:rsid w:val="000E382F"/>
    <w:rsid w:val="001036BA"/>
    <w:rsid w:val="001146DC"/>
    <w:rsid w:val="00114AB1"/>
    <w:rsid w:val="001230FF"/>
    <w:rsid w:val="00130BD7"/>
    <w:rsid w:val="00155B67"/>
    <w:rsid w:val="001562AF"/>
    <w:rsid w:val="00161A5B"/>
    <w:rsid w:val="0016385D"/>
    <w:rsid w:val="0016782F"/>
    <w:rsid w:val="001937E9"/>
    <w:rsid w:val="001B263B"/>
    <w:rsid w:val="001B476A"/>
    <w:rsid w:val="001C764F"/>
    <w:rsid w:val="001C7BB3"/>
    <w:rsid w:val="001D425F"/>
    <w:rsid w:val="001D469C"/>
    <w:rsid w:val="0023171B"/>
    <w:rsid w:val="00236BFC"/>
    <w:rsid w:val="00237437"/>
    <w:rsid w:val="0024659C"/>
    <w:rsid w:val="002502FD"/>
    <w:rsid w:val="00274622"/>
    <w:rsid w:val="00285D24"/>
    <w:rsid w:val="00290390"/>
    <w:rsid w:val="002915D3"/>
    <w:rsid w:val="002941DA"/>
    <w:rsid w:val="002D0149"/>
    <w:rsid w:val="002E3C35"/>
    <w:rsid w:val="002F5298"/>
    <w:rsid w:val="00337E4F"/>
    <w:rsid w:val="00340C36"/>
    <w:rsid w:val="00346A9D"/>
    <w:rsid w:val="0039376F"/>
    <w:rsid w:val="003A287B"/>
    <w:rsid w:val="003A5C85"/>
    <w:rsid w:val="003A61B1"/>
    <w:rsid w:val="003D5E1B"/>
    <w:rsid w:val="003E7C74"/>
    <w:rsid w:val="003F31C6"/>
    <w:rsid w:val="0040225B"/>
    <w:rsid w:val="00402DA2"/>
    <w:rsid w:val="00425AC2"/>
    <w:rsid w:val="00443D06"/>
    <w:rsid w:val="0044771F"/>
    <w:rsid w:val="0047508E"/>
    <w:rsid w:val="004B151D"/>
    <w:rsid w:val="004C7243"/>
    <w:rsid w:val="004E21DE"/>
    <w:rsid w:val="004E3C57"/>
    <w:rsid w:val="004E3CB2"/>
    <w:rsid w:val="004E5071"/>
    <w:rsid w:val="00525813"/>
    <w:rsid w:val="0053224F"/>
    <w:rsid w:val="0053513F"/>
    <w:rsid w:val="005378EC"/>
    <w:rsid w:val="00574405"/>
    <w:rsid w:val="005A0E21"/>
    <w:rsid w:val="005B3A34"/>
    <w:rsid w:val="005D49AF"/>
    <w:rsid w:val="005E415C"/>
    <w:rsid w:val="005E7946"/>
    <w:rsid w:val="005F7475"/>
    <w:rsid w:val="00611299"/>
    <w:rsid w:val="00616365"/>
    <w:rsid w:val="00616F3B"/>
    <w:rsid w:val="006249A7"/>
    <w:rsid w:val="00631951"/>
    <w:rsid w:val="0064225B"/>
    <w:rsid w:val="00652442"/>
    <w:rsid w:val="006828AF"/>
    <w:rsid w:val="006949BC"/>
    <w:rsid w:val="006D1229"/>
    <w:rsid w:val="006D7A18"/>
    <w:rsid w:val="006F3FB6"/>
    <w:rsid w:val="00723B7F"/>
    <w:rsid w:val="00725861"/>
    <w:rsid w:val="0073393A"/>
    <w:rsid w:val="0073539D"/>
    <w:rsid w:val="00767B8A"/>
    <w:rsid w:val="00775481"/>
    <w:rsid w:val="00785CE3"/>
    <w:rsid w:val="007A233B"/>
    <w:rsid w:val="007B4863"/>
    <w:rsid w:val="007C65E6"/>
    <w:rsid w:val="007D406B"/>
    <w:rsid w:val="007D4407"/>
    <w:rsid w:val="007D5F51"/>
    <w:rsid w:val="007E1CA3"/>
    <w:rsid w:val="00821713"/>
    <w:rsid w:val="00827050"/>
    <w:rsid w:val="0083278B"/>
    <w:rsid w:val="00834538"/>
    <w:rsid w:val="00850E89"/>
    <w:rsid w:val="00874692"/>
    <w:rsid w:val="008930E4"/>
    <w:rsid w:val="00893821"/>
    <w:rsid w:val="008A7B9C"/>
    <w:rsid w:val="008B2557"/>
    <w:rsid w:val="008B4754"/>
    <w:rsid w:val="008E6A7A"/>
    <w:rsid w:val="008F1038"/>
    <w:rsid w:val="008F7046"/>
    <w:rsid w:val="009005FC"/>
    <w:rsid w:val="00943315"/>
    <w:rsid w:val="00984B7F"/>
    <w:rsid w:val="0099249D"/>
    <w:rsid w:val="009A5451"/>
    <w:rsid w:val="009B696B"/>
    <w:rsid w:val="009B7671"/>
    <w:rsid w:val="009C1EDB"/>
    <w:rsid w:val="009F056E"/>
    <w:rsid w:val="00A26DCD"/>
    <w:rsid w:val="00A314BB"/>
    <w:rsid w:val="00A32B7D"/>
    <w:rsid w:val="00A5596B"/>
    <w:rsid w:val="00A646B3"/>
    <w:rsid w:val="00A6739B"/>
    <w:rsid w:val="00A90413"/>
    <w:rsid w:val="00AB0A9C"/>
    <w:rsid w:val="00AB7119"/>
    <w:rsid w:val="00AD5855"/>
    <w:rsid w:val="00AE7500"/>
    <w:rsid w:val="00AE7F87"/>
    <w:rsid w:val="00AF3542"/>
    <w:rsid w:val="00AF5ABE"/>
    <w:rsid w:val="00B00415"/>
    <w:rsid w:val="00B1000D"/>
    <w:rsid w:val="00B10134"/>
    <w:rsid w:val="00B16BFE"/>
    <w:rsid w:val="00B500E5"/>
    <w:rsid w:val="00BA39BB"/>
    <w:rsid w:val="00BA3B3D"/>
    <w:rsid w:val="00BC1FAD"/>
    <w:rsid w:val="00BD1909"/>
    <w:rsid w:val="00BE5E16"/>
    <w:rsid w:val="00BE5FD1"/>
    <w:rsid w:val="00C06E05"/>
    <w:rsid w:val="00C17370"/>
    <w:rsid w:val="00C26EC0"/>
    <w:rsid w:val="00C56C77"/>
    <w:rsid w:val="00CB7B3E"/>
    <w:rsid w:val="00CC739D"/>
    <w:rsid w:val="00D04468"/>
    <w:rsid w:val="00D17744"/>
    <w:rsid w:val="00D36257"/>
    <w:rsid w:val="00D4687E"/>
    <w:rsid w:val="00D53A12"/>
    <w:rsid w:val="00DB0C43"/>
    <w:rsid w:val="00DE3354"/>
    <w:rsid w:val="00DF7DCD"/>
    <w:rsid w:val="00EB7D28"/>
    <w:rsid w:val="00EC0D0C"/>
    <w:rsid w:val="00ED4A2C"/>
    <w:rsid w:val="00EF6940"/>
    <w:rsid w:val="00F2044A"/>
    <w:rsid w:val="00F20BFC"/>
    <w:rsid w:val="00F23596"/>
    <w:rsid w:val="00F24D5F"/>
    <w:rsid w:val="00F726C3"/>
    <w:rsid w:val="00F8554C"/>
    <w:rsid w:val="00F97A90"/>
    <w:rsid w:val="00FC2F35"/>
    <w:rsid w:val="00FC3FD7"/>
    <w:rsid w:val="00FD1FC6"/>
    <w:rsid w:val="00FE58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6D52C"/>
  <w15:docId w15:val="{B0CA5CD8-AEFB-4A7B-9B45-9CC4BB6F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pPr>
      <w:keepNext/>
      <w:spacing w:before="240" w:after="240"/>
      <w:jc w:val="cente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rsid w:val="0099249D"/>
    <w:pPr>
      <w:spacing w:before="24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53224F"/>
    <w:pPr>
      <w:numPr>
        <w:numId w:val="15"/>
      </w:numPr>
      <w:ind w:left="567" w:hanging="567"/>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uiPriority w:val="39"/>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1D425F"/>
    <w:rPr>
      <w:color w:val="605E5C"/>
      <w:shd w:val="clear" w:color="auto" w:fill="E1DFDD"/>
    </w:rPr>
  </w:style>
  <w:style w:type="paragraph" w:styleId="ListParagraph">
    <w:name w:val="List Paragraph"/>
    <w:basedOn w:val="Normal"/>
    <w:uiPriority w:val="34"/>
    <w:rsid w:val="00682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ryati_sr@unj.ac.id"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Downloads\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0520-6806-4672-815C-E18DC867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2019</Template>
  <TotalTime>35</TotalTime>
  <Pages>7</Pages>
  <Words>15935</Words>
  <Characters>90833</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106555</CharactersWithSpaces>
  <SharedDoc>false</SharedDoc>
  <HLinks>
    <vt:vector size="6" baseType="variant">
      <vt:variant>
        <vt:i4>3342376</vt:i4>
      </vt:variant>
      <vt:variant>
        <vt:i4>0</vt:i4>
      </vt:variant>
      <vt:variant>
        <vt:i4>0</vt:i4>
      </vt:variant>
      <vt:variant>
        <vt:i4>5</vt:i4>
      </vt:variant>
      <vt:variant>
        <vt:lpwstr>http://www.aip.org/pacs/index.html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Acer</dc:creator>
  <cp:lastModifiedBy>Engineering DIM 1</cp:lastModifiedBy>
  <cp:revision>7</cp:revision>
  <cp:lastPrinted>2011-03-03T08:29:00Z</cp:lastPrinted>
  <dcterms:created xsi:type="dcterms:W3CDTF">2020-08-17T12:41:00Z</dcterms:created>
  <dcterms:modified xsi:type="dcterms:W3CDTF">2020-08-18T01:13:00Z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3052716b-776f-3a41-88c8-217a90f1efb7</vt:lpwstr>
  </property>
  <property fmtid="{D5CDD505-2E9C-101B-9397-08002B2CF9AE}" pid="24" name="Mendeley Citation Style_1">
    <vt:lpwstr>http://www.zotero.org/styles/ieee</vt:lpwstr>
  </property>
</Properties>
</file>