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36" w:rsidRDefault="00C2507E" w:rsidP="00C2507E">
      <w:pPr>
        <w:spacing w:after="568"/>
        <w:rPr>
          <w:rFonts w:ascii="Times New Roman" w:eastAsia="Times New Roman" w:hAnsi="Times New Roman" w:cs="Times New Roman"/>
          <w:b/>
          <w:sz w:val="34"/>
          <w:szCs w:val="34"/>
        </w:rPr>
      </w:pPr>
      <w:r w:rsidRPr="00C2507E">
        <w:rPr>
          <w:rFonts w:ascii="Times New Roman" w:eastAsia="Times New Roman" w:hAnsi="Times New Roman" w:cs="Times New Roman"/>
          <w:b/>
          <w:sz w:val="34"/>
          <w:szCs w:val="34"/>
        </w:rPr>
        <w:t xml:space="preserve">Absorption Level Vocational High School Graduates </w:t>
      </w:r>
      <w:r>
        <w:rPr>
          <w:rFonts w:ascii="Times New Roman" w:eastAsia="Times New Roman" w:hAnsi="Times New Roman" w:cs="Times New Roman"/>
          <w:b/>
          <w:sz w:val="34"/>
          <w:szCs w:val="34"/>
          <w:lang w:val="id-ID"/>
        </w:rPr>
        <w:t>i</w:t>
      </w:r>
      <w:r w:rsidRPr="00C2507E">
        <w:rPr>
          <w:rFonts w:ascii="Times New Roman" w:eastAsia="Times New Roman" w:hAnsi="Times New Roman" w:cs="Times New Roman"/>
          <w:b/>
          <w:sz w:val="34"/>
          <w:szCs w:val="34"/>
        </w:rPr>
        <w:t>n Industrial</w:t>
      </w:r>
    </w:p>
    <w:p w:rsidR="00860F36" w:rsidRDefault="00C2507E" w:rsidP="00C2507E">
      <w:pPr>
        <w:spacing w:after="0"/>
        <w:ind w:left="1418"/>
        <w:rPr>
          <w:rFonts w:ascii="Times New Roman" w:eastAsia="Times New Roman" w:hAnsi="Times New Roman" w:cs="Times New Roman"/>
          <w:b/>
        </w:rPr>
      </w:pPr>
      <w:r>
        <w:rPr>
          <w:rFonts w:ascii="Times New Roman" w:eastAsia="Times New Roman" w:hAnsi="Times New Roman" w:cs="Times New Roman"/>
          <w:b/>
          <w:lang w:val="id-ID"/>
        </w:rPr>
        <w:t>Muhammad Kris Yuan Hidayatuloh</w:t>
      </w:r>
      <w:r w:rsidR="006D7404">
        <w:rPr>
          <w:rFonts w:ascii="Times New Roman" w:eastAsia="Times New Roman" w:hAnsi="Times New Roman" w:cs="Times New Roman"/>
          <w:b/>
          <w:vertAlign w:val="superscript"/>
        </w:rPr>
        <w:t>1</w:t>
      </w:r>
      <w:r w:rsidR="006D7404">
        <w:rPr>
          <w:rFonts w:ascii="Times New Roman" w:eastAsia="Times New Roman" w:hAnsi="Times New Roman" w:cs="Times New Roman"/>
          <w:b/>
        </w:rPr>
        <w:t xml:space="preserve"> and </w:t>
      </w:r>
      <w:r>
        <w:rPr>
          <w:rFonts w:ascii="Times New Roman" w:eastAsia="Times New Roman" w:hAnsi="Times New Roman" w:cs="Times New Roman"/>
          <w:b/>
          <w:lang w:val="id-ID"/>
        </w:rPr>
        <w:t>Supari Muslim</w:t>
      </w:r>
      <w:r w:rsidR="006D7404">
        <w:rPr>
          <w:rFonts w:ascii="Times New Roman" w:eastAsia="Times New Roman" w:hAnsi="Times New Roman" w:cs="Times New Roman"/>
          <w:b/>
          <w:vertAlign w:val="superscript"/>
        </w:rPr>
        <w:t xml:space="preserve">2  </w:t>
      </w:r>
    </w:p>
    <w:p w:rsidR="00860F36" w:rsidRDefault="00860F36">
      <w:pPr>
        <w:spacing w:after="0"/>
        <w:ind w:left="1418"/>
        <w:rPr>
          <w:rFonts w:ascii="Times New Roman" w:eastAsia="Times New Roman" w:hAnsi="Times New Roman" w:cs="Times New Roman"/>
          <w:vertAlign w:val="superscript"/>
        </w:rPr>
      </w:pPr>
    </w:p>
    <w:p w:rsidR="00860F36" w:rsidRPr="00C2507E" w:rsidRDefault="006D7404" w:rsidP="00C2507E">
      <w:pPr>
        <w:spacing w:after="0"/>
        <w:ind w:left="1418"/>
        <w:rPr>
          <w:rFonts w:ascii="Times New Roman" w:eastAsia="Times New Roman" w:hAnsi="Times New Roman" w:cs="Times New Roman"/>
          <w:lang w:val="id-ID"/>
        </w:rPr>
      </w:pPr>
      <w:proofErr w:type="gramStart"/>
      <w:r>
        <w:rPr>
          <w:rFonts w:ascii="Times New Roman" w:eastAsia="Times New Roman" w:hAnsi="Times New Roman" w:cs="Times New Roman"/>
          <w:vertAlign w:val="superscript"/>
        </w:rPr>
        <w:t>1</w:t>
      </w:r>
      <w:r w:rsidR="00C2507E">
        <w:rPr>
          <w:rFonts w:ascii="Times New Roman" w:eastAsia="Times New Roman" w:hAnsi="Times New Roman" w:cs="Times New Roman"/>
          <w:lang w:val="id-ID"/>
        </w:rPr>
        <w:t>Universitas KH.</w:t>
      </w:r>
      <w:proofErr w:type="gramEnd"/>
      <w:r w:rsidR="00C2507E">
        <w:rPr>
          <w:rFonts w:ascii="Times New Roman" w:eastAsia="Times New Roman" w:hAnsi="Times New Roman" w:cs="Times New Roman"/>
          <w:lang w:val="id-ID"/>
        </w:rPr>
        <w:t xml:space="preserve"> A. Wahab Hasbullah</w:t>
      </w:r>
      <w:r>
        <w:rPr>
          <w:rFonts w:ascii="Times New Roman" w:eastAsia="Times New Roman" w:hAnsi="Times New Roman" w:cs="Times New Roman"/>
        </w:rPr>
        <w:t xml:space="preserve">, </w:t>
      </w:r>
      <w:r w:rsidR="00C2507E">
        <w:rPr>
          <w:rFonts w:ascii="Times New Roman" w:eastAsia="Times New Roman" w:hAnsi="Times New Roman" w:cs="Times New Roman"/>
          <w:lang w:val="id-ID"/>
        </w:rPr>
        <w:t>Jl. Garuda no. 9 Tambakberas Jombang, Indonesia</w:t>
      </w:r>
    </w:p>
    <w:p w:rsidR="00860F36" w:rsidRDefault="006D7404" w:rsidP="00C2507E">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00C2507E">
        <w:rPr>
          <w:rFonts w:ascii="Times New Roman" w:eastAsia="Times New Roman" w:hAnsi="Times New Roman" w:cs="Times New Roman"/>
          <w:lang w:val="id-ID"/>
        </w:rPr>
        <w:t>Universitas Negeri Surabaya</w:t>
      </w:r>
      <w:r>
        <w:rPr>
          <w:rFonts w:ascii="Times New Roman" w:eastAsia="Times New Roman" w:hAnsi="Times New Roman" w:cs="Times New Roman"/>
        </w:rPr>
        <w:t xml:space="preserve">, </w:t>
      </w:r>
      <w:r w:rsidR="00C2507E" w:rsidRPr="00C2507E">
        <w:rPr>
          <w:rFonts w:ascii="Times New Roman" w:eastAsia="Times New Roman" w:hAnsi="Times New Roman" w:cs="Times New Roman"/>
        </w:rPr>
        <w:t>Jl. Ketintang Wiyata, Ketintang, Gayungan, Surabaya</w:t>
      </w:r>
      <w:r w:rsidR="00C2507E">
        <w:rPr>
          <w:rFonts w:ascii="Times New Roman" w:eastAsia="Times New Roman" w:hAnsi="Times New Roman" w:cs="Times New Roman"/>
          <w:lang w:val="id-ID"/>
        </w:rPr>
        <w:t>, Indonesia</w:t>
      </w:r>
      <w:r>
        <w:rPr>
          <w:rFonts w:ascii="Times New Roman" w:eastAsia="Times New Roman" w:hAnsi="Times New Roman" w:cs="Times New Roman"/>
        </w:rPr>
        <w:t xml:space="preserve"> </w:t>
      </w:r>
    </w:p>
    <w:p w:rsidR="00860F36" w:rsidRDefault="00860F36">
      <w:pPr>
        <w:spacing w:after="0"/>
        <w:ind w:left="1418"/>
        <w:rPr>
          <w:rFonts w:ascii="Times New Roman" w:eastAsia="Times New Roman" w:hAnsi="Times New Roman" w:cs="Times New Roman"/>
        </w:rPr>
      </w:pPr>
    </w:p>
    <w:p w:rsidR="00860F36" w:rsidRPr="00C2507E" w:rsidRDefault="006D7404" w:rsidP="00C2507E">
      <w:pPr>
        <w:spacing w:after="568"/>
        <w:ind w:left="1418"/>
        <w:rPr>
          <w:rFonts w:ascii="Times New Roman" w:eastAsia="Times New Roman" w:hAnsi="Times New Roman" w:cs="Times New Roman"/>
          <w:lang w:val="id-ID"/>
        </w:rPr>
      </w:pPr>
      <w:r>
        <w:rPr>
          <w:rFonts w:ascii="Times New Roman" w:eastAsia="Times New Roman" w:hAnsi="Times New Roman" w:cs="Times New Roman"/>
        </w:rPr>
        <w:t xml:space="preserve">E-mail: </w:t>
      </w:r>
      <w:r w:rsidR="00C2507E">
        <w:rPr>
          <w:rFonts w:ascii="Times New Roman" w:eastAsia="Times New Roman" w:hAnsi="Times New Roman" w:cs="Times New Roman"/>
          <w:lang w:val="id-ID"/>
        </w:rPr>
        <w:t>krisyuan@unwaha.ac.id</w:t>
      </w:r>
    </w:p>
    <w:p w:rsidR="00860F36" w:rsidRDefault="006D7404" w:rsidP="00506A07">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E156D5" w:rsidRPr="00E156D5">
        <w:rPr>
          <w:rFonts w:ascii="Times New Roman" w:eastAsia="Times New Roman" w:hAnsi="Times New Roman" w:cs="Times New Roman"/>
          <w:sz w:val="20"/>
          <w:szCs w:val="20"/>
        </w:rPr>
        <w:t xml:space="preserve">This study aims to analyze the absorption of vocational students' graduates on the fulfillment of the workforce in their area based on the suitability of their competencies. This study uses a quantitative approach in describing the level of absorption of graduates in the world of work with documentation that has been carried out at </w:t>
      </w:r>
      <w:r w:rsidR="00800C6E">
        <w:rPr>
          <w:rFonts w:ascii="Times New Roman" w:eastAsia="Times New Roman" w:hAnsi="Times New Roman" w:cs="Times New Roman"/>
          <w:sz w:val="20"/>
          <w:szCs w:val="20"/>
          <w:lang w:val="id-ID"/>
        </w:rPr>
        <w:t>vocational high school in</w:t>
      </w:r>
      <w:r w:rsidR="00E156D5" w:rsidRPr="00E156D5">
        <w:rPr>
          <w:rFonts w:ascii="Times New Roman" w:eastAsia="Times New Roman" w:hAnsi="Times New Roman" w:cs="Times New Roman"/>
          <w:sz w:val="20"/>
          <w:szCs w:val="20"/>
        </w:rPr>
        <w:t xml:space="preserve"> Jombang</w:t>
      </w:r>
      <w:r w:rsidR="00800C6E">
        <w:rPr>
          <w:rFonts w:ascii="Times New Roman" w:eastAsia="Times New Roman" w:hAnsi="Times New Roman" w:cs="Times New Roman"/>
          <w:sz w:val="20"/>
          <w:szCs w:val="20"/>
          <w:lang w:val="id-ID"/>
        </w:rPr>
        <w:t xml:space="preserve"> D</w:t>
      </w:r>
      <w:r w:rsidR="00800C6E" w:rsidRPr="00800C6E">
        <w:rPr>
          <w:rFonts w:ascii="Times New Roman" w:eastAsia="Times New Roman" w:hAnsi="Times New Roman" w:cs="Times New Roman"/>
          <w:sz w:val="20"/>
          <w:szCs w:val="20"/>
          <w:lang w:val="id-ID"/>
        </w:rPr>
        <w:t>istricts</w:t>
      </w:r>
      <w:r w:rsidR="00E156D5" w:rsidRPr="00E156D5">
        <w:rPr>
          <w:rFonts w:ascii="Times New Roman" w:eastAsia="Times New Roman" w:hAnsi="Times New Roman" w:cs="Times New Roman"/>
          <w:sz w:val="20"/>
          <w:szCs w:val="20"/>
        </w:rPr>
        <w:t xml:space="preserve">. The subjects used in this study were data from all students of </w:t>
      </w:r>
      <w:r w:rsidR="003C338A">
        <w:rPr>
          <w:rFonts w:ascii="Times New Roman" w:eastAsia="Times New Roman" w:hAnsi="Times New Roman" w:cs="Times New Roman"/>
          <w:sz w:val="20"/>
          <w:szCs w:val="20"/>
          <w:lang w:val="id-ID"/>
        </w:rPr>
        <w:t>vocational high school</w:t>
      </w:r>
      <w:r w:rsidR="00800C6E">
        <w:rPr>
          <w:rFonts w:ascii="Times New Roman" w:eastAsia="Times New Roman" w:hAnsi="Times New Roman" w:cs="Times New Roman"/>
          <w:sz w:val="20"/>
          <w:szCs w:val="20"/>
          <w:lang w:val="id-ID"/>
        </w:rPr>
        <w:t xml:space="preserve"> in </w:t>
      </w:r>
      <w:r w:rsidR="00800C6E" w:rsidRPr="00E156D5">
        <w:rPr>
          <w:rFonts w:ascii="Times New Roman" w:eastAsia="Times New Roman" w:hAnsi="Times New Roman" w:cs="Times New Roman"/>
          <w:sz w:val="20"/>
          <w:szCs w:val="20"/>
        </w:rPr>
        <w:t>Jombang</w:t>
      </w:r>
      <w:r w:rsidR="00800C6E">
        <w:rPr>
          <w:rFonts w:ascii="Times New Roman" w:eastAsia="Times New Roman" w:hAnsi="Times New Roman" w:cs="Times New Roman"/>
          <w:sz w:val="20"/>
          <w:szCs w:val="20"/>
          <w:lang w:val="id-ID"/>
        </w:rPr>
        <w:t xml:space="preserve"> D</w:t>
      </w:r>
      <w:r w:rsidR="00800C6E" w:rsidRPr="00800C6E">
        <w:rPr>
          <w:rFonts w:ascii="Times New Roman" w:eastAsia="Times New Roman" w:hAnsi="Times New Roman" w:cs="Times New Roman"/>
          <w:sz w:val="20"/>
          <w:szCs w:val="20"/>
          <w:lang w:val="id-ID"/>
        </w:rPr>
        <w:t>istricts</w:t>
      </w:r>
      <w:r w:rsidR="00E156D5" w:rsidRPr="00E156D5">
        <w:rPr>
          <w:rFonts w:ascii="Times New Roman" w:eastAsia="Times New Roman" w:hAnsi="Times New Roman" w:cs="Times New Roman"/>
          <w:sz w:val="20"/>
          <w:szCs w:val="20"/>
        </w:rPr>
        <w:t xml:space="preserve"> </w:t>
      </w:r>
      <w:r w:rsidR="00800C6E">
        <w:rPr>
          <w:rFonts w:ascii="Times New Roman" w:eastAsia="Times New Roman" w:hAnsi="Times New Roman" w:cs="Times New Roman"/>
          <w:sz w:val="20"/>
          <w:szCs w:val="20"/>
          <w:lang w:val="id-ID"/>
        </w:rPr>
        <w:t>at</w:t>
      </w:r>
      <w:r w:rsidR="00E156D5" w:rsidRPr="00E156D5">
        <w:rPr>
          <w:rFonts w:ascii="Times New Roman" w:eastAsia="Times New Roman" w:hAnsi="Times New Roman" w:cs="Times New Roman"/>
          <w:sz w:val="20"/>
          <w:szCs w:val="20"/>
        </w:rPr>
        <w:t xml:space="preserve"> the field of technology and engineering expertise for three periods (2018, 2017, </w:t>
      </w:r>
      <w:proofErr w:type="gramStart"/>
      <w:r w:rsidR="00E156D5" w:rsidRPr="00E156D5">
        <w:rPr>
          <w:rFonts w:ascii="Times New Roman" w:eastAsia="Times New Roman" w:hAnsi="Times New Roman" w:cs="Times New Roman"/>
          <w:sz w:val="20"/>
          <w:szCs w:val="20"/>
        </w:rPr>
        <w:t>2016</w:t>
      </w:r>
      <w:proofErr w:type="gramEnd"/>
      <w:r w:rsidR="00E156D5" w:rsidRPr="00E156D5">
        <w:rPr>
          <w:rFonts w:ascii="Times New Roman" w:eastAsia="Times New Roman" w:hAnsi="Times New Roman" w:cs="Times New Roman"/>
          <w:sz w:val="20"/>
          <w:szCs w:val="20"/>
        </w:rPr>
        <w:t xml:space="preserve">). The findings of this study are the absorption of graduates in </w:t>
      </w:r>
      <w:r w:rsidR="00800C6E">
        <w:rPr>
          <w:rFonts w:ascii="Times New Roman" w:eastAsia="Times New Roman" w:hAnsi="Times New Roman" w:cs="Times New Roman"/>
          <w:sz w:val="20"/>
          <w:szCs w:val="20"/>
          <w:lang w:val="id-ID"/>
        </w:rPr>
        <w:t>vocational high school</w:t>
      </w:r>
      <w:r w:rsidR="00E156D5" w:rsidRPr="00E156D5">
        <w:rPr>
          <w:rFonts w:ascii="Times New Roman" w:eastAsia="Times New Roman" w:hAnsi="Times New Roman" w:cs="Times New Roman"/>
          <w:sz w:val="20"/>
          <w:szCs w:val="20"/>
        </w:rPr>
        <w:t xml:space="preserve"> </w:t>
      </w:r>
      <w:r w:rsidR="00800C6E">
        <w:rPr>
          <w:rFonts w:ascii="Times New Roman" w:eastAsia="Times New Roman" w:hAnsi="Times New Roman" w:cs="Times New Roman"/>
          <w:sz w:val="20"/>
          <w:szCs w:val="20"/>
          <w:lang w:val="id-ID"/>
        </w:rPr>
        <w:t xml:space="preserve">in </w:t>
      </w:r>
      <w:r w:rsidR="00800C6E" w:rsidRPr="00E156D5">
        <w:rPr>
          <w:rFonts w:ascii="Times New Roman" w:eastAsia="Times New Roman" w:hAnsi="Times New Roman" w:cs="Times New Roman"/>
          <w:sz w:val="20"/>
          <w:szCs w:val="20"/>
        </w:rPr>
        <w:t>Jombang</w:t>
      </w:r>
      <w:r w:rsidR="00800C6E">
        <w:rPr>
          <w:rFonts w:ascii="Times New Roman" w:eastAsia="Times New Roman" w:hAnsi="Times New Roman" w:cs="Times New Roman"/>
          <w:sz w:val="20"/>
          <w:szCs w:val="20"/>
          <w:lang w:val="id-ID"/>
        </w:rPr>
        <w:t xml:space="preserve"> D</w:t>
      </w:r>
      <w:r w:rsidR="00800C6E" w:rsidRPr="00800C6E">
        <w:rPr>
          <w:rFonts w:ascii="Times New Roman" w:eastAsia="Times New Roman" w:hAnsi="Times New Roman" w:cs="Times New Roman"/>
          <w:sz w:val="20"/>
          <w:szCs w:val="20"/>
          <w:lang w:val="id-ID"/>
        </w:rPr>
        <w:t>istricts</w:t>
      </w:r>
      <w:r w:rsidR="00E156D5" w:rsidRPr="00E156D5">
        <w:rPr>
          <w:rFonts w:ascii="Times New Roman" w:eastAsia="Times New Roman" w:hAnsi="Times New Roman" w:cs="Times New Roman"/>
          <w:sz w:val="20"/>
          <w:szCs w:val="20"/>
        </w:rPr>
        <w:t xml:space="preserve"> is quite high because it is included in the category of most of the graduates can be absorbed by </w:t>
      </w:r>
      <w:r w:rsidR="00800C6E">
        <w:rPr>
          <w:rFonts w:ascii="Times New Roman" w:eastAsia="Times New Roman" w:hAnsi="Times New Roman" w:cs="Times New Roman"/>
          <w:sz w:val="20"/>
          <w:szCs w:val="20"/>
          <w:lang w:val="id-ID"/>
        </w:rPr>
        <w:t>industry</w:t>
      </w:r>
      <w:r w:rsidR="00E156D5" w:rsidRPr="00E156D5">
        <w:rPr>
          <w:rFonts w:ascii="Times New Roman" w:eastAsia="Times New Roman" w:hAnsi="Times New Roman" w:cs="Times New Roman"/>
          <w:sz w:val="20"/>
          <w:szCs w:val="20"/>
        </w:rPr>
        <w:t xml:space="preserve"> with the greatest absorption rate of </w:t>
      </w:r>
      <w:r w:rsidR="00506A07">
        <w:rPr>
          <w:rFonts w:ascii="Times New Roman" w:eastAsia="Times New Roman" w:hAnsi="Times New Roman" w:cs="Times New Roman"/>
          <w:sz w:val="20"/>
          <w:szCs w:val="20"/>
          <w:lang w:val="id-ID"/>
        </w:rPr>
        <w:t>ME</w:t>
      </w:r>
      <w:r w:rsidR="00E156D5" w:rsidRPr="00E156D5">
        <w:rPr>
          <w:rFonts w:ascii="Times New Roman" w:eastAsia="Times New Roman" w:hAnsi="Times New Roman" w:cs="Times New Roman"/>
          <w:sz w:val="20"/>
          <w:szCs w:val="20"/>
        </w:rPr>
        <w:t xml:space="preserve"> expertise programs in the amount of 94.97% and the lowest absorption rate of </w:t>
      </w:r>
      <w:r w:rsidR="00506A07">
        <w:rPr>
          <w:rFonts w:ascii="Times New Roman" w:eastAsia="Times New Roman" w:hAnsi="Times New Roman" w:cs="Times New Roman"/>
          <w:sz w:val="20"/>
          <w:szCs w:val="20"/>
          <w:lang w:val="id-ID"/>
        </w:rPr>
        <w:t>BDE</w:t>
      </w:r>
      <w:r w:rsidR="00E156D5" w:rsidRPr="00E156D5">
        <w:rPr>
          <w:rFonts w:ascii="Times New Roman" w:eastAsia="Times New Roman" w:hAnsi="Times New Roman" w:cs="Times New Roman"/>
          <w:sz w:val="20"/>
          <w:szCs w:val="20"/>
        </w:rPr>
        <w:t xml:space="preserve"> expertise programs at </w:t>
      </w:r>
      <w:proofErr w:type="gramStart"/>
      <w:r w:rsidR="00E156D5" w:rsidRPr="00E156D5">
        <w:rPr>
          <w:rFonts w:ascii="Times New Roman" w:eastAsia="Times New Roman" w:hAnsi="Times New Roman" w:cs="Times New Roman"/>
          <w:sz w:val="20"/>
          <w:szCs w:val="20"/>
        </w:rPr>
        <w:t>65 ,</w:t>
      </w:r>
      <w:proofErr w:type="gramEnd"/>
      <w:r w:rsidR="00E156D5" w:rsidRPr="00E156D5">
        <w:rPr>
          <w:rFonts w:ascii="Times New Roman" w:eastAsia="Times New Roman" w:hAnsi="Times New Roman" w:cs="Times New Roman"/>
          <w:sz w:val="20"/>
          <w:szCs w:val="20"/>
        </w:rPr>
        <w:t xml:space="preserve"> 20%. However, the absorption of </w:t>
      </w:r>
      <w:r w:rsidR="00800C6E">
        <w:rPr>
          <w:rFonts w:ascii="Times New Roman" w:eastAsia="Times New Roman" w:hAnsi="Times New Roman" w:cs="Times New Roman"/>
          <w:sz w:val="20"/>
          <w:szCs w:val="20"/>
          <w:lang w:val="id-ID"/>
        </w:rPr>
        <w:t>industry</w:t>
      </w:r>
      <w:r w:rsidR="00E156D5" w:rsidRPr="00E156D5">
        <w:rPr>
          <w:rFonts w:ascii="Times New Roman" w:eastAsia="Times New Roman" w:hAnsi="Times New Roman" w:cs="Times New Roman"/>
          <w:sz w:val="20"/>
          <w:szCs w:val="20"/>
        </w:rPr>
        <w:t xml:space="preserve"> graduates outside </w:t>
      </w:r>
      <w:r w:rsidR="00800C6E" w:rsidRPr="00E156D5">
        <w:rPr>
          <w:rFonts w:ascii="Times New Roman" w:eastAsia="Times New Roman" w:hAnsi="Times New Roman" w:cs="Times New Roman"/>
          <w:sz w:val="20"/>
          <w:szCs w:val="20"/>
        </w:rPr>
        <w:t>Jombang</w:t>
      </w:r>
      <w:r w:rsidR="00800C6E">
        <w:rPr>
          <w:rFonts w:ascii="Times New Roman" w:eastAsia="Times New Roman" w:hAnsi="Times New Roman" w:cs="Times New Roman"/>
          <w:sz w:val="20"/>
          <w:szCs w:val="20"/>
          <w:lang w:val="id-ID"/>
        </w:rPr>
        <w:t xml:space="preserve"> D</w:t>
      </w:r>
      <w:r w:rsidR="00800C6E" w:rsidRPr="00800C6E">
        <w:rPr>
          <w:rFonts w:ascii="Times New Roman" w:eastAsia="Times New Roman" w:hAnsi="Times New Roman" w:cs="Times New Roman"/>
          <w:sz w:val="20"/>
          <w:szCs w:val="20"/>
          <w:lang w:val="id-ID"/>
        </w:rPr>
        <w:t>istricts</w:t>
      </w:r>
      <w:r>
        <w:rPr>
          <w:rFonts w:ascii="Times New Roman" w:eastAsia="Times New Roman" w:hAnsi="Times New Roman" w:cs="Times New Roman"/>
          <w:sz w:val="20"/>
          <w:szCs w:val="20"/>
        </w:rPr>
        <w:t xml:space="preserve">. </w:t>
      </w:r>
    </w:p>
    <w:p w:rsidR="00860F36" w:rsidRDefault="006D740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9B5AAA" w:rsidRPr="009B5AAA" w:rsidRDefault="009B5AAA" w:rsidP="009138D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9B5AAA">
        <w:rPr>
          <w:rFonts w:ascii="Times New Roman" w:eastAsia="Times New Roman" w:hAnsi="Times New Roman" w:cs="Times New Roman"/>
          <w:color w:val="000000"/>
        </w:rPr>
        <w:t>Regarding Indonesia's competitiveness, based on data source</w:t>
      </w:r>
      <w:r w:rsidR="008A5FC1">
        <w:rPr>
          <w:rFonts w:ascii="Times New Roman" w:eastAsia="Times New Roman" w:hAnsi="Times New Roman" w:cs="Times New Roman"/>
          <w:color w:val="000000"/>
        </w:rPr>
        <w:t>d from the World Economic Forum</w:t>
      </w:r>
      <w:r w:rsidRPr="009B5AAA">
        <w:rPr>
          <w:rFonts w:ascii="Times New Roman" w:eastAsia="Times New Roman" w:hAnsi="Times New Roman" w:cs="Times New Roman"/>
          <w:color w:val="000000"/>
        </w:rPr>
        <w:t xml:space="preserve"> in 201</w:t>
      </w:r>
      <w:r w:rsidR="008A5FC1">
        <w:rPr>
          <w:rFonts w:ascii="Times New Roman" w:eastAsia="Times New Roman" w:hAnsi="Times New Roman" w:cs="Times New Roman"/>
          <w:color w:val="000000"/>
          <w:lang w:val="id-ID"/>
        </w:rPr>
        <w:t>9</w:t>
      </w:r>
      <w:r w:rsidRPr="009B5AAA">
        <w:rPr>
          <w:rFonts w:ascii="Times New Roman" w:eastAsia="Times New Roman" w:hAnsi="Times New Roman" w:cs="Times New Roman"/>
          <w:color w:val="000000"/>
        </w:rPr>
        <w:t xml:space="preserve"> Indonesia's Global Competitiveness Index is ranked 45th far below ASEAN countries, namely Singapore ranked 7th, Malaysia ranked 21th and Thailand ranked 28th. Specifically for the 6th pillar on skills, Indonesia is ranked 62nd, also still inferior to Singapore (20), and Malaysia (24), but already superior to Thailand (66). This condition shows that various Indonesian commodities are less competitive in the global market including their human resources. Competitiveness is a set of intuitions, policies, and factors that determine the level of productivity of a country. It is known that lack of job opportunities is a problem for graduates. Employability is a transition from formal education to the world of work. This is defined as the ability to get a job after graduation or as a variety of skills that students must master in order to be employe</w:t>
      </w:r>
      <w:r w:rsidR="00DA123E">
        <w:rPr>
          <w:rFonts w:ascii="Times New Roman" w:eastAsia="Times New Roman" w:hAnsi="Times New Roman" w:cs="Times New Roman"/>
          <w:color w:val="000000"/>
        </w:rPr>
        <w:t>d in the Business and Industr</w:t>
      </w:r>
      <w:r w:rsidR="00DA123E">
        <w:rPr>
          <w:rFonts w:ascii="Times New Roman" w:eastAsia="Times New Roman" w:hAnsi="Times New Roman" w:cs="Times New Roman"/>
          <w:color w:val="000000"/>
          <w:lang w:val="id-ID"/>
        </w:rPr>
        <w:t>y</w:t>
      </w:r>
      <w:r w:rsidR="00DA123E">
        <w:rPr>
          <w:rFonts w:ascii="Times New Roman" w:eastAsia="Times New Roman" w:hAnsi="Times New Roman" w:cs="Times New Roman"/>
          <w:color w:val="000000"/>
        </w:rPr>
        <w:t xml:space="preserve"> </w:t>
      </w:r>
      <w:r w:rsidR="00DA123E">
        <w:rPr>
          <w:rFonts w:ascii="Times New Roman" w:eastAsia="Times New Roman" w:hAnsi="Times New Roman" w:cs="Times New Roman"/>
          <w:color w:val="000000"/>
        </w:rPr>
        <w:fldChar w:fldCharType="begin" w:fldLock="1"/>
      </w:r>
      <w:r w:rsidR="008E7EC5">
        <w:rPr>
          <w:rFonts w:ascii="Times New Roman" w:eastAsia="Times New Roman" w:hAnsi="Times New Roman" w:cs="Times New Roman"/>
          <w:color w:val="000000"/>
        </w:rPr>
        <w:instrText>ADDIN CSL_CITATION { "citationItems" : [ { "id" : "ITEM-1", "itemData" : { "DOI" : "10.1186/s12909-019-1893-3", "ISSN" : "1472-6920", "abstract" : "This study investigated employers\u2019 perspectives on the impact of a supervised practice program (SPP), guided by international accreditation standards on the skill development and potential employability of dietetics students.", "author" : [ { "dropping-particle" : "", "family" : "Bawadi", "given" : "Hiba", "non-dropping-particle" : "", "parse-names" : false, "suffix" : "" }, { "dropping-particle" : "", "family" : "Al-Jayyousi", "given" : "Ghadir Fakhri", "non-dropping-particle" : "", "parse-names" : false, "suffix" : "" }, { "dropping-particle" : "", "family" : "Du", "given" : "Xiangyun", "non-dropping-particle" : "", "parse-names" : false, "suffix" : "" }, { "dropping-particle" : "", "family" : "Ganji", "given" : "Vijay", "non-dropping-particle" : "", "parse-names" : false, "suffix" : "" }, { "dropping-particle" : "", "family" : "Kerkadi", "given" : "Abdelhamid", "non-dropping-particle" : "", "parse-names" : false, "suffix" : "" }, { "dropping-particle" : "", "family" : "Moawad", "given" : "Joyce", "non-dropping-particle" : "", "parse-names" : false, "suffix" : "" }, { "dropping-particle" : "", "family" : "Abunada", "given" : "Taghreed", "non-dropping-particle" : "", "parse-names" : false, "suffix" : "" } ], "container-title" : "BMC Medical Education", "id" : "ITEM-1", "issue" : "1", "issued" : { "date-parts" : [ [ "2019" ] ] }, "page" : "458", "title" : "Supervised practice program guided by the Accreditation Council for Education in Nutrition and Dietetics standards improves potential employability of nutrition/dietetics graduates: perspective of employers and preceptors", "type" : "article-journal", "volume" : "19" }, "uris" : [ "http://www.mendeley.com/documents/?uuid=649383e5-b1c7-4b2d-960c-dd07034bc57f" ] } ], "mendeley" : { "formattedCitation" : "[1]", "plainTextFormattedCitation" : "[1]", "previouslyFormattedCitation" : "(Bawadi et al., 2019)" }, "properties" : { "noteIndex" : 0 }, "schema" : "https://github.com/citation-style-language/schema/raw/master/csl-citation.json" }</w:instrText>
      </w:r>
      <w:r w:rsidR="00DA123E">
        <w:rPr>
          <w:rFonts w:ascii="Times New Roman" w:eastAsia="Times New Roman" w:hAnsi="Times New Roman" w:cs="Times New Roman"/>
          <w:color w:val="000000"/>
        </w:rPr>
        <w:fldChar w:fldCharType="separate"/>
      </w:r>
      <w:r w:rsidR="008E7EC5" w:rsidRPr="008E7EC5">
        <w:rPr>
          <w:rFonts w:ascii="Times New Roman" w:eastAsia="Times New Roman" w:hAnsi="Times New Roman" w:cs="Times New Roman"/>
          <w:noProof/>
          <w:color w:val="000000"/>
        </w:rPr>
        <w:t>[1]</w:t>
      </w:r>
      <w:r w:rsidR="00DA123E">
        <w:rPr>
          <w:rFonts w:ascii="Times New Roman" w:eastAsia="Times New Roman" w:hAnsi="Times New Roman" w:cs="Times New Roman"/>
          <w:color w:val="000000"/>
        </w:rPr>
        <w:fldChar w:fldCharType="end"/>
      </w:r>
      <w:r w:rsidRPr="009B5AAA">
        <w:rPr>
          <w:rFonts w:ascii="Times New Roman" w:eastAsia="Times New Roman" w:hAnsi="Times New Roman" w:cs="Times New Roman"/>
          <w:color w:val="000000"/>
        </w:rPr>
        <w:t>. The transformation of the global economy triggered by technological advances has increased the demand for skilled workers, and many fast-growing industries are currently experiencing a shortage of workers who are trained to meet the needs of the global market</w:t>
      </w:r>
      <w:r w:rsidR="008A5FC1">
        <w:rPr>
          <w:rFonts w:ascii="Times New Roman" w:eastAsia="Times New Roman" w:hAnsi="Times New Roman" w:cs="Times New Roman"/>
          <w:color w:val="000000"/>
          <w:lang w:val="id-ID"/>
        </w:rPr>
        <w:t xml:space="preserve"> </w:t>
      </w:r>
      <w:r w:rsidR="008A5FC1">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"DOI" : "10.1186/s40461-020-00089-6", "ISSN" : "1877-6345", "abstract" : "Technical and vocational education and training (TVET) plays a critical role in developing essential labor market skills. In Saudi Arabia, participation in TVET has traditionally been stigmatized in favor of white-collar jobs. However, the importance of skilled labor has increased in Saudi Arabia\u2019s private sector as the country\u2019s Vision 2030 focuses on moving the economy from oil to investment. This quantitative study investigates the role of recent socio-economic transformations in changing attitudes toward TVET. Statistical analysis of a questionnaire distributed to 1007 TVET students identified a significant relationship between perceptions of TVET and gender, family income, and parental educational level.", "author" : [ { "dropping-particle" : "", "family" : "Aldossari", "given" : "Abdulaziz Salem", "non-dropping-particle" : "", "parse-names" : false, "suffix" : "" } ], "container-title" : "Empirical Research in Vocational Education and Training", "id" : "ITEM-1", "issue" : "1", "issued" : { "date-parts" : [ [ "2020" ] ] }, "page" : "3", "title" : "Vision 2030 and reducing the stigma of vocational and technical training among Saudi Arabian students", "type" : "article-journal", "volume" : "12" }, "uris" : [ "http://www.mendeley.com/documents/?uuid=cb71abb7-d42a-4081-832d-e0479744ee38" ] } ], "mendeley" : { "formattedCitation" : "[2]", "plainTextFormattedCitation" : "[2]", "previouslyFormattedCitation" : "(Aldossari, 2020)" }, "properties" : { "noteIndex" : 0 }, "schema" : "https://github.com/citation-style-language/schema/raw/master/csl-citation.json" }</w:instrText>
      </w:r>
      <w:r w:rsidR="008A5FC1">
        <w:rPr>
          <w:rFonts w:ascii="Times New Roman" w:eastAsia="Times New Roman" w:hAnsi="Times New Roman" w:cs="Times New Roman"/>
          <w:color w:val="000000"/>
          <w:lang w:val="id-ID"/>
        </w:rPr>
        <w:fldChar w:fldCharType="separate"/>
      </w:r>
      <w:r w:rsidR="008E7EC5" w:rsidRPr="008E7EC5">
        <w:rPr>
          <w:rFonts w:ascii="Times New Roman" w:eastAsia="Times New Roman" w:hAnsi="Times New Roman" w:cs="Times New Roman"/>
          <w:noProof/>
          <w:color w:val="000000"/>
          <w:lang w:val="id-ID"/>
        </w:rPr>
        <w:t>[2]</w:t>
      </w:r>
      <w:r w:rsidR="008A5FC1">
        <w:rPr>
          <w:rFonts w:ascii="Times New Roman" w:eastAsia="Times New Roman" w:hAnsi="Times New Roman" w:cs="Times New Roman"/>
          <w:color w:val="000000"/>
          <w:lang w:val="id-ID"/>
        </w:rPr>
        <w:fldChar w:fldCharType="end"/>
      </w:r>
      <w:r w:rsidRPr="009B5AAA">
        <w:rPr>
          <w:rFonts w:ascii="Times New Roman" w:eastAsia="Times New Roman" w:hAnsi="Times New Roman" w:cs="Times New Roman"/>
          <w:color w:val="000000"/>
        </w:rPr>
        <w:t>. Vocational education is one place that is responsible for creating human resources who have a competency so that graduates can be easily absorbed in the industrial world.</w:t>
      </w:r>
    </w:p>
    <w:p w:rsidR="009B5AAA" w:rsidRPr="009B5AAA" w:rsidRDefault="009B5AAA" w:rsidP="003C338A">
      <w:pPr>
        <w:pBdr>
          <w:top w:val="nil"/>
          <w:left w:val="nil"/>
          <w:bottom w:val="nil"/>
          <w:right w:val="nil"/>
          <w:between w:val="nil"/>
        </w:pBdr>
        <w:tabs>
          <w:tab w:val="left" w:pos="567"/>
          <w:tab w:val="left" w:pos="2127"/>
        </w:tabs>
        <w:spacing w:after="0" w:line="240" w:lineRule="auto"/>
        <w:jc w:val="both"/>
        <w:rPr>
          <w:rFonts w:ascii="Times New Roman" w:eastAsia="Times New Roman" w:hAnsi="Times New Roman" w:cs="Times New Roman"/>
          <w:color w:val="000000"/>
        </w:rPr>
      </w:pPr>
      <w:r w:rsidRPr="009B5AAA">
        <w:rPr>
          <w:rFonts w:ascii="Times New Roman" w:eastAsia="Times New Roman" w:hAnsi="Times New Roman" w:cs="Times New Roman"/>
          <w:color w:val="000000"/>
        </w:rPr>
        <w:t>Vocational education, which is vocational education, is non-academic education oriented to practices in the fields of carpentry, business, industry, agriculture, transportation, services, and so on</w:t>
      </w:r>
      <w:r w:rsidR="0009097E">
        <w:rPr>
          <w:rFonts w:ascii="Times New Roman" w:eastAsia="Times New Roman" w:hAnsi="Times New Roman" w:cs="Times New Roman"/>
          <w:color w:val="000000"/>
          <w:lang w:val="id-ID"/>
        </w:rPr>
        <w:t xml:space="preserve"> </w:t>
      </w:r>
      <w:r w:rsidR="0009097E">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"author" : [ { "dropping-particle" : "", "family" : "Sagala", "given" : "S", "non-dropping-particle" : "", "parse-names" : false, "suffix" : "" } ], "id" : "ITEM-1", "issued" : { "date-parts" : [ [ "2013" ] ] }, "publisher" : "AlfaBeta", "publisher-place" : "Bandung", "title" : "Konsep dan makna pembelajaran", "type" : "book" }, "uris" : [ "http://www.mendeley.com/documents/?uuid=049d3f38-1eac-4f16-8c40-b5d4825685b5" ] } ], "mendeley" : { "formattedCitation" : "[3]", "plainTextFormattedCitation" : "[3]", "previouslyFormattedCitation" : "(Sagala, 2013)" }, "properties" : { "noteIndex" : 0 }, "schema" : "https://github.com/citation-style-language/schema/raw/master/csl-citation.json" }</w:instrText>
      </w:r>
      <w:r w:rsidR="0009097E">
        <w:rPr>
          <w:rFonts w:ascii="Times New Roman" w:eastAsia="Times New Roman" w:hAnsi="Times New Roman" w:cs="Times New Roman"/>
          <w:color w:val="000000"/>
          <w:lang w:val="id-ID"/>
        </w:rPr>
        <w:fldChar w:fldCharType="separate"/>
      </w:r>
      <w:r w:rsidR="008E7EC5" w:rsidRPr="008E7EC5">
        <w:rPr>
          <w:rFonts w:ascii="Times New Roman" w:eastAsia="Times New Roman" w:hAnsi="Times New Roman" w:cs="Times New Roman"/>
          <w:noProof/>
          <w:color w:val="000000"/>
          <w:lang w:val="id-ID"/>
        </w:rPr>
        <w:t>[3]</w:t>
      </w:r>
      <w:r w:rsidR="0009097E">
        <w:rPr>
          <w:rFonts w:ascii="Times New Roman" w:eastAsia="Times New Roman" w:hAnsi="Times New Roman" w:cs="Times New Roman"/>
          <w:color w:val="000000"/>
          <w:lang w:val="id-ID"/>
        </w:rPr>
        <w:fldChar w:fldCharType="end"/>
      </w:r>
      <w:r w:rsidRPr="009B5AAA">
        <w:rPr>
          <w:rFonts w:ascii="Times New Roman" w:eastAsia="Times New Roman" w:hAnsi="Times New Roman" w:cs="Times New Roman"/>
          <w:color w:val="000000"/>
        </w:rPr>
        <w:t xml:space="preserve">. One </w:t>
      </w:r>
      <w:r w:rsidRPr="009B5AAA">
        <w:rPr>
          <w:rFonts w:ascii="Times New Roman" w:eastAsia="Times New Roman" w:hAnsi="Times New Roman" w:cs="Times New Roman"/>
          <w:color w:val="000000"/>
        </w:rPr>
        <w:lastRenderedPageBreak/>
        <w:t xml:space="preserve">effort to improve the quality of the graduates of vocational education is the establishment of a link and match policy, whereby schools, especially vocational secondary education, make it possible to collaborate with </w:t>
      </w:r>
      <w:r w:rsidR="00800C6E">
        <w:rPr>
          <w:rFonts w:ascii="Times New Roman" w:eastAsia="Times New Roman" w:hAnsi="Times New Roman" w:cs="Times New Roman"/>
          <w:color w:val="000000"/>
        </w:rPr>
        <w:t>industry</w:t>
      </w:r>
      <w:r w:rsidRPr="009B5AAA">
        <w:rPr>
          <w:rFonts w:ascii="Times New Roman" w:eastAsia="Times New Roman" w:hAnsi="Times New Roman" w:cs="Times New Roman"/>
          <w:color w:val="000000"/>
        </w:rPr>
        <w:t xml:space="preserve"> in fostering and developing the potential of students in the field. The synergistic relationship between school and </w:t>
      </w:r>
      <w:r w:rsidR="00800C6E">
        <w:rPr>
          <w:rFonts w:ascii="Times New Roman" w:eastAsia="Times New Roman" w:hAnsi="Times New Roman" w:cs="Times New Roman"/>
          <w:color w:val="000000"/>
        </w:rPr>
        <w:t>industry</w:t>
      </w:r>
      <w:r w:rsidRPr="009B5AAA">
        <w:rPr>
          <w:rFonts w:ascii="Times New Roman" w:eastAsia="Times New Roman" w:hAnsi="Times New Roman" w:cs="Times New Roman"/>
          <w:color w:val="000000"/>
        </w:rPr>
        <w:t xml:space="preserve"> is a condition that is very helpful in efforts to create a process that is truly effective for students. Provision of skills for students is the main thing that must be a school and </w:t>
      </w:r>
      <w:r w:rsidR="00800C6E">
        <w:rPr>
          <w:rFonts w:ascii="Times New Roman" w:eastAsia="Times New Roman" w:hAnsi="Times New Roman" w:cs="Times New Roman"/>
          <w:color w:val="000000"/>
        </w:rPr>
        <w:t>industry</w:t>
      </w:r>
      <w:r w:rsidRPr="009B5AAA">
        <w:rPr>
          <w:rFonts w:ascii="Times New Roman" w:eastAsia="Times New Roman" w:hAnsi="Times New Roman" w:cs="Times New Roman"/>
          <w:color w:val="000000"/>
        </w:rPr>
        <w:t xml:space="preserve"> program</w:t>
      </w:r>
      <w:r w:rsidR="00E549BE">
        <w:rPr>
          <w:rFonts w:ascii="Times New Roman" w:eastAsia="Times New Roman" w:hAnsi="Times New Roman" w:cs="Times New Roman"/>
          <w:color w:val="000000"/>
          <w:lang w:val="id-ID"/>
        </w:rPr>
        <w:t xml:space="preserve"> </w:t>
      </w:r>
      <w:r w:rsidR="00E549BE">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"DOI" : "10.1080/13583883.2011.552627", "ISSN" : "1573-1936", "abstract" : "This paper addresses the question of what potential success factors are relevant when developing and managing higher education\u2013business partnerships. To shed light on this question, the paper presents a review of research literature on the possible success factors in university\u2013industry relations. To shed further light on the factors identified in the literature, this paper reports on an empirical study of cross-sector collaboration between four regional universities and energy firms in Norway. The empirical study should be seen as a \u201crelevance check\u201d of the factors identified in the extant literature on university\u2013industry collaboration, within the particular context of educationrelated partnerships. Based on the review and case studies, implications for management and further research are discussed.", "author" : [ { "dropping-particle" : "", "family" : "Thune", "given" : "Taran", "non-dropping-particle" : "", "parse-names" : false, "suffix" : "" } ], "container-title" : "Tertiary Education and Management", "id" : "ITEM-1", "issue" : "1", "issued" : { "date-parts" : [ [ "2011" ] ] }, "page" : "31-50", "title" : "Success Factors in Higher Education\u2013Industry Collaboration: A case study of collaboration in the engineering field", "type" : "article-journal", "volume" : "17" }, "uris" : [ "http://www.mendeley.com/documents/?uuid=7071374f-6bdd-4986-b700-0859de48e847" ] } ], "mendeley" : { "formattedCitation" : "[4]", "plainTextFormattedCitation" : "[4]", "previouslyFormattedCitation" : "(Thune, 2011)" }, "properties" : { "noteIndex" : 0 }, "schema" : "https://github.com/citation-style-language/schema/raw/master/csl-citation.json" }</w:instrText>
      </w:r>
      <w:r w:rsidR="00E549BE">
        <w:rPr>
          <w:rFonts w:ascii="Times New Roman" w:eastAsia="Times New Roman" w:hAnsi="Times New Roman" w:cs="Times New Roman"/>
          <w:color w:val="000000"/>
          <w:lang w:val="id-ID"/>
        </w:rPr>
        <w:fldChar w:fldCharType="separate"/>
      </w:r>
      <w:r w:rsidR="008E7EC5" w:rsidRPr="008E7EC5">
        <w:rPr>
          <w:rFonts w:ascii="Times New Roman" w:eastAsia="Times New Roman" w:hAnsi="Times New Roman" w:cs="Times New Roman"/>
          <w:noProof/>
          <w:color w:val="000000"/>
          <w:lang w:val="id-ID"/>
        </w:rPr>
        <w:t>[4]</w:t>
      </w:r>
      <w:r w:rsidR="00E549BE">
        <w:rPr>
          <w:rFonts w:ascii="Times New Roman" w:eastAsia="Times New Roman" w:hAnsi="Times New Roman" w:cs="Times New Roman"/>
          <w:color w:val="000000"/>
          <w:lang w:val="id-ID"/>
        </w:rPr>
        <w:fldChar w:fldCharType="end"/>
      </w:r>
      <w:r w:rsidRPr="009B5AAA">
        <w:rPr>
          <w:rFonts w:ascii="Times New Roman" w:eastAsia="Times New Roman" w:hAnsi="Times New Roman" w:cs="Times New Roman"/>
          <w:color w:val="000000"/>
        </w:rPr>
        <w:t>. The provision of applicable skills is a briefing that is closely related to the needs of disruptive industry change. So that the provision of skills development provided in schools is expected to be able to face the industrial revolution that began to leave the human workforce</w:t>
      </w:r>
      <w:r w:rsidR="009138DC">
        <w:rPr>
          <w:rFonts w:ascii="Times New Roman" w:eastAsia="Times New Roman" w:hAnsi="Times New Roman" w:cs="Times New Roman"/>
          <w:color w:val="000000"/>
          <w:lang w:val="id-ID"/>
        </w:rPr>
        <w:t xml:space="preserve"> </w:t>
      </w:r>
      <w:r w:rsidR="009138DC">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"ISSN" : "11752882", "abstract" : "Work-integrated learning (WIL) is considered a key strategy for promoting graduate employability. Graduate employability is a complex concept, one which has broadened in recent years to encapsulate a diverse range of skills, attributes, and other measures such as networks, professional-identity and active citizenship. This special issue presents recent scholarship on WIL and employability, addressing the question of how WIL contributes to enhancing employability outcomes for students and graduates. The importance of embedding WIL experiences in the curriculum so they are effectively supported by appropriate pedagogical strategies is emphasized, as well as the provision of quality assessment to support employability outcomes. Such supports, while critical, have resourcing implications for higher education, including impacts on staff workload which also need to be considered. Employability is considered in relation to the related construct of employment outcomes, pointing to ways in which these two perspectives can be better integrated. Recommendations are made for future research.", "author" : [ { "dropping-particle" : "", "family" : "Rowe", "given" : "Anna D.", "non-dropping-particle" : "", "parse-names" : false, "suffix" : "" }, { "dropping-particle" : "", "family" : "Zegwaard", "given" : "Karsten E.", "non-dropping-particle" : "", "parse-names" : false, "suffix" : "" } ], "container-title" : "Asia-Pacific Journal of Cooperative Education", "id" : "ITEM-1", "issue" : "2", "issued" : { "date-parts" : [ [ "2017" ] ] }, "page" : "87-99", "title" : "Developing graduate employability skills and attributes: Curriculum enhancement through work-integrated learning", "type" : "paper-conference", "volume" : "18" }, "uris" : [ "http://www.mendeley.com/documents/?uuid=fcb3a698-4167-4f5a-82b3-ab6de989938f" ] } ], "mendeley" : { "formattedCitation" : "[5]", "plainTextFormattedCitation" : "[5]", "previouslyFormattedCitation" : "(Rowe &amp; Zegwaard, 2017)" }, "properties" : { "noteIndex" : 0 }, "schema" : "https://github.com/citation-style-language/schema/raw/master/csl-citation.json" }</w:instrText>
      </w:r>
      <w:r w:rsidR="009138DC">
        <w:rPr>
          <w:rFonts w:ascii="Times New Roman" w:eastAsia="Times New Roman" w:hAnsi="Times New Roman" w:cs="Times New Roman"/>
          <w:color w:val="000000"/>
          <w:lang w:val="id-ID"/>
        </w:rPr>
        <w:fldChar w:fldCharType="separate"/>
      </w:r>
      <w:r w:rsidR="008E7EC5" w:rsidRPr="008E7EC5">
        <w:rPr>
          <w:rFonts w:ascii="Times New Roman" w:eastAsia="Times New Roman" w:hAnsi="Times New Roman" w:cs="Times New Roman"/>
          <w:noProof/>
          <w:color w:val="000000"/>
          <w:lang w:val="id-ID"/>
        </w:rPr>
        <w:t>[5]</w:t>
      </w:r>
      <w:r w:rsidR="009138DC">
        <w:rPr>
          <w:rFonts w:ascii="Times New Roman" w:eastAsia="Times New Roman" w:hAnsi="Times New Roman" w:cs="Times New Roman"/>
          <w:color w:val="000000"/>
          <w:lang w:val="id-ID"/>
        </w:rPr>
        <w:fldChar w:fldCharType="end"/>
      </w:r>
      <w:r w:rsidRPr="009B5AAA">
        <w:rPr>
          <w:rFonts w:ascii="Times New Roman" w:eastAsia="Times New Roman" w:hAnsi="Times New Roman" w:cs="Times New Roman"/>
          <w:color w:val="000000"/>
        </w:rPr>
        <w:t xml:space="preserve">. If the school institution and </w:t>
      </w:r>
      <w:r w:rsidR="00800C6E">
        <w:rPr>
          <w:rFonts w:ascii="Times New Roman" w:eastAsia="Times New Roman" w:hAnsi="Times New Roman" w:cs="Times New Roman"/>
          <w:color w:val="000000"/>
        </w:rPr>
        <w:t>industry</w:t>
      </w:r>
      <w:r w:rsidRPr="009B5AAA">
        <w:rPr>
          <w:rFonts w:ascii="Times New Roman" w:eastAsia="Times New Roman" w:hAnsi="Times New Roman" w:cs="Times New Roman"/>
          <w:color w:val="000000"/>
        </w:rPr>
        <w:t xml:space="preserve"> provide skills training in accordance with the needs of the community, surely graduates of the school can be optimally absorbed by </w:t>
      </w:r>
      <w:r w:rsidR="00800C6E">
        <w:rPr>
          <w:rFonts w:ascii="Times New Roman" w:eastAsia="Times New Roman" w:hAnsi="Times New Roman" w:cs="Times New Roman"/>
          <w:color w:val="000000"/>
        </w:rPr>
        <w:t>industry</w:t>
      </w:r>
      <w:r w:rsidRPr="009B5AAA">
        <w:rPr>
          <w:rFonts w:ascii="Times New Roman" w:eastAsia="Times New Roman" w:hAnsi="Times New Roman" w:cs="Times New Roman"/>
          <w:color w:val="000000"/>
        </w:rPr>
        <w:t xml:space="preserve">. Such conditions are actually expected from the process of education and learning in vocational schools. Job Matching is intended to bring together </w:t>
      </w:r>
      <w:r w:rsidR="003C338A">
        <w:rPr>
          <w:rFonts w:ascii="Times New Roman" w:eastAsia="Times New Roman" w:hAnsi="Times New Roman" w:cs="Times New Roman"/>
          <w:color w:val="000000"/>
          <w:lang w:val="id-ID"/>
        </w:rPr>
        <w:t>vocational high school (VHS)</w:t>
      </w:r>
      <w:r w:rsidRPr="009B5AAA">
        <w:rPr>
          <w:rFonts w:ascii="Times New Roman" w:eastAsia="Times New Roman" w:hAnsi="Times New Roman" w:cs="Times New Roman"/>
          <w:color w:val="000000"/>
        </w:rPr>
        <w:t xml:space="preserve"> graduates with </w:t>
      </w:r>
      <w:r w:rsidR="00800C6E">
        <w:rPr>
          <w:rFonts w:ascii="Times New Roman" w:eastAsia="Times New Roman" w:hAnsi="Times New Roman" w:cs="Times New Roman"/>
          <w:color w:val="000000"/>
        </w:rPr>
        <w:t>industry</w:t>
      </w:r>
      <w:r w:rsidRPr="009B5AAA">
        <w:rPr>
          <w:rFonts w:ascii="Times New Roman" w:eastAsia="Times New Roman" w:hAnsi="Times New Roman" w:cs="Times New Roman"/>
          <w:color w:val="000000"/>
        </w:rPr>
        <w:t xml:space="preserve"> who require a middle-level workforce. Therefore, </w:t>
      </w:r>
      <w:r w:rsidR="003C338A">
        <w:rPr>
          <w:rFonts w:ascii="Times New Roman" w:eastAsia="Times New Roman" w:hAnsi="Times New Roman" w:cs="Times New Roman"/>
          <w:color w:val="000000"/>
        </w:rPr>
        <w:t>VHS</w:t>
      </w:r>
      <w:r w:rsidRPr="009B5AAA">
        <w:rPr>
          <w:rFonts w:ascii="Times New Roman" w:eastAsia="Times New Roman" w:hAnsi="Times New Roman" w:cs="Times New Roman"/>
          <w:color w:val="000000"/>
        </w:rPr>
        <w:t xml:space="preserve"> graduates should be able to fulfill the required workforce formation and in accordance with the skills they have learned.</w:t>
      </w:r>
    </w:p>
    <w:p w:rsidR="00860F36" w:rsidRDefault="009B5AAA" w:rsidP="009138D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9B5AAA">
        <w:rPr>
          <w:rFonts w:ascii="Times New Roman" w:eastAsia="Times New Roman" w:hAnsi="Times New Roman" w:cs="Times New Roman"/>
          <w:color w:val="000000"/>
        </w:rPr>
        <w:t xml:space="preserve">In terms of graduates, the absorption of vocational education graduates to </w:t>
      </w:r>
      <w:r w:rsidR="00800C6E">
        <w:rPr>
          <w:rFonts w:ascii="Times New Roman" w:eastAsia="Times New Roman" w:hAnsi="Times New Roman" w:cs="Times New Roman"/>
          <w:color w:val="000000"/>
        </w:rPr>
        <w:t>industry</w:t>
      </w:r>
      <w:r w:rsidRPr="009B5AAA">
        <w:rPr>
          <w:rFonts w:ascii="Times New Roman" w:eastAsia="Times New Roman" w:hAnsi="Times New Roman" w:cs="Times New Roman"/>
          <w:color w:val="000000"/>
        </w:rPr>
        <w:t xml:space="preserve"> and the labor market can increase motivation and skills so that people change their mindset from consumptive to productive patterns. Furthermore, the relevance of the skills possessed by the needs of the workforce also has an impact on increasing the skills of graduates into skilled </w:t>
      </w:r>
      <w:r w:rsidR="009138DC">
        <w:rPr>
          <w:rFonts w:ascii="Times New Roman" w:eastAsia="Times New Roman" w:hAnsi="Times New Roman" w:cs="Times New Roman"/>
          <w:color w:val="000000"/>
        </w:rPr>
        <w:t>workers. According to</w:t>
      </w:r>
      <w:r w:rsidR="009138DC">
        <w:rPr>
          <w:rFonts w:ascii="Times New Roman" w:eastAsia="Times New Roman" w:hAnsi="Times New Roman" w:cs="Times New Roman"/>
          <w:color w:val="000000"/>
          <w:lang w:val="id-ID"/>
        </w:rPr>
        <w:t xml:space="preserve"> </w:t>
      </w:r>
      <w:r w:rsidR="009138DC">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"author" : [ { "dropping-particle" : "", "family" : "Hmelo-silver", "given" : "Cindy E", "non-dropping-particle" : "", "parse-names" : false, "suffix" : "" }, { "dropping-particle" : "", "family" : "Barrows", "given" : "Howard S", "non-dropping-particle" : "", "parse-names" : false, "suffix" : "" }, { "dropping-particle" : "", "family" : "Hmelo-silver", "given" : "Cindy E", "non-dropping-particle" : "", "parse-names" : false, "suffix" : "" }, { "dropping-particle" : "", "family" : "Barrows", "given" : "Howard S", "non-dropping-particle" : "", "parse-names" : false, "suffix" : "" } ], "id" : "ITEM-1", "issue" : "1", "issued" : { "date-parts" : [ [ "2006" ] ] }, "page" : "5-22", "title" : "Goals and Strategies of a Problem-based Learning Facilitator", "type" : "article-journal", "volume" : "1" }, "uris" : [ "http://www.mendeley.com/documents/?uuid=03efe9a3-b474-4552-b2ac-385f0775cf76" ] } ], "mendeley" : { "formattedCitation" : "[6]", "plainTextFormattedCitation" : "[6]", "previouslyFormattedCitation" : "(Hmelo-silver et al., 2006)" }, "properties" : { "noteIndex" : 0 }, "schema" : "https://github.com/citation-style-language/schema/raw/master/csl-citation.json" }</w:instrText>
      </w:r>
      <w:r w:rsidR="009138DC">
        <w:rPr>
          <w:rFonts w:ascii="Times New Roman" w:eastAsia="Times New Roman" w:hAnsi="Times New Roman" w:cs="Times New Roman"/>
          <w:color w:val="000000"/>
          <w:lang w:val="id-ID"/>
        </w:rPr>
        <w:fldChar w:fldCharType="separate"/>
      </w:r>
      <w:r w:rsidR="008E7EC5" w:rsidRPr="008E7EC5">
        <w:rPr>
          <w:rFonts w:ascii="Times New Roman" w:eastAsia="Times New Roman" w:hAnsi="Times New Roman" w:cs="Times New Roman"/>
          <w:noProof/>
          <w:color w:val="000000"/>
          <w:lang w:val="id-ID"/>
        </w:rPr>
        <w:t>[6]</w:t>
      </w:r>
      <w:r w:rsidR="009138DC">
        <w:rPr>
          <w:rFonts w:ascii="Times New Roman" w:eastAsia="Times New Roman" w:hAnsi="Times New Roman" w:cs="Times New Roman"/>
          <w:color w:val="000000"/>
          <w:lang w:val="id-ID"/>
        </w:rPr>
        <w:fldChar w:fldCharType="end"/>
      </w:r>
      <w:r w:rsidRPr="009B5AAA">
        <w:rPr>
          <w:rFonts w:ascii="Times New Roman" w:eastAsia="Times New Roman" w:hAnsi="Times New Roman" w:cs="Times New Roman"/>
          <w:color w:val="000000"/>
        </w:rPr>
        <w:t>, vocational education provides a significant contribution to economic competitiveness and prosperity in a global knowledge-based economy, so it is necessary to pay attention to the needs of the world of work and cooperation between organizing agencies. The main challenge for vocational education is to meet the changing needs of individual skills and the world of work in accordance with the principles of learning and practice programs that have been applied.</w:t>
      </w:r>
      <w:r w:rsidR="006D7404">
        <w:rPr>
          <w:rFonts w:ascii="Times New Roman" w:eastAsia="Times New Roman" w:hAnsi="Times New Roman" w:cs="Times New Roman"/>
          <w:color w:val="000000"/>
        </w:rPr>
        <w:t xml:space="preserve"> </w:t>
      </w:r>
    </w:p>
    <w:p w:rsidR="009B5AAA" w:rsidRDefault="009B5AAA" w:rsidP="009B5AA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9B5AAA" w:rsidRDefault="009B5AAA" w:rsidP="009B5AA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9B5AAA">
        <w:rPr>
          <w:rFonts w:ascii="Times New Roman" w:eastAsia="Times New Roman" w:hAnsi="Times New Roman" w:cs="Times New Roman"/>
          <w:b/>
          <w:color w:val="000000"/>
        </w:rPr>
        <w:t>Theoritical Riview</w:t>
      </w:r>
      <w:r>
        <w:rPr>
          <w:rFonts w:ascii="Times New Roman" w:eastAsia="Times New Roman" w:hAnsi="Times New Roman" w:cs="Times New Roman"/>
          <w:b/>
          <w:color w:val="000000"/>
        </w:rPr>
        <w:t xml:space="preserve"> </w:t>
      </w:r>
    </w:p>
    <w:p w:rsidR="009B5AAA" w:rsidRPr="009B5AAA" w:rsidRDefault="009B5AAA" w:rsidP="00E42EC5">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9B5AAA">
        <w:rPr>
          <w:rFonts w:ascii="Times New Roman" w:eastAsia="Times New Roman" w:hAnsi="Times New Roman" w:cs="Times New Roman"/>
          <w:color w:val="000000"/>
        </w:rPr>
        <w:t>Pavlova</w:t>
      </w:r>
      <w:r w:rsidR="00E42EC5">
        <w:rPr>
          <w:rFonts w:ascii="Times New Roman" w:eastAsia="Times New Roman" w:hAnsi="Times New Roman" w:cs="Times New Roman"/>
          <w:color w:val="000000"/>
          <w:lang w:val="id-ID"/>
        </w:rPr>
        <w:t xml:space="preserve"> </w:t>
      </w:r>
      <w:r w:rsidR="00E42EC5">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"author" : [ { "dropping-particle" : "", "family" : "Sudira", "given" : "P.", "non-dropping-particle" : "", "parse-names" : false, "suffix" : "" } ], "id" : "ITEM-1", "issued" : { "date-parts" : [ [ "2018" ] ] }, "publisher" : "UNY Press", "publisher-place" : "Yogyakarta", "title" : "Metodologi pembelajaran vokasional abad XXI: Inovasi, teori dan praktis", "type" : "book" }, "uris" : [ "http://www.mendeley.com/documents/?uuid=8aa6ffe4-f684-4694-a3d3-89219bbe34b8" ] } ], "mendeley" : { "formattedCitation" : "[7]", "plainTextFormattedCitation" : "[7]", "previouslyFormattedCitation" : "(Sudira, 2018)" }, "properties" : { "noteIndex" : 0 }, "schema" : "https://github.com/citation-style-language/schema/raw/master/csl-citation.json" }</w:instrText>
      </w:r>
      <w:r w:rsidR="00E42EC5">
        <w:rPr>
          <w:rFonts w:ascii="Times New Roman" w:eastAsia="Times New Roman" w:hAnsi="Times New Roman" w:cs="Times New Roman"/>
          <w:color w:val="000000"/>
          <w:lang w:val="id-ID"/>
        </w:rPr>
        <w:fldChar w:fldCharType="separate"/>
      </w:r>
      <w:r w:rsidR="008E7EC5" w:rsidRPr="008E7EC5">
        <w:rPr>
          <w:rFonts w:ascii="Times New Roman" w:eastAsia="Times New Roman" w:hAnsi="Times New Roman" w:cs="Times New Roman"/>
          <w:noProof/>
          <w:color w:val="000000"/>
          <w:lang w:val="id-ID"/>
        </w:rPr>
        <w:t>[7]</w:t>
      </w:r>
      <w:r w:rsidR="00E42EC5">
        <w:rPr>
          <w:rFonts w:ascii="Times New Roman" w:eastAsia="Times New Roman" w:hAnsi="Times New Roman" w:cs="Times New Roman"/>
          <w:color w:val="000000"/>
          <w:lang w:val="id-ID"/>
        </w:rPr>
        <w:fldChar w:fldCharType="end"/>
      </w:r>
      <w:r w:rsidRPr="009B5AAA">
        <w:rPr>
          <w:rFonts w:ascii="Times New Roman" w:eastAsia="Times New Roman" w:hAnsi="Times New Roman" w:cs="Times New Roman"/>
          <w:color w:val="000000"/>
        </w:rPr>
        <w:t xml:space="preserve"> states that the traditional purpose of vocational education is to prepare graduates to work. Work preparation is the main goal of vocational education. To be ready to work, vocational education includes special training that tends to be reproductive according to the instructions of the teacher or instructor with a focus on developing industrial needs, containing special abilities or tricks that are adapted to field conditions. Increasing relevance to the rapidly changing needs of </w:t>
      </w:r>
      <w:r w:rsidR="00800C6E">
        <w:rPr>
          <w:rFonts w:ascii="Times New Roman" w:eastAsia="Times New Roman" w:hAnsi="Times New Roman" w:cs="Times New Roman"/>
          <w:color w:val="000000"/>
        </w:rPr>
        <w:t>industry</w:t>
      </w:r>
      <w:r w:rsidRPr="009B5AAA">
        <w:rPr>
          <w:rFonts w:ascii="Times New Roman" w:eastAsia="Times New Roman" w:hAnsi="Times New Roman" w:cs="Times New Roman"/>
          <w:color w:val="000000"/>
        </w:rPr>
        <w:t xml:space="preserve"> can be done through: (1) updating and developing expertise competencies that can identify current and future skill needs; (2) increasing attention on professions that are labor deficit; (3) integrating information and communication technology; (4) applying green economic and green societies in vocational education programs; (5) pay more attention to local needs and demands; and (6) planning and managing curriculum, graduate qualifications, and street vendors</w:t>
      </w:r>
      <w:r w:rsidR="00E42EC5">
        <w:rPr>
          <w:rFonts w:ascii="Times New Roman" w:eastAsia="Times New Roman" w:hAnsi="Times New Roman" w:cs="Times New Roman"/>
          <w:color w:val="000000"/>
          <w:lang w:val="id-ID"/>
        </w:rPr>
        <w:t xml:space="preserve"> </w:t>
      </w:r>
      <w:r w:rsidR="00E42EC5">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"DOI" : "10.1080/13636820.2012.747745", "author" : [ { "dropping-particle" : "", "family" : "Canning", "given" : "Roy", "non-dropping-particle" : "", "parse-names" : false, "suffix" : "" } ], "container-title" : "Journal of Vocational Education and Training", "id" : "ITEM-1", "issued" : { "date-parts" : [ [ "2013" ] ] }, "title" : "Vocational education: purposes, traditions and prospects", "type" : "article-journal", "volume" : "65" }, "uris" : [ "http://www.mendeley.com/documents/?uuid=5eeb7132-9e89-4eb4-8895-8290d6510b9d" ] } ], "mendeley" : { "formattedCitation" : "[8]", "plainTextFormattedCitation" : "[8]", "previouslyFormattedCitation" : "(Canning, 2013)" }, "properties" : { "noteIndex" : 0 }, "schema" : "https://github.com/citation-style-language/schema/raw/master/csl-citation.json" }</w:instrText>
      </w:r>
      <w:r w:rsidR="00E42EC5">
        <w:rPr>
          <w:rFonts w:ascii="Times New Roman" w:eastAsia="Times New Roman" w:hAnsi="Times New Roman" w:cs="Times New Roman"/>
          <w:color w:val="000000"/>
          <w:lang w:val="id-ID"/>
        </w:rPr>
        <w:fldChar w:fldCharType="separate"/>
      </w:r>
      <w:r w:rsidR="008E7EC5" w:rsidRPr="008E7EC5">
        <w:rPr>
          <w:rFonts w:ascii="Times New Roman" w:eastAsia="Times New Roman" w:hAnsi="Times New Roman" w:cs="Times New Roman"/>
          <w:noProof/>
          <w:color w:val="000000"/>
          <w:lang w:val="id-ID"/>
        </w:rPr>
        <w:t>[8]</w:t>
      </w:r>
      <w:r w:rsidR="00E42EC5">
        <w:rPr>
          <w:rFonts w:ascii="Times New Roman" w:eastAsia="Times New Roman" w:hAnsi="Times New Roman" w:cs="Times New Roman"/>
          <w:color w:val="000000"/>
          <w:lang w:val="id-ID"/>
        </w:rPr>
        <w:fldChar w:fldCharType="end"/>
      </w:r>
      <w:r w:rsidRPr="009B5AAA">
        <w:rPr>
          <w:rFonts w:ascii="Times New Roman" w:eastAsia="Times New Roman" w:hAnsi="Times New Roman" w:cs="Times New Roman"/>
          <w:color w:val="000000"/>
        </w:rPr>
        <w:t>.</w:t>
      </w:r>
    </w:p>
    <w:p w:rsidR="009B5AAA" w:rsidRPr="009B5AAA" w:rsidRDefault="009B5AAA" w:rsidP="00642F2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9B5AAA">
        <w:rPr>
          <w:rFonts w:ascii="Times New Roman" w:eastAsia="Times New Roman" w:hAnsi="Times New Roman" w:cs="Times New Roman"/>
          <w:color w:val="000000"/>
        </w:rPr>
        <w:t xml:space="preserve">The era of the industrial revolution has another effect in the absorption of human labor, namely the automation or utilization of robots in the manufacturing production process. This allows a reduction in labor. As many as 23 million types of jobs will be affected by automation along with the transition to the industrial era 4.0. Changes in the world of work influenced by the Industrial Revolution 4.0 became a challenge for </w:t>
      </w:r>
      <w:r w:rsidR="003C338A">
        <w:rPr>
          <w:rFonts w:ascii="Times New Roman" w:eastAsia="Times New Roman" w:hAnsi="Times New Roman" w:cs="Times New Roman"/>
          <w:color w:val="000000"/>
        </w:rPr>
        <w:t>VHS</w:t>
      </w:r>
      <w:r w:rsidRPr="009B5AAA">
        <w:rPr>
          <w:rFonts w:ascii="Times New Roman" w:eastAsia="Times New Roman" w:hAnsi="Times New Roman" w:cs="Times New Roman"/>
          <w:color w:val="000000"/>
        </w:rPr>
        <w:t xml:space="preserve"> graduates, because many fields of work that had been filled with lost human labor were replaced with technology, machinery, robots, or artificial intelligence. As a result, many </w:t>
      </w:r>
      <w:r w:rsidR="003C338A">
        <w:rPr>
          <w:rFonts w:ascii="Times New Roman" w:eastAsia="Times New Roman" w:hAnsi="Times New Roman" w:cs="Times New Roman"/>
          <w:color w:val="000000"/>
        </w:rPr>
        <w:t>VHS</w:t>
      </w:r>
      <w:r w:rsidRPr="009B5AAA">
        <w:rPr>
          <w:rFonts w:ascii="Times New Roman" w:eastAsia="Times New Roman" w:hAnsi="Times New Roman" w:cs="Times New Roman"/>
          <w:color w:val="000000"/>
        </w:rPr>
        <w:t xml:space="preserve"> graduates who are supposed to be able to work immediately are threatened to become unemployed. In order to be able to compete in the 4.0 industrial revolution, institutions play an important role in preparing their graduates for competency competition </w:t>
      </w:r>
      <w:r w:rsidR="00642F24">
        <w:rPr>
          <w:rFonts w:ascii="Times New Roman" w:eastAsia="Times New Roman" w:hAnsi="Times New Roman" w:cs="Times New Roman"/>
          <w:color w:val="000000"/>
        </w:rPr>
        <w:fldChar w:fldCharType="begin" w:fldLock="1"/>
      </w:r>
      <w:r w:rsidR="008E7EC5">
        <w:rPr>
          <w:rFonts w:ascii="Times New Roman" w:eastAsia="Times New Roman" w:hAnsi="Times New Roman" w:cs="Times New Roman"/>
          <w:color w:val="000000"/>
        </w:rPr>
        <w:instrText>ADDIN CSL_CITATION { "citationItems" : [ { "id" : "ITEM-1", "itemData" : { "DOI" : "10.1016/j.ijme.2020.100378", "ISSN" : "14728117", "abstract" : "In the light of emerging challenges to traditional employment patterns, not least, global competition for \u2018location free\u2019 professional work, the Higher Education sector is facing increasing demands for graduates to transition more effectively from education to work. Accordingly, the paper draws on Bourdieu's account of practice and the process of \u2018culturing\u2019 to explore the application of those personal behaviours and dispositions that go beyond the observable knowledge and employability credentials that, typically, are conferred by a university degree. Of particular concern is the role of the shared service centre model in the elimination, automation and offshoring of those entry-level tasks that, traditionally, have provided routes into professional careers. Empirical findings suggest that the process of culturing could provide a game playing advantage in securing graduate employment through the projection of work-readiness. A call is made for management educators, employers, government and professional bodies to think more creatively in fostering student behaviours and dispositions in work-based learning alongside, rather than at the expense of, developing intellectual skills and subject knowledge.", "author" : [ { "dropping-particle" : "", "family" : "Herbert", "given" : "Ian P.", "non-dropping-particle" : "", "parse-names" : false, "suffix" : "" }, { "dropping-particle" : "", "family" : "Rothwell", "given" : "Andrew T.", "non-dropping-particle" : "", "parse-names" : false, "suffix" : "" }, { "dropping-particle" : "", "family" : "Glover", "given" : "Jane L.", "non-dropping-particle" : "", "parse-names" : false, "suffix" : "" }, { "dropping-particle" : "", "family" : "Lambert", "given" : "Stephanie A.", "non-dropping-particle" : "", "parse-names" : false, "suffix" : "" } ], "container-title" : "International Journal of Management Education", "id" : "ITEM-1", "issue" : "2", "issued" : { "date-parts" : [ [ "2020" ] ] }, "title" : "Graduate employability, employment prospects and work-readiness in the changing field of professional work", "type" : "article-journal", "volume" : "18" }, "uris" : [ "http://www.mendeley.com/documents/?uuid=fec69bac-9375-4356-8db1-e01d3cccf8cf" ] } ], "mendeley" : { "formattedCitation" : "[9]", "plainTextFormattedCitation" : "[9]", "previouslyFormattedCitation" : "(Herbert et al., 2020)" }, "properties" : { "noteIndex" : 0 }, "schema" : "https://github.com/citation-style-language/schema/raw/master/csl-citation.json" }</w:instrText>
      </w:r>
      <w:r w:rsidR="00642F24">
        <w:rPr>
          <w:rFonts w:ascii="Times New Roman" w:eastAsia="Times New Roman" w:hAnsi="Times New Roman" w:cs="Times New Roman"/>
          <w:color w:val="000000"/>
        </w:rPr>
        <w:fldChar w:fldCharType="separate"/>
      </w:r>
      <w:r w:rsidR="008E7EC5" w:rsidRPr="008E7EC5">
        <w:rPr>
          <w:rFonts w:ascii="Times New Roman" w:eastAsia="Times New Roman" w:hAnsi="Times New Roman" w:cs="Times New Roman"/>
          <w:noProof/>
          <w:color w:val="000000"/>
        </w:rPr>
        <w:t>[9]</w:t>
      </w:r>
      <w:r w:rsidR="00642F24">
        <w:rPr>
          <w:rFonts w:ascii="Times New Roman" w:eastAsia="Times New Roman" w:hAnsi="Times New Roman" w:cs="Times New Roman"/>
          <w:color w:val="000000"/>
        </w:rPr>
        <w:fldChar w:fldCharType="end"/>
      </w:r>
      <w:r w:rsidRPr="009B5AAA">
        <w:rPr>
          <w:rFonts w:ascii="Times New Roman" w:eastAsia="Times New Roman" w:hAnsi="Times New Roman" w:cs="Times New Roman"/>
          <w:color w:val="000000"/>
        </w:rPr>
        <w:t>.</w:t>
      </w:r>
    </w:p>
    <w:p w:rsidR="009B5AAA" w:rsidRPr="009B5AAA" w:rsidRDefault="009B5AAA" w:rsidP="00C0471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9B5AAA">
        <w:rPr>
          <w:rFonts w:ascii="Times New Roman" w:eastAsia="Times New Roman" w:hAnsi="Times New Roman" w:cs="Times New Roman"/>
          <w:color w:val="000000"/>
        </w:rPr>
        <w:t xml:space="preserve">The results of previous studies indicate the importance of work skills such as those needed by the manufacturing industry that attach great importance to communication skills, problem solving skills, teamwork skills, and personal qualities during students studying or practicum. In addition, graduates also need to emphasize leadership skills, entrepreneurial skills, technology skills and information skills </w:t>
      </w:r>
      <w:r w:rsidR="00C04710">
        <w:rPr>
          <w:rFonts w:ascii="Times New Roman" w:eastAsia="Times New Roman" w:hAnsi="Times New Roman" w:cs="Times New Roman"/>
          <w:color w:val="000000"/>
        </w:rPr>
        <w:fldChar w:fldCharType="begin" w:fldLock="1"/>
      </w:r>
      <w:r w:rsidR="008E7EC5">
        <w:rPr>
          <w:rFonts w:ascii="Times New Roman" w:eastAsia="Times New Roman" w:hAnsi="Times New Roman" w:cs="Times New Roman"/>
          <w:color w:val="000000"/>
        </w:rPr>
        <w:instrText>ADDIN CSL_CITATION { "citationItems" : [ { "id" : "ITEM-1", "itemData" : { "DOI" : "10.1016/j.sbspro.2013.10.739", "ISSN" : "18770428", "abstract" : "Previous researches on employability skills conducted nationally and internationally, found that many technical graduates lacked employability skills. This article reports on the study of employability skills that graduate of manufacturing students should acquire to be employed and sustain in manufacturing industries. The study investigates the importance of employability skills as perceived by employers from manufacturing industries. The findings of the study showed that employers place great importance to communication skills, problem solving skills, team work skills and personal qualities. Graduates also need to emphasis on leadership skill, entrepreneur skill, technology skill and informational skills.", "author" : [ { "dropping-particle" : "", "family" : "Rasul", "given" : "Mohamad Sattar", "non-dropping-particle" : "", "parse-names" : false, "suffix" : "" }, { "dropping-particle" : "", "family" : "Rauf", "given" : "Rose Amnah Abd", "non-dropping-particle" : "", "parse-names" : false, "suffix" : "" }, { "dropping-particle" : "", "family" : "Mansor", "given" : "Azlin Norhaini", "non-dropping-particle" : "", "parse-names" : false, "suffix" : "" }, { "dropping-particle" : "", "family" : "Yasin", "given" : "Ruhizan Mohamad", "non-dropping-particle" : "", "parse-names" : false, "suffix" : "" }, { "dropping-particle" : "", "family" : "Mahamod", "given" : "Zamri", "non-dropping-particle" : "", "parse-names" : false, "suffix" : "" } ], "container-title" : "Procedia - Social and Behavioral Sciences", "id" : "ITEM-1", "issued" : { "date-parts" : [ [ "2013" ] ] }, "page" : "242-250", "title" : "Graduate Employability For Manufacturing Industry", "type" : "article-journal", "volume" : "102" }, "uris" : [ "http://www.mendeley.com/documents/?uuid=e67bf929-232e-4038-b305-399b41b6cd3d" ] } ], "mendeley" : { "formattedCitation" : "[10]", "plainTextFormattedCitation" : "[10]", "previouslyFormattedCitation" : "(Rasul et al., 2013)" }, "properties" : { "noteIndex" : 0 }, "schema" : "https://github.com/citation-style-language/schema/raw/master/csl-citation.json" }</w:instrText>
      </w:r>
      <w:r w:rsidR="00C04710">
        <w:rPr>
          <w:rFonts w:ascii="Times New Roman" w:eastAsia="Times New Roman" w:hAnsi="Times New Roman" w:cs="Times New Roman"/>
          <w:color w:val="000000"/>
        </w:rPr>
        <w:fldChar w:fldCharType="separate"/>
      </w:r>
      <w:r w:rsidR="008E7EC5" w:rsidRPr="008E7EC5">
        <w:rPr>
          <w:rFonts w:ascii="Times New Roman" w:eastAsia="Times New Roman" w:hAnsi="Times New Roman" w:cs="Times New Roman"/>
          <w:noProof/>
          <w:color w:val="000000"/>
        </w:rPr>
        <w:t>[10]</w:t>
      </w:r>
      <w:r w:rsidR="00C04710">
        <w:rPr>
          <w:rFonts w:ascii="Times New Roman" w:eastAsia="Times New Roman" w:hAnsi="Times New Roman" w:cs="Times New Roman"/>
          <w:color w:val="000000"/>
        </w:rPr>
        <w:fldChar w:fldCharType="end"/>
      </w:r>
      <w:r w:rsidRPr="009B5AAA">
        <w:rPr>
          <w:rFonts w:ascii="Times New Roman" w:eastAsia="Times New Roman" w:hAnsi="Times New Roman" w:cs="Times New Roman"/>
          <w:color w:val="000000"/>
        </w:rPr>
        <w:t xml:space="preserve">. This study investigates competency improvement in work skills that lead to student satisfaction through work practices and the school collaboration relationship with </w:t>
      </w:r>
      <w:r w:rsidR="00800C6E">
        <w:rPr>
          <w:rFonts w:ascii="Times New Roman" w:eastAsia="Times New Roman" w:hAnsi="Times New Roman" w:cs="Times New Roman"/>
          <w:color w:val="000000"/>
        </w:rPr>
        <w:t>industry</w:t>
      </w:r>
      <w:r w:rsidRPr="009B5AAA">
        <w:rPr>
          <w:rFonts w:ascii="Times New Roman" w:eastAsia="Times New Roman" w:hAnsi="Times New Roman" w:cs="Times New Roman"/>
          <w:color w:val="000000"/>
        </w:rPr>
        <w:t xml:space="preserve">. The commitment of the </w:t>
      </w:r>
      <w:r w:rsidRPr="009B5AAA">
        <w:rPr>
          <w:rFonts w:ascii="Times New Roman" w:eastAsia="Times New Roman" w:hAnsi="Times New Roman" w:cs="Times New Roman"/>
          <w:color w:val="000000"/>
        </w:rPr>
        <w:lastRenderedPageBreak/>
        <w:t xml:space="preserve">school and students themselves shows a positive effect on the employability of graduates </w:t>
      </w:r>
      <w:r w:rsidR="00C04710">
        <w:rPr>
          <w:rFonts w:ascii="Times New Roman" w:eastAsia="Times New Roman" w:hAnsi="Times New Roman" w:cs="Times New Roman"/>
          <w:color w:val="000000"/>
        </w:rPr>
        <w:fldChar w:fldCharType="begin" w:fldLock="1"/>
      </w:r>
      <w:r w:rsidR="008E7EC5">
        <w:rPr>
          <w:rFonts w:ascii="Times New Roman" w:eastAsia="Times New Roman" w:hAnsi="Times New Roman" w:cs="Times New Roman"/>
          <w:color w:val="000000"/>
        </w:rPr>
        <w:instrText>ADDIN CSL_CITATION { "citationItems" : [ { "id" : "ITEM-1", "itemData" : { "DOI" : "10.1057/978-1-137-57168-7_4", "abstract" : "Notes on the Contributors; List of Figures; List of Tables; Chapter 1: Introduction: Graduate Employability in Context: Charting a Complex, Contested and Multi-Faceted Policy and Research Field; Introduction: The Political Economy of Graduate Employability; Locating the Problem of Graduate Employability; Level of Analysis in Graduate Employability; Employment Versus Employability; Qualifications as Declining Currencies: Skills, Capabilities or Capitals; What We Know About the Graduate Labour Market; Employers and Graduates; Organisation of This Book; References. Chapter 2: Graduate Employability: A Critical OversightIntroduction; What Is Employability, Where Did It Come From? What Are the Main Dimensions Within the Broad Spectrum of the Employability Literature?; A Brief Modern History of Careers, Work and (Un)Employment: The Context of Employability; Employability in Public Policy, the Skills Debate; Employability as a Human Resource Management Strategy; Graduate Employability and the Higher Education Context; The Individual Focus: Employability Measures and Self-perceived Employability; Employability: Potentially Helpful, But Not the Answer? ConclusionsReferences; Chapter 3: Employability, Employment and the Establishment of Higher Education Graduates in the Labour Market; Introduction; The Purpose of Higher Education; Higher Education and Employability; Outcomes of Higher Education; On the Demands of the Labour Market and What Is Learned in Higher Education; Employability on a Structural Level; Employment, Unemployment and Earnings; Establishment in the Labour Market in Sweden; Discussion; References; Chapter 4: Critical Perspectives on Graduate Employability; Introduction; Higher Education and Graduate Employability. Dominant Perspectives of Graduate EmployabilityCritique of Dominant Perspectives of Graduate Employability; Alternative Theoretical Perspectives; Structural Constructivism and Bourdieu; Critical Realism and Archer; Developing a Critical Agenda: Implications and Challenges; Notes; References; Chapter 5: Developing a More Coherent and Robust Basis for Employability Research: A Critical Realist Perspective; The Critical Realist Perspective; A Critical Realist View of Employability; The Critical Realist Challenge to the Current Employability Debate; Concluding Comments; References. Chapter 6: Boundaryless and Protean Career Orientation: A Multitude of Pathways to Graduate EmployabilityIntroduction; The Neo-Liberalisation of UK Higher Educat\u2026", "author" : [ { "dropping-particle" : "", "family" : "Burke", "given" : "Ciaran", "non-dropping-particle" : "", "parse-names" : false, "suffix" : "" }, { "dropping-particle" : "", "family" : "Scurry", "given" : "Tracy", "non-dropping-particle" : "", "parse-names" : false, "suffix" : "" }, { "dropping-particle" : "", "family" : "Blenkinsopp", "given" : "John", "non-dropping-particle" : "", "parse-names" : false, "suffix" : "" }, { "dropping-particle" : "", "family" : "Graley", "given" : "Katy", "non-dropping-particle" : "", "parse-names" : false, "suffix" : "" } ], "container-title" : "Graduate Employability in Context", "id" : "ITEM-1", "issued" : { "date-parts" : [ [ "2017" ] ] }, "page" : "87-107", "title" : "Critical Perspectives on Graduate Employability", "type" : "chapter" }, "uris" : [ "http://www.mendeley.com/documents/?uuid=3f3c52c1-1436-4c36-9a36-b2708cd25778" ] } ], "mendeley" : { "formattedCitation" : "[11]", "plainTextFormattedCitation" : "[11]", "previouslyFormattedCitation" : "(Burke et al., 2017)" }, "properties" : { "noteIndex" : 0 }, "schema" : "https://github.com/citation-style-language/schema/raw/master/csl-citation.json" }</w:instrText>
      </w:r>
      <w:r w:rsidR="00C04710">
        <w:rPr>
          <w:rFonts w:ascii="Times New Roman" w:eastAsia="Times New Roman" w:hAnsi="Times New Roman" w:cs="Times New Roman"/>
          <w:color w:val="000000"/>
        </w:rPr>
        <w:fldChar w:fldCharType="separate"/>
      </w:r>
      <w:r w:rsidR="008E7EC5" w:rsidRPr="008E7EC5">
        <w:rPr>
          <w:rFonts w:ascii="Times New Roman" w:eastAsia="Times New Roman" w:hAnsi="Times New Roman" w:cs="Times New Roman"/>
          <w:noProof/>
          <w:color w:val="000000"/>
        </w:rPr>
        <w:t>[11]</w:t>
      </w:r>
      <w:r w:rsidR="00C04710">
        <w:rPr>
          <w:rFonts w:ascii="Times New Roman" w:eastAsia="Times New Roman" w:hAnsi="Times New Roman" w:cs="Times New Roman"/>
          <w:color w:val="000000"/>
        </w:rPr>
        <w:fldChar w:fldCharType="end"/>
      </w:r>
      <w:r w:rsidRPr="009B5AAA">
        <w:rPr>
          <w:rFonts w:ascii="Times New Roman" w:eastAsia="Times New Roman" w:hAnsi="Times New Roman" w:cs="Times New Roman"/>
          <w:color w:val="000000"/>
        </w:rPr>
        <w:t xml:space="preserve">. This study identifies the correlation between street vendors satisfaction, work ability, and stakeholders with the aim to improve future work skills in the industry so that it can meet the absorption of </w:t>
      </w:r>
      <w:r w:rsidR="00800C6E">
        <w:rPr>
          <w:rFonts w:ascii="Times New Roman" w:eastAsia="Times New Roman" w:hAnsi="Times New Roman" w:cs="Times New Roman"/>
          <w:color w:val="000000"/>
        </w:rPr>
        <w:t>industry</w:t>
      </w:r>
      <w:r w:rsidRPr="009B5AAA">
        <w:rPr>
          <w:rFonts w:ascii="Times New Roman" w:eastAsia="Times New Roman" w:hAnsi="Times New Roman" w:cs="Times New Roman"/>
          <w:color w:val="000000"/>
        </w:rPr>
        <w:t xml:space="preserve"> </w:t>
      </w:r>
      <w:r w:rsidR="00C04710">
        <w:rPr>
          <w:rFonts w:ascii="Times New Roman" w:eastAsia="Times New Roman" w:hAnsi="Times New Roman" w:cs="Times New Roman"/>
          <w:color w:val="000000"/>
        </w:rPr>
        <w:fldChar w:fldCharType="begin" w:fldLock="1"/>
      </w:r>
      <w:r w:rsidR="008E7EC5">
        <w:rPr>
          <w:rFonts w:ascii="Times New Roman" w:eastAsia="Times New Roman" w:hAnsi="Times New Roman" w:cs="Times New Roman"/>
          <w:color w:val="000000"/>
        </w:rPr>
        <w:instrText>ADDIN CSL_CITATION { "citationItems" : [ { "id" : "ITEM-1", "itemData" : { "DOI" : "10.1016/j.jhlste.2018.04.001", "ISSN" : "14738376", "abstract" : "A primary goal common across hospitality internship programs is to make students more employable. This study investigates enhanced competencies in employability leading to student satisfaction with an internship program and the relationship to key stakeholders in the program. The school and the student's own self-commitment show positive effect on employability, however satisfaction with the employer was not significant suggesting areas for improvement. The research identified the correlation between internship satisfaction, employability, and the stakeholders with a goal to improving internship programs and enhancing employability for future talent in the hospitality industry.", "author" : [ { "dropping-particle" : "", "family" : "Chen", "given" : "Tzu ling", "non-dropping-particle" : "", "parse-names" : false, "suffix" : "" }, { "dropping-particle" : "", "family" : "Shen", "given" : "Ching cheng", "non-dropping-particle" : "", "parse-names" : false, "suffix" : "" }, { "dropping-particle" : "", "family" : "Gosling", "given" : "Mark", "non-dropping-particle" : "", "parse-names" : false, "suffix" : "" } ], "container-title" : "Journal of Hospitality, Leisure, Sport and Tourism Education", "id" : "ITEM-1", "issued" : { "date-parts" : [ [ "2018" ] ] }, "page" : "88-99", "title" : "Does employability increase with internship satisfaction? Enhanced employability and internship satisfaction in a hospitality program", "type" : "article-journal", "volume" : "22" }, "uris" : [ "http://www.mendeley.com/documents/?uuid=4c196f08-1684-4545-a981-04c1e1835839" ] } ], "mendeley" : { "formattedCitation" : "[12]", "plainTextFormattedCitation" : "[12]", "previouslyFormattedCitation" : "(Chen et al., 2018)" }, "properties" : { "noteIndex" : 0 }, "schema" : "https://github.com/citation-style-language/schema/raw/master/csl-citation.json" }</w:instrText>
      </w:r>
      <w:r w:rsidR="00C04710">
        <w:rPr>
          <w:rFonts w:ascii="Times New Roman" w:eastAsia="Times New Roman" w:hAnsi="Times New Roman" w:cs="Times New Roman"/>
          <w:color w:val="000000"/>
        </w:rPr>
        <w:fldChar w:fldCharType="separate"/>
      </w:r>
      <w:r w:rsidR="008E7EC5" w:rsidRPr="008E7EC5">
        <w:rPr>
          <w:rFonts w:ascii="Times New Roman" w:eastAsia="Times New Roman" w:hAnsi="Times New Roman" w:cs="Times New Roman"/>
          <w:noProof/>
          <w:color w:val="000000"/>
        </w:rPr>
        <w:t>[12]</w:t>
      </w:r>
      <w:r w:rsidR="00C04710">
        <w:rPr>
          <w:rFonts w:ascii="Times New Roman" w:eastAsia="Times New Roman" w:hAnsi="Times New Roman" w:cs="Times New Roman"/>
          <w:color w:val="000000"/>
        </w:rPr>
        <w:fldChar w:fldCharType="end"/>
      </w:r>
      <w:r w:rsidRPr="009B5AAA">
        <w:rPr>
          <w:rFonts w:ascii="Times New Roman" w:eastAsia="Times New Roman" w:hAnsi="Times New Roman" w:cs="Times New Roman"/>
          <w:color w:val="000000"/>
        </w:rPr>
        <w:t>.</w:t>
      </w:r>
    </w:p>
    <w:p w:rsidR="00860F36" w:rsidRDefault="009B5AAA" w:rsidP="00A30D0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9B5AAA">
        <w:rPr>
          <w:rFonts w:ascii="Times New Roman" w:eastAsia="Times New Roman" w:hAnsi="Times New Roman" w:cs="Times New Roman"/>
          <w:color w:val="000000"/>
        </w:rPr>
        <w:t>The central aspect of labor absorption is consideration of the implementation of sustainable street vendors to take the opportunities offered by the industry to students. The findings of this study indicate the industrial internship program at the Universidade de Santiago de Compostela has been able to prepare final semester students to successfully integrate and develop in the professional world and have their first experience in the context of work in real life</w:t>
      </w:r>
      <w:r w:rsidR="00A30D01">
        <w:rPr>
          <w:rFonts w:ascii="Times New Roman" w:eastAsia="Times New Roman" w:hAnsi="Times New Roman" w:cs="Times New Roman"/>
          <w:color w:val="000000"/>
          <w:lang w:val="id-ID"/>
        </w:rPr>
        <w:t xml:space="preserve"> </w:t>
      </w:r>
      <w:r w:rsidR="00A30D01">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"DOI" : "10.1016/j.ece.2018.08.004", "ISSN" : "17497728", "abstract" : "Preparing, finding and making the transition from a Bachelor degree level to a successful job in the profession of Chemical Engineering requires not only an investment of time and effort but also prior training in a work placement environment, which allows the development and strengthening of the professional skills of the future graduates. A central aspect of this process is the ongoing consideration of an industrial internship to take advantage of the goals, strengths and opportunities that such alternative offers to undergraduate students. The Industrial Internship Program of the Department of Chemical Engineering at Universidade de Santiago de Compostela prepares third- and fourth-year college students to successfully integrate and thrive in the professional world and to have their first experience in a real-life work context, supported by a dynamic community of administrative and teaching staff and employers. Companies that collaborate in the training of future chemical engineers are distributed throughout the national territory, which allows a strong connection with the socioeconomic environment.", "author" : [ { "dropping-particle" : "", "family" : "Feijoo", "given" : "G.", "non-dropping-particle" : "", "parse-names" : false, "suffix" : "" }, { "dropping-particle" : "", "family" : "Arce", "given" : "A.", "non-dropping-particle" : "", "parse-names" : false, "suffix" : "" }, { "dropping-particle" : "", "family" : "Bello", "given" : "P.", "non-dropping-particle" : "", "parse-names" : false, "suffix" : "" }, { "dropping-particle" : "", "family" : "Carballa", "given" : "M.", "non-dropping-particle" : "", "parse-names" : false, "suffix" : "" }, { "dropping-particle" : "", "family" : "Freire", "given" : "M. S.", "non-dropping-particle" : "", "parse-names" : false, "suffix" : "" }, { "dropping-particle" : "", "family" : "Garrido", "given" : "J. M.", "non-dropping-particle" : "", "parse-names" : false, "suffix" : "" }, { "dropping-particle" : "", "family" : "G\u00f3mez-D\u00edaz", "given" : "D.", "non-dropping-particle" : "", "parse-names" : false, "suffix" : "" }, { "dropping-particle" : "", "family" : "Gonz\u00e1lez-\u00c1lvarez", "given" : "J.", "non-dropping-particle" : "", "parse-names" : false, "suffix" : "" }, { "dropping-particle" : "", "family" : "Gonz\u00e1lez-Garc\u00eda", "given" : "S.", "non-dropping-particle" : "", "parse-names" : false, "suffix" : "" }, { "dropping-particle" : "", "family" : "Mauricio", "given" : "M.", "non-dropping-particle" : "", "parse-names" : false, "suffix" : "" }, { "dropping-particle" : "", "family" : "M\u00e9ndez", "given" : "R.", "non-dropping-particle" : "", "parse-names" : false, "suffix" : "" }, { "dropping-particle" : "", "family" : "Moreira", "given" : "M. T.", "non-dropping-particle" : "", "parse-names" : false, "suffix" : "" }, { "dropping-particle" : "", "family" : "Mosquera-Corral", "given" : "A.", "non-dropping-particle" : "", "parse-names" : false, "suffix" : "" }, { "dropping-particle" : "", "family" : "Navaza", "given" : "J. M.", "non-dropping-particle" : "", "parse-names" : false, "suffix" : "" }, { "dropping-particle" : "", "family" : "Palacios", "given" : "M. C.", "non-dropping-particle" : "", "parse-names" : false, "suffix" : "" }, { "dropping-particle" : "", "family" : "Roca", "given" : "E.", "non-dropping-particle" : "", "parse-names" : false, "suffix" : "" }, { "dropping-particle" : "", "family" : "Rodil", "given" : "E.", "non-dropping-particle" : "", "parse-names" : false, "suffix" : "" }, { "dropping-particle" : "", "family" : "Rodr\u00edguez", "given" : "H.", "non-dropping-particle" : "", "parse-names" : false, "suffix" : "" }, { "dropping-particle" : "", "family" : "Rodr\u00edguez", "given" : "O.", "non-dropping-particle" : "", "parse-names" : false, "suffix" : "" }, { "dropping-particle" : "", "family" : "Sineiro", "given" : "J.", "non-dropping-particle" : "", "parse-names" : false, "suffix" : "" }, { "dropping-particle" : "", "family" : "Soto", "given" : "A.", "non-dropping-particle" : "", "parse-names" : false, "suffix" : "" }, { "dropping-particle" : "", "family" : "Torres", "given" : "M. D.", "non-dropping-particle" : "", "parse-names" : false, "suffix" : "" }, { "dropping-particle" : "", "family" : "Moreira", "given" : "R.", "non-dropping-particle" : "", "parse-names" : false, "suffix" : "" } ], "container-title" : "Education for Chemical Engineers", "id" : "ITEM-1", "issued" : { "date-parts" : [ [ "2019" ] ] }, "page" : "107-113", "title" : "Potential impact on the recruitment of chemical engineering graduates due to the industrial internship", "type" : "article-journal", "volume" : "26" }, "uris" : [ "http://www.mendeley.com/documents/?uuid=f77eb3d8-1512-4b1d-9a05-3202e3ba35be" ] } ], "mendeley" : { "formattedCitation" : "[13]", "plainTextFormattedCitation" : "[13]", "previouslyFormattedCitation" : "(Feijoo et al., 2019)" }, "properties" : { "noteIndex" : 0 }, "schema" : "https://github.com/citation-style-language/schema/raw/master/csl-citation.json" }</w:instrText>
      </w:r>
      <w:r w:rsidR="00A30D01">
        <w:rPr>
          <w:rFonts w:ascii="Times New Roman" w:eastAsia="Times New Roman" w:hAnsi="Times New Roman" w:cs="Times New Roman"/>
          <w:color w:val="000000"/>
          <w:lang w:val="id-ID"/>
        </w:rPr>
        <w:fldChar w:fldCharType="separate"/>
      </w:r>
      <w:r w:rsidR="008E7EC5" w:rsidRPr="008E7EC5">
        <w:rPr>
          <w:rFonts w:ascii="Times New Roman" w:eastAsia="Times New Roman" w:hAnsi="Times New Roman" w:cs="Times New Roman"/>
          <w:noProof/>
          <w:color w:val="000000"/>
          <w:lang w:val="id-ID"/>
        </w:rPr>
        <w:t>[13]</w:t>
      </w:r>
      <w:r w:rsidR="00A30D01">
        <w:rPr>
          <w:rFonts w:ascii="Times New Roman" w:eastAsia="Times New Roman" w:hAnsi="Times New Roman" w:cs="Times New Roman"/>
          <w:color w:val="000000"/>
          <w:lang w:val="id-ID"/>
        </w:rPr>
        <w:fldChar w:fldCharType="end"/>
      </w:r>
      <w:r w:rsidRPr="009B5AAA">
        <w:rPr>
          <w:rFonts w:ascii="Times New Roman" w:eastAsia="Times New Roman" w:hAnsi="Times New Roman" w:cs="Times New Roman"/>
          <w:color w:val="000000"/>
        </w:rPr>
        <w:t xml:space="preserve">. The results of this study contradict the findings of Herman </w:t>
      </w:r>
      <w:r w:rsidR="00A30D01">
        <w:rPr>
          <w:rFonts w:ascii="Times New Roman" w:eastAsia="Times New Roman" w:hAnsi="Times New Roman" w:cs="Times New Roman"/>
          <w:color w:val="000000"/>
        </w:rPr>
        <w:fldChar w:fldCharType="begin" w:fldLock="1"/>
      </w:r>
      <w:r w:rsidR="008E7EC5">
        <w:rPr>
          <w:rFonts w:ascii="Times New Roman" w:eastAsia="Times New Roman" w:hAnsi="Times New Roman" w:cs="Times New Roman"/>
          <w:color w:val="000000"/>
        </w:rPr>
        <w:instrText>ADDIN CSL_CITATION { "citationItems" : [ { "id" : "ITEM-1", "itemData" : { "DOI" : "10.1016/j.sbspro.2012.06.476", "ISSN" : "18770428", "abstract" : "The study aims to highlight the role of education, especially higher education, in the Romanian labour market between 2000 and 2010. The results confirm that a better-educated population, with a qualification meeting the needs of the labour market, is characterized by higher employment rates and lower unemployment rates respectively. Moreover, the results underline that, at the level of the EU countries, gaps in the level of employment and labour productivity can be explained by disparities in the level of education of the human resource, the fact that education is a premise for the qualitative and quantitative employment growth is confirmed.", "author" : [ { "dropping-particle" : "", "family" : "Herman", "given" : "Emilia", "non-dropping-particle" : "", "parse-names" : false, "suffix" : "" } ], "container-title" : "Procedia - Social and Behavioral Sciences", "id" : "ITEM-1", "issued" : { "date-parts" : [ [ "2012" ] ] }, "page" : "5563-5567", "title" : "Education's Impact on the Romanian Labour Market in the European Context", "type" : "article-journal", "volume" : "46" }, "uris" : [ "http://www.mendeley.com/documents/?uuid=a61cb498-37b5-4df6-9940-0da52deaa0cc" ] } ], "mendeley" : { "formattedCitation" : "[14]", "manualFormatting" : "(2012)", "plainTextFormattedCitation" : "[14]", "previouslyFormattedCitation" : "(Herman, 2012)" }, "properties" : { "noteIndex" : 0 }, "schema" : "https://github.com/citation-style-language/schema/raw/master/csl-citation.json" }</w:instrText>
      </w:r>
      <w:r w:rsidR="00A30D01">
        <w:rPr>
          <w:rFonts w:ascii="Times New Roman" w:eastAsia="Times New Roman" w:hAnsi="Times New Roman" w:cs="Times New Roman"/>
          <w:color w:val="000000"/>
        </w:rPr>
        <w:fldChar w:fldCharType="separate"/>
      </w:r>
      <w:r w:rsidR="00A30D01">
        <w:rPr>
          <w:rFonts w:ascii="Times New Roman" w:eastAsia="Times New Roman" w:hAnsi="Times New Roman" w:cs="Times New Roman"/>
          <w:noProof/>
          <w:color w:val="000000"/>
        </w:rPr>
        <w:t>(</w:t>
      </w:r>
      <w:r w:rsidR="00A30D01" w:rsidRPr="00A30D01">
        <w:rPr>
          <w:rFonts w:ascii="Times New Roman" w:eastAsia="Times New Roman" w:hAnsi="Times New Roman" w:cs="Times New Roman"/>
          <w:noProof/>
          <w:color w:val="000000"/>
        </w:rPr>
        <w:t>2012)</w:t>
      </w:r>
      <w:r w:rsidR="00A30D01">
        <w:rPr>
          <w:rFonts w:ascii="Times New Roman" w:eastAsia="Times New Roman" w:hAnsi="Times New Roman" w:cs="Times New Roman"/>
          <w:color w:val="000000"/>
        </w:rPr>
        <w:fldChar w:fldCharType="end"/>
      </w:r>
      <w:r w:rsidRPr="009B5AAA">
        <w:rPr>
          <w:rFonts w:ascii="Times New Roman" w:eastAsia="Times New Roman" w:hAnsi="Times New Roman" w:cs="Times New Roman"/>
          <w:color w:val="000000"/>
        </w:rPr>
        <w:t xml:space="preserve"> who showed that highly educated populations have high qualifications in the fulfillment of labor and have labor productivity with educational levels as a supporting factor.</w:t>
      </w:r>
    </w:p>
    <w:p w:rsidR="00DA0F18" w:rsidRDefault="00DA0F18" w:rsidP="009B5AA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DA0F18" w:rsidRDefault="00DA0F18" w:rsidP="006B3FF0">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lang w:val="id-ID"/>
        </w:rPr>
        <w:t>Met</w:t>
      </w:r>
      <w:r w:rsidR="006B3FF0">
        <w:rPr>
          <w:rFonts w:ascii="Times New Roman" w:eastAsia="Times New Roman" w:hAnsi="Times New Roman" w:cs="Times New Roman"/>
          <w:b/>
          <w:color w:val="000000"/>
          <w:lang w:val="id-ID"/>
        </w:rPr>
        <w:t>h</w:t>
      </w:r>
      <w:r>
        <w:rPr>
          <w:rFonts w:ascii="Times New Roman" w:eastAsia="Times New Roman" w:hAnsi="Times New Roman" w:cs="Times New Roman"/>
          <w:b/>
          <w:color w:val="000000"/>
          <w:lang w:val="id-ID"/>
        </w:rPr>
        <w:t>od</w:t>
      </w:r>
    </w:p>
    <w:p w:rsidR="006B3FF0" w:rsidRPr="006B3FF0" w:rsidRDefault="006B3FF0" w:rsidP="001114B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6B3FF0">
        <w:rPr>
          <w:rFonts w:ascii="Times New Roman" w:eastAsia="Times New Roman" w:hAnsi="Times New Roman" w:cs="Times New Roman"/>
          <w:color w:val="000000"/>
        </w:rPr>
        <w:t xml:space="preserve">The research method was conducted using a quantitative approach with descriptive analysis techniques. The steps taken are as follows: (1) selecting and formulating problems, (2) determining the objectives of the study, (3) providing limitations / limitations of research from the area of descriptive research carried out, (4) tracing sources of literature which has to do with the problem, (5) conducting a field survey to collect data, (6) making a statistical analysis of the data that has been collected, and (7) making a research report by describing the data from the statistical analysis of the recapitulated data. The subjects used in this study were all students graduating from </w:t>
      </w:r>
      <w:r w:rsidR="003C338A">
        <w:rPr>
          <w:rFonts w:ascii="Times New Roman" w:eastAsia="Times New Roman" w:hAnsi="Times New Roman" w:cs="Times New Roman"/>
          <w:color w:val="000000"/>
        </w:rPr>
        <w:t>VHS</w:t>
      </w:r>
      <w:r w:rsidRPr="006B3FF0">
        <w:rPr>
          <w:rFonts w:ascii="Times New Roman" w:eastAsia="Times New Roman" w:hAnsi="Times New Roman" w:cs="Times New Roman"/>
          <w:color w:val="000000"/>
        </w:rPr>
        <w:t xml:space="preserve"> </w:t>
      </w:r>
      <w:r w:rsidR="001114BA">
        <w:rPr>
          <w:rFonts w:ascii="Times New Roman" w:eastAsia="Times New Roman" w:hAnsi="Times New Roman" w:cs="Times New Roman"/>
          <w:color w:val="000000"/>
          <w:lang w:val="id-ID"/>
        </w:rPr>
        <w:t xml:space="preserve">in </w:t>
      </w:r>
      <w:r w:rsidR="001114BA" w:rsidRPr="00E156D5">
        <w:rPr>
          <w:rFonts w:ascii="Times New Roman" w:eastAsia="Times New Roman" w:hAnsi="Times New Roman" w:cs="Times New Roman"/>
          <w:sz w:val="20"/>
          <w:szCs w:val="20"/>
        </w:rPr>
        <w:t>Jombang</w:t>
      </w:r>
      <w:r w:rsidR="001114BA">
        <w:rPr>
          <w:rFonts w:ascii="Times New Roman" w:eastAsia="Times New Roman" w:hAnsi="Times New Roman" w:cs="Times New Roman"/>
          <w:sz w:val="20"/>
          <w:szCs w:val="20"/>
          <w:lang w:val="id-ID"/>
        </w:rPr>
        <w:t xml:space="preserve"> D</w:t>
      </w:r>
      <w:r w:rsidR="001114BA" w:rsidRPr="00800C6E">
        <w:rPr>
          <w:rFonts w:ascii="Times New Roman" w:eastAsia="Times New Roman" w:hAnsi="Times New Roman" w:cs="Times New Roman"/>
          <w:sz w:val="20"/>
          <w:szCs w:val="20"/>
          <w:lang w:val="id-ID"/>
        </w:rPr>
        <w:t>istricts</w:t>
      </w:r>
      <w:r w:rsidRPr="006B3FF0">
        <w:rPr>
          <w:rFonts w:ascii="Times New Roman" w:eastAsia="Times New Roman" w:hAnsi="Times New Roman" w:cs="Times New Roman"/>
          <w:color w:val="000000"/>
        </w:rPr>
        <w:t xml:space="preserve"> </w:t>
      </w:r>
      <w:r w:rsidR="001114BA">
        <w:rPr>
          <w:rFonts w:ascii="Times New Roman" w:eastAsia="Times New Roman" w:hAnsi="Times New Roman" w:cs="Times New Roman"/>
          <w:color w:val="000000"/>
          <w:lang w:val="id-ID"/>
        </w:rPr>
        <w:t>at</w:t>
      </w:r>
      <w:r w:rsidRPr="006B3FF0">
        <w:rPr>
          <w:rFonts w:ascii="Times New Roman" w:eastAsia="Times New Roman" w:hAnsi="Times New Roman" w:cs="Times New Roman"/>
          <w:color w:val="000000"/>
        </w:rPr>
        <w:t xml:space="preserve"> the field of technology and engineering expertise for three periods (2018, 2017, </w:t>
      </w:r>
      <w:proofErr w:type="gramStart"/>
      <w:r w:rsidRPr="006B3FF0">
        <w:rPr>
          <w:rFonts w:ascii="Times New Roman" w:eastAsia="Times New Roman" w:hAnsi="Times New Roman" w:cs="Times New Roman"/>
          <w:color w:val="000000"/>
        </w:rPr>
        <w:t>2016</w:t>
      </w:r>
      <w:proofErr w:type="gramEnd"/>
      <w:r w:rsidRPr="006B3FF0">
        <w:rPr>
          <w:rFonts w:ascii="Times New Roman" w:eastAsia="Times New Roman" w:hAnsi="Times New Roman" w:cs="Times New Roman"/>
          <w:color w:val="000000"/>
        </w:rPr>
        <w:t>).</w:t>
      </w:r>
    </w:p>
    <w:p w:rsidR="00DA0F18" w:rsidRDefault="006B3FF0" w:rsidP="00A30D0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6B3FF0">
        <w:rPr>
          <w:rFonts w:ascii="Times New Roman" w:eastAsia="Times New Roman" w:hAnsi="Times New Roman" w:cs="Times New Roman"/>
          <w:color w:val="000000"/>
        </w:rPr>
        <w:t xml:space="preserve">The research instrument used was data documentation (data absorption of graduates in the world of work). Interview guidelines are used as a reinforcement of research data covering factors that influence the absorption of graduates in the world of work. The results of the analysis of the degree of absorption of graduates using a percentage interpretation from Sugiyono </w:t>
      </w:r>
      <w:r w:rsidR="00A30D01">
        <w:rPr>
          <w:rFonts w:ascii="Times New Roman" w:eastAsia="Times New Roman" w:hAnsi="Times New Roman" w:cs="Times New Roman"/>
          <w:color w:val="000000"/>
        </w:rPr>
        <w:fldChar w:fldCharType="begin" w:fldLock="1"/>
      </w:r>
      <w:r w:rsidR="008E7EC5">
        <w:rPr>
          <w:rFonts w:ascii="Times New Roman" w:eastAsia="Times New Roman" w:hAnsi="Times New Roman" w:cs="Times New Roman"/>
          <w:color w:val="000000"/>
        </w:rPr>
        <w:instrText>ADDIN CSL_CITATION { "citationItems" : [ { "id" : "ITEM-1", "itemData" : { "abstract" : "Metode penelitian pada dasarnya merupakan cara ilmiah untuk mendapatkan data tujuan Dan kegunaan tertentu. Baik berupa data primer maupun data sekunder yang dapat digunakan untuk menyusun karya ilmiah dan kemudian menganalisis faktor-faktor yang berhubungan dengan pokok-pokok permasalahan sehingga akan didapat suatu kebenaran atas data yang diperoleh.", "author" : [ { "dropping-particle" : "", "family" : "Sugiyono", "given" : "", "non-dropping-particle" : "", "parse-names" : false, "suffix" : "" } ], "id" : "ITEM-1", "issued" : { "date-parts" : [ [ "2018" ] ] }, "number-of-pages" : "117-128", "publisher" : "AlfaBeta", "publisher-place" : "Bandung", "title" : "Metode penelitian pendidikan pendekatan kauntitatif, kualitatif, R&amp;D", "type" : "book" }, "uris" : [ "http://www.mendeley.com/documents/?uuid=7f409d2d-8404-4eb8-8add-a0f70052a011" ] } ], "mendeley" : { "formattedCitation" : "[15]", "manualFormatting" : "(2018)", "plainTextFormattedCitation" : "[15]", "previouslyFormattedCitation" : "(Sugiyono, 2018)" }, "properties" : { "noteIndex" : 0 }, "schema" : "https://github.com/citation-style-language/schema/raw/master/csl-citation.json" }</w:instrText>
      </w:r>
      <w:r w:rsidR="00A30D01">
        <w:rPr>
          <w:rFonts w:ascii="Times New Roman" w:eastAsia="Times New Roman" w:hAnsi="Times New Roman" w:cs="Times New Roman"/>
          <w:color w:val="000000"/>
        </w:rPr>
        <w:fldChar w:fldCharType="separate"/>
      </w:r>
      <w:r w:rsidR="00A30D01">
        <w:rPr>
          <w:rFonts w:ascii="Times New Roman" w:eastAsia="Times New Roman" w:hAnsi="Times New Roman" w:cs="Times New Roman"/>
          <w:noProof/>
          <w:color w:val="000000"/>
        </w:rPr>
        <w:t>(</w:t>
      </w:r>
      <w:r w:rsidR="00A30D01" w:rsidRPr="00A30D01">
        <w:rPr>
          <w:rFonts w:ascii="Times New Roman" w:eastAsia="Times New Roman" w:hAnsi="Times New Roman" w:cs="Times New Roman"/>
          <w:noProof/>
          <w:color w:val="000000"/>
        </w:rPr>
        <w:t>2018)</w:t>
      </w:r>
      <w:r w:rsidR="00A30D01">
        <w:rPr>
          <w:rFonts w:ascii="Times New Roman" w:eastAsia="Times New Roman" w:hAnsi="Times New Roman" w:cs="Times New Roman"/>
          <w:color w:val="000000"/>
        </w:rPr>
        <w:fldChar w:fldCharType="end"/>
      </w:r>
      <w:r w:rsidRPr="006B3FF0">
        <w:rPr>
          <w:rFonts w:ascii="Times New Roman" w:eastAsia="Times New Roman" w:hAnsi="Times New Roman" w:cs="Times New Roman"/>
          <w:color w:val="000000"/>
        </w:rPr>
        <w:t xml:space="preserve"> as described in Table 1.</w:t>
      </w:r>
    </w:p>
    <w:p w:rsidR="00B7591E" w:rsidRDefault="00B7591E" w:rsidP="00B7591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lang w:val="id-ID"/>
        </w:rPr>
      </w:pPr>
      <w:proofErr w:type="gramStart"/>
      <w:r>
        <w:rPr>
          <w:rFonts w:ascii="Times New Roman" w:eastAsia="Times New Roman" w:hAnsi="Times New Roman" w:cs="Times New Roman"/>
          <w:b/>
          <w:color w:val="000000"/>
        </w:rPr>
        <w:t>Table 1.</w:t>
      </w:r>
      <w:proofErr w:type="gramEnd"/>
      <w:r>
        <w:rPr>
          <w:rFonts w:ascii="Times New Roman" w:eastAsia="Times New Roman" w:hAnsi="Times New Roman" w:cs="Times New Roman"/>
          <w:color w:val="000000"/>
        </w:rPr>
        <w:t xml:space="preserve"> </w:t>
      </w:r>
      <w:r w:rsidRPr="006B3FF0">
        <w:rPr>
          <w:rFonts w:ascii="Times New Roman" w:eastAsia="Times New Roman" w:hAnsi="Times New Roman" w:cs="Times New Roman"/>
          <w:color w:val="000000"/>
        </w:rPr>
        <w:t>Description of Percentage Interpretation</w:t>
      </w:r>
    </w:p>
    <w:tbl>
      <w:tblPr>
        <w:tblStyle w:val="TableGrid"/>
        <w:tblW w:w="4550" w:type="dxa"/>
        <w:jc w:val="center"/>
        <w:tblInd w:w="26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1316"/>
        <w:gridCol w:w="2621"/>
      </w:tblGrid>
      <w:tr w:rsidR="00B7591E" w:rsidTr="00C53D8A">
        <w:trPr>
          <w:jc w:val="center"/>
        </w:trPr>
        <w:tc>
          <w:tcPr>
            <w:tcW w:w="613" w:type="dxa"/>
            <w:tcBorders>
              <w:top w:val="single" w:sz="4" w:space="0" w:color="auto"/>
              <w:bottom w:val="single" w:sz="4" w:space="0" w:color="auto"/>
            </w:tcBorders>
          </w:tcPr>
          <w:p w:rsidR="00B7591E" w:rsidRDefault="00B7591E" w:rsidP="00C53D8A">
            <w:pPr>
              <w:jc w:val="center"/>
              <w:rPr>
                <w:lang w:val="id-ID"/>
              </w:rPr>
            </w:pPr>
            <w:r>
              <w:rPr>
                <w:lang w:val="id-ID"/>
              </w:rPr>
              <w:t>No</w:t>
            </w:r>
          </w:p>
        </w:tc>
        <w:tc>
          <w:tcPr>
            <w:tcW w:w="1316" w:type="dxa"/>
            <w:tcBorders>
              <w:top w:val="single" w:sz="4" w:space="0" w:color="auto"/>
              <w:bottom w:val="single" w:sz="4" w:space="0" w:color="auto"/>
            </w:tcBorders>
          </w:tcPr>
          <w:p w:rsidR="00B7591E" w:rsidRDefault="00B7591E" w:rsidP="00C53D8A">
            <w:pPr>
              <w:jc w:val="center"/>
              <w:rPr>
                <w:lang w:val="id-ID"/>
              </w:rPr>
            </w:pPr>
            <w:r w:rsidRPr="00F93CF1">
              <w:rPr>
                <w:lang w:val="id-ID"/>
              </w:rPr>
              <w:t>Percentage</w:t>
            </w:r>
          </w:p>
        </w:tc>
        <w:tc>
          <w:tcPr>
            <w:tcW w:w="2621" w:type="dxa"/>
            <w:tcBorders>
              <w:top w:val="single" w:sz="4" w:space="0" w:color="auto"/>
              <w:bottom w:val="single" w:sz="4" w:space="0" w:color="auto"/>
            </w:tcBorders>
          </w:tcPr>
          <w:p w:rsidR="00B7591E" w:rsidRDefault="00B7591E" w:rsidP="00C53D8A">
            <w:pPr>
              <w:jc w:val="center"/>
              <w:rPr>
                <w:lang w:val="id-ID"/>
              </w:rPr>
            </w:pPr>
            <w:r w:rsidRPr="00F93CF1">
              <w:rPr>
                <w:lang w:val="id-ID"/>
              </w:rPr>
              <w:t>Interpretation</w:t>
            </w:r>
          </w:p>
        </w:tc>
      </w:tr>
      <w:tr w:rsidR="00B7591E" w:rsidTr="00C53D8A">
        <w:trPr>
          <w:jc w:val="center"/>
        </w:trPr>
        <w:tc>
          <w:tcPr>
            <w:tcW w:w="613" w:type="dxa"/>
            <w:tcBorders>
              <w:top w:val="single" w:sz="4" w:space="0" w:color="auto"/>
            </w:tcBorders>
          </w:tcPr>
          <w:p w:rsidR="00B7591E" w:rsidRDefault="00B7591E" w:rsidP="00C53D8A">
            <w:pPr>
              <w:jc w:val="center"/>
              <w:rPr>
                <w:lang w:val="id-ID"/>
              </w:rPr>
            </w:pPr>
            <w:r>
              <w:rPr>
                <w:lang w:val="id-ID"/>
              </w:rPr>
              <w:t>1</w:t>
            </w:r>
          </w:p>
        </w:tc>
        <w:tc>
          <w:tcPr>
            <w:tcW w:w="1316" w:type="dxa"/>
            <w:tcBorders>
              <w:top w:val="single" w:sz="4" w:space="0" w:color="auto"/>
            </w:tcBorders>
          </w:tcPr>
          <w:p w:rsidR="00B7591E" w:rsidRDefault="00B7591E" w:rsidP="00C53D8A">
            <w:pPr>
              <w:jc w:val="center"/>
              <w:rPr>
                <w:lang w:val="id-ID"/>
              </w:rPr>
            </w:pPr>
            <w:r>
              <w:t>0%</w:t>
            </w:r>
          </w:p>
        </w:tc>
        <w:tc>
          <w:tcPr>
            <w:tcW w:w="2621" w:type="dxa"/>
            <w:tcBorders>
              <w:top w:val="single" w:sz="4" w:space="0" w:color="auto"/>
            </w:tcBorders>
            <w:vAlign w:val="bottom"/>
          </w:tcPr>
          <w:p w:rsidR="00B7591E" w:rsidRPr="008748AC" w:rsidRDefault="00B7591E" w:rsidP="00C53D8A">
            <w:pPr>
              <w:jc w:val="center"/>
              <w:rPr>
                <w:lang w:val="id-ID"/>
              </w:rPr>
            </w:pPr>
            <w:r w:rsidRPr="008748AC">
              <w:rPr>
                <w:lang w:val="id-ID"/>
              </w:rPr>
              <w:t>Nothing</w:t>
            </w:r>
          </w:p>
        </w:tc>
      </w:tr>
      <w:tr w:rsidR="00B7591E" w:rsidTr="00C53D8A">
        <w:trPr>
          <w:jc w:val="center"/>
        </w:trPr>
        <w:tc>
          <w:tcPr>
            <w:tcW w:w="613" w:type="dxa"/>
          </w:tcPr>
          <w:p w:rsidR="00B7591E" w:rsidRDefault="00B7591E" w:rsidP="00C53D8A">
            <w:pPr>
              <w:jc w:val="center"/>
              <w:rPr>
                <w:lang w:val="id-ID"/>
              </w:rPr>
            </w:pPr>
            <w:r>
              <w:rPr>
                <w:lang w:val="id-ID"/>
              </w:rPr>
              <w:t>2</w:t>
            </w:r>
          </w:p>
        </w:tc>
        <w:tc>
          <w:tcPr>
            <w:tcW w:w="1316" w:type="dxa"/>
          </w:tcPr>
          <w:p w:rsidR="00B7591E" w:rsidRDefault="00B7591E" w:rsidP="00C53D8A">
            <w:pPr>
              <w:jc w:val="center"/>
              <w:rPr>
                <w:lang w:val="id-ID"/>
              </w:rPr>
            </w:pPr>
            <w:r>
              <w:t xml:space="preserve">1% - </w:t>
            </w:r>
            <w:r>
              <w:rPr>
                <w:lang w:val="id-ID"/>
              </w:rPr>
              <w:t>3</w:t>
            </w:r>
            <w:r>
              <w:t xml:space="preserve">9% </w:t>
            </w:r>
          </w:p>
        </w:tc>
        <w:tc>
          <w:tcPr>
            <w:tcW w:w="2621" w:type="dxa"/>
            <w:vAlign w:val="bottom"/>
          </w:tcPr>
          <w:p w:rsidR="00B7591E" w:rsidRPr="008748AC" w:rsidRDefault="00B7591E" w:rsidP="00C53D8A">
            <w:pPr>
              <w:jc w:val="center"/>
              <w:rPr>
                <w:lang w:val="id-ID"/>
              </w:rPr>
            </w:pPr>
            <w:r w:rsidRPr="008748AC">
              <w:rPr>
                <w:lang w:val="id-ID"/>
              </w:rPr>
              <w:t>A small portion</w:t>
            </w:r>
          </w:p>
        </w:tc>
      </w:tr>
      <w:tr w:rsidR="00B7591E" w:rsidTr="00C53D8A">
        <w:trPr>
          <w:jc w:val="center"/>
        </w:trPr>
        <w:tc>
          <w:tcPr>
            <w:tcW w:w="613" w:type="dxa"/>
          </w:tcPr>
          <w:p w:rsidR="00B7591E" w:rsidRDefault="00B7591E" w:rsidP="00C53D8A">
            <w:pPr>
              <w:jc w:val="center"/>
              <w:rPr>
                <w:lang w:val="id-ID"/>
              </w:rPr>
            </w:pPr>
            <w:r>
              <w:rPr>
                <w:lang w:val="id-ID"/>
              </w:rPr>
              <w:t>3</w:t>
            </w:r>
          </w:p>
        </w:tc>
        <w:tc>
          <w:tcPr>
            <w:tcW w:w="1316" w:type="dxa"/>
          </w:tcPr>
          <w:p w:rsidR="00B7591E" w:rsidRDefault="00B7591E" w:rsidP="00C53D8A">
            <w:pPr>
              <w:jc w:val="center"/>
              <w:rPr>
                <w:lang w:val="id-ID"/>
              </w:rPr>
            </w:pPr>
            <w:r>
              <w:t xml:space="preserve">40% - 49% </w:t>
            </w:r>
          </w:p>
        </w:tc>
        <w:tc>
          <w:tcPr>
            <w:tcW w:w="2621" w:type="dxa"/>
            <w:vAlign w:val="bottom"/>
          </w:tcPr>
          <w:p w:rsidR="00B7591E" w:rsidRPr="008748AC" w:rsidRDefault="00B7591E" w:rsidP="00C53D8A">
            <w:pPr>
              <w:jc w:val="center"/>
              <w:rPr>
                <w:lang w:val="id-ID"/>
              </w:rPr>
            </w:pPr>
            <w:r w:rsidRPr="008748AC">
              <w:rPr>
                <w:lang w:val="id-ID"/>
              </w:rPr>
              <w:t>Less than half</w:t>
            </w:r>
          </w:p>
        </w:tc>
      </w:tr>
      <w:tr w:rsidR="00B7591E" w:rsidTr="00C53D8A">
        <w:trPr>
          <w:jc w:val="center"/>
        </w:trPr>
        <w:tc>
          <w:tcPr>
            <w:tcW w:w="613" w:type="dxa"/>
          </w:tcPr>
          <w:p w:rsidR="00B7591E" w:rsidRDefault="00B7591E" w:rsidP="00C53D8A">
            <w:pPr>
              <w:jc w:val="center"/>
              <w:rPr>
                <w:lang w:val="id-ID"/>
              </w:rPr>
            </w:pPr>
            <w:r>
              <w:rPr>
                <w:lang w:val="id-ID"/>
              </w:rPr>
              <w:t>4</w:t>
            </w:r>
          </w:p>
        </w:tc>
        <w:tc>
          <w:tcPr>
            <w:tcW w:w="1316" w:type="dxa"/>
          </w:tcPr>
          <w:p w:rsidR="00B7591E" w:rsidRDefault="00B7591E" w:rsidP="00C53D8A">
            <w:pPr>
              <w:jc w:val="center"/>
              <w:rPr>
                <w:lang w:val="id-ID"/>
              </w:rPr>
            </w:pPr>
            <w:r>
              <w:t xml:space="preserve">50%  </w:t>
            </w:r>
          </w:p>
        </w:tc>
        <w:tc>
          <w:tcPr>
            <w:tcW w:w="2621" w:type="dxa"/>
            <w:vAlign w:val="bottom"/>
          </w:tcPr>
          <w:p w:rsidR="00B7591E" w:rsidRPr="008748AC" w:rsidRDefault="00B7591E" w:rsidP="00C53D8A">
            <w:pPr>
              <w:jc w:val="center"/>
              <w:rPr>
                <w:lang w:val="id-ID"/>
              </w:rPr>
            </w:pPr>
            <w:r w:rsidRPr="008748AC">
              <w:rPr>
                <w:lang w:val="id-ID"/>
              </w:rPr>
              <w:t>Half of it</w:t>
            </w:r>
          </w:p>
        </w:tc>
      </w:tr>
      <w:tr w:rsidR="00B7591E" w:rsidTr="00C53D8A">
        <w:trPr>
          <w:jc w:val="center"/>
        </w:trPr>
        <w:tc>
          <w:tcPr>
            <w:tcW w:w="613" w:type="dxa"/>
          </w:tcPr>
          <w:p w:rsidR="00B7591E" w:rsidRDefault="00B7591E" w:rsidP="00C53D8A">
            <w:pPr>
              <w:jc w:val="center"/>
              <w:rPr>
                <w:lang w:val="id-ID"/>
              </w:rPr>
            </w:pPr>
            <w:r>
              <w:rPr>
                <w:lang w:val="id-ID"/>
              </w:rPr>
              <w:t>5</w:t>
            </w:r>
          </w:p>
        </w:tc>
        <w:tc>
          <w:tcPr>
            <w:tcW w:w="1316" w:type="dxa"/>
          </w:tcPr>
          <w:p w:rsidR="00B7591E" w:rsidRDefault="00B7591E" w:rsidP="00C53D8A">
            <w:pPr>
              <w:jc w:val="center"/>
              <w:rPr>
                <w:lang w:val="id-ID"/>
              </w:rPr>
            </w:pPr>
            <w:r>
              <w:t xml:space="preserve">51% - 75% </w:t>
            </w:r>
          </w:p>
        </w:tc>
        <w:tc>
          <w:tcPr>
            <w:tcW w:w="2621" w:type="dxa"/>
            <w:vAlign w:val="bottom"/>
          </w:tcPr>
          <w:p w:rsidR="00B7591E" w:rsidRPr="008748AC" w:rsidRDefault="00B7591E" w:rsidP="00C53D8A">
            <w:pPr>
              <w:jc w:val="center"/>
              <w:rPr>
                <w:lang w:val="id-ID"/>
              </w:rPr>
            </w:pPr>
            <w:r w:rsidRPr="008748AC">
              <w:rPr>
                <w:lang w:val="id-ID"/>
              </w:rPr>
              <w:t>More than half</w:t>
            </w:r>
          </w:p>
        </w:tc>
      </w:tr>
      <w:tr w:rsidR="00B7591E" w:rsidTr="00C53D8A">
        <w:trPr>
          <w:jc w:val="center"/>
        </w:trPr>
        <w:tc>
          <w:tcPr>
            <w:tcW w:w="613" w:type="dxa"/>
          </w:tcPr>
          <w:p w:rsidR="00B7591E" w:rsidRDefault="00B7591E" w:rsidP="00C53D8A">
            <w:pPr>
              <w:jc w:val="center"/>
              <w:rPr>
                <w:lang w:val="id-ID"/>
              </w:rPr>
            </w:pPr>
            <w:r>
              <w:rPr>
                <w:lang w:val="id-ID"/>
              </w:rPr>
              <w:t>7</w:t>
            </w:r>
          </w:p>
        </w:tc>
        <w:tc>
          <w:tcPr>
            <w:tcW w:w="1316" w:type="dxa"/>
          </w:tcPr>
          <w:p w:rsidR="00B7591E" w:rsidRDefault="00B7591E" w:rsidP="00C53D8A">
            <w:pPr>
              <w:jc w:val="center"/>
              <w:rPr>
                <w:lang w:val="id-ID"/>
              </w:rPr>
            </w:pPr>
            <w:r>
              <w:t xml:space="preserve">76% - 99%  </w:t>
            </w:r>
          </w:p>
        </w:tc>
        <w:tc>
          <w:tcPr>
            <w:tcW w:w="2621" w:type="dxa"/>
            <w:vAlign w:val="bottom"/>
          </w:tcPr>
          <w:p w:rsidR="00B7591E" w:rsidRPr="008748AC" w:rsidRDefault="00B7591E" w:rsidP="00C53D8A">
            <w:pPr>
              <w:jc w:val="center"/>
              <w:rPr>
                <w:lang w:val="id-ID"/>
              </w:rPr>
            </w:pPr>
            <w:r w:rsidRPr="008748AC">
              <w:rPr>
                <w:lang w:val="id-ID"/>
              </w:rPr>
              <w:t>Most of the</w:t>
            </w:r>
          </w:p>
        </w:tc>
      </w:tr>
      <w:tr w:rsidR="00B7591E" w:rsidTr="00C53D8A">
        <w:trPr>
          <w:jc w:val="center"/>
        </w:trPr>
        <w:tc>
          <w:tcPr>
            <w:tcW w:w="613" w:type="dxa"/>
          </w:tcPr>
          <w:p w:rsidR="00B7591E" w:rsidRDefault="00B7591E" w:rsidP="00C53D8A">
            <w:pPr>
              <w:jc w:val="center"/>
              <w:rPr>
                <w:lang w:val="id-ID"/>
              </w:rPr>
            </w:pPr>
            <w:r>
              <w:rPr>
                <w:lang w:val="id-ID"/>
              </w:rPr>
              <w:t>8</w:t>
            </w:r>
          </w:p>
        </w:tc>
        <w:tc>
          <w:tcPr>
            <w:tcW w:w="1316" w:type="dxa"/>
          </w:tcPr>
          <w:p w:rsidR="00B7591E" w:rsidRPr="00C22FF9" w:rsidRDefault="00B7591E" w:rsidP="00C53D8A">
            <w:pPr>
              <w:jc w:val="center"/>
              <w:rPr>
                <w:lang w:val="id-ID"/>
              </w:rPr>
            </w:pPr>
            <w:r>
              <w:t>100%</w:t>
            </w:r>
          </w:p>
        </w:tc>
        <w:tc>
          <w:tcPr>
            <w:tcW w:w="2621" w:type="dxa"/>
            <w:vAlign w:val="bottom"/>
          </w:tcPr>
          <w:p w:rsidR="00B7591E" w:rsidRPr="008748AC" w:rsidRDefault="00B7591E" w:rsidP="00C53D8A">
            <w:pPr>
              <w:jc w:val="center"/>
              <w:rPr>
                <w:lang w:val="id-ID"/>
              </w:rPr>
            </w:pPr>
            <w:r w:rsidRPr="008748AC">
              <w:rPr>
                <w:lang w:val="id-ID"/>
              </w:rPr>
              <w:t>All of it</w:t>
            </w:r>
          </w:p>
        </w:tc>
      </w:tr>
    </w:tbl>
    <w:p w:rsidR="00860F36" w:rsidRDefault="00122EE4" w:rsidP="001114B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122EE4">
        <w:rPr>
          <w:rFonts w:ascii="Times New Roman" w:eastAsia="Times New Roman" w:hAnsi="Times New Roman" w:cs="Times New Roman"/>
          <w:color w:val="000000"/>
        </w:rPr>
        <w:t xml:space="preserve">To determine the relevance of absorption based on absorption in </w:t>
      </w:r>
      <w:r w:rsidR="00800C6E">
        <w:rPr>
          <w:rFonts w:ascii="Times New Roman" w:eastAsia="Times New Roman" w:hAnsi="Times New Roman" w:cs="Times New Roman"/>
          <w:color w:val="000000"/>
        </w:rPr>
        <w:t>industry</w:t>
      </w:r>
      <w:r w:rsidRPr="00122EE4">
        <w:rPr>
          <w:rFonts w:ascii="Times New Roman" w:eastAsia="Times New Roman" w:hAnsi="Times New Roman" w:cs="Times New Roman"/>
          <w:color w:val="000000"/>
        </w:rPr>
        <w:t xml:space="preserve"> in accordance with the competence of its expertise. As for the location of labor absorption, it is classified based on absorbed workforce in </w:t>
      </w:r>
      <w:r w:rsidR="001114BA" w:rsidRPr="00E156D5">
        <w:rPr>
          <w:rFonts w:ascii="Times New Roman" w:eastAsia="Times New Roman" w:hAnsi="Times New Roman" w:cs="Times New Roman"/>
          <w:sz w:val="20"/>
          <w:szCs w:val="20"/>
        </w:rPr>
        <w:t>Jombang</w:t>
      </w:r>
      <w:r w:rsidR="001114BA">
        <w:rPr>
          <w:rFonts w:ascii="Times New Roman" w:eastAsia="Times New Roman" w:hAnsi="Times New Roman" w:cs="Times New Roman"/>
          <w:sz w:val="20"/>
          <w:szCs w:val="20"/>
          <w:lang w:val="id-ID"/>
        </w:rPr>
        <w:t xml:space="preserve"> D</w:t>
      </w:r>
      <w:r w:rsidR="001114BA" w:rsidRPr="00800C6E">
        <w:rPr>
          <w:rFonts w:ascii="Times New Roman" w:eastAsia="Times New Roman" w:hAnsi="Times New Roman" w:cs="Times New Roman"/>
          <w:sz w:val="20"/>
          <w:szCs w:val="20"/>
          <w:lang w:val="id-ID"/>
        </w:rPr>
        <w:t>istricts</w:t>
      </w:r>
      <w:r w:rsidRPr="00122EE4">
        <w:rPr>
          <w:rFonts w:ascii="Times New Roman" w:eastAsia="Times New Roman" w:hAnsi="Times New Roman" w:cs="Times New Roman"/>
          <w:color w:val="000000"/>
        </w:rPr>
        <w:t xml:space="preserve"> and outside </w:t>
      </w:r>
      <w:r w:rsidR="001114BA" w:rsidRPr="00E156D5">
        <w:rPr>
          <w:rFonts w:ascii="Times New Roman" w:eastAsia="Times New Roman" w:hAnsi="Times New Roman" w:cs="Times New Roman"/>
          <w:sz w:val="20"/>
          <w:szCs w:val="20"/>
        </w:rPr>
        <w:t>Jombang</w:t>
      </w:r>
      <w:r w:rsidR="001114BA">
        <w:rPr>
          <w:rFonts w:ascii="Times New Roman" w:eastAsia="Times New Roman" w:hAnsi="Times New Roman" w:cs="Times New Roman"/>
          <w:sz w:val="20"/>
          <w:szCs w:val="20"/>
          <w:lang w:val="id-ID"/>
        </w:rPr>
        <w:t xml:space="preserve"> D</w:t>
      </w:r>
      <w:r w:rsidR="001114BA" w:rsidRPr="00800C6E">
        <w:rPr>
          <w:rFonts w:ascii="Times New Roman" w:eastAsia="Times New Roman" w:hAnsi="Times New Roman" w:cs="Times New Roman"/>
          <w:sz w:val="20"/>
          <w:szCs w:val="20"/>
          <w:lang w:val="id-ID"/>
        </w:rPr>
        <w:t>istricts</w:t>
      </w:r>
      <w:r w:rsidRPr="00122EE4">
        <w:rPr>
          <w:rFonts w:ascii="Times New Roman" w:eastAsia="Times New Roman" w:hAnsi="Times New Roman" w:cs="Times New Roman"/>
          <w:color w:val="000000"/>
        </w:rPr>
        <w:t>.</w:t>
      </w:r>
    </w:p>
    <w:p w:rsidR="00122EE4" w:rsidRPr="00122EE4" w:rsidRDefault="00122EE4" w:rsidP="00122EE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860F36" w:rsidRDefault="00E81C38">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lang w:val="id-ID"/>
        </w:rPr>
        <w:t>Result</w:t>
      </w:r>
    </w:p>
    <w:p w:rsidR="0055530E" w:rsidRPr="0055530E" w:rsidRDefault="0055530E" w:rsidP="008A53AA">
      <w:pPr>
        <w:spacing w:after="240"/>
        <w:jc w:val="both"/>
        <w:rPr>
          <w:rFonts w:ascii="Times New Roman" w:eastAsia="Times New Roman" w:hAnsi="Times New Roman" w:cs="Times New Roman"/>
          <w:color w:val="000000"/>
        </w:rPr>
      </w:pPr>
      <w:r w:rsidRPr="0055530E">
        <w:rPr>
          <w:rFonts w:ascii="Times New Roman" w:eastAsia="Times New Roman" w:hAnsi="Times New Roman" w:cs="Times New Roman"/>
          <w:color w:val="000000"/>
        </w:rPr>
        <w:t xml:space="preserve">The results of the study described consisted of two aspects, namely: (1) the absorption of graduates in the field of technology and engineering expertise at </w:t>
      </w:r>
      <w:r w:rsidR="003C338A">
        <w:rPr>
          <w:rFonts w:ascii="Times New Roman" w:eastAsia="Times New Roman" w:hAnsi="Times New Roman" w:cs="Times New Roman"/>
          <w:color w:val="000000"/>
        </w:rPr>
        <w:t>VHS</w:t>
      </w:r>
      <w:r w:rsidRPr="0055530E">
        <w:rPr>
          <w:rFonts w:ascii="Times New Roman" w:eastAsia="Times New Roman" w:hAnsi="Times New Roman" w:cs="Times New Roman"/>
          <w:color w:val="000000"/>
        </w:rPr>
        <w:t xml:space="preserve"> </w:t>
      </w:r>
      <w:r w:rsidR="001114BA">
        <w:rPr>
          <w:rFonts w:ascii="Times New Roman" w:eastAsia="Times New Roman" w:hAnsi="Times New Roman" w:cs="Times New Roman"/>
          <w:color w:val="000000"/>
          <w:lang w:val="id-ID"/>
        </w:rPr>
        <w:t xml:space="preserve">in </w:t>
      </w:r>
      <w:r w:rsidR="001114BA" w:rsidRPr="00E156D5">
        <w:rPr>
          <w:rFonts w:ascii="Times New Roman" w:eastAsia="Times New Roman" w:hAnsi="Times New Roman" w:cs="Times New Roman"/>
          <w:sz w:val="20"/>
          <w:szCs w:val="20"/>
        </w:rPr>
        <w:t>Jombang</w:t>
      </w:r>
      <w:r w:rsidR="001114BA">
        <w:rPr>
          <w:rFonts w:ascii="Times New Roman" w:eastAsia="Times New Roman" w:hAnsi="Times New Roman" w:cs="Times New Roman"/>
          <w:sz w:val="20"/>
          <w:szCs w:val="20"/>
          <w:lang w:val="id-ID"/>
        </w:rPr>
        <w:t xml:space="preserve"> D</w:t>
      </w:r>
      <w:r w:rsidR="001114BA" w:rsidRPr="00800C6E">
        <w:rPr>
          <w:rFonts w:ascii="Times New Roman" w:eastAsia="Times New Roman" w:hAnsi="Times New Roman" w:cs="Times New Roman"/>
          <w:sz w:val="20"/>
          <w:szCs w:val="20"/>
          <w:lang w:val="id-ID"/>
        </w:rPr>
        <w:t>istricts</w:t>
      </w:r>
      <w:r w:rsidRPr="0055530E">
        <w:rPr>
          <w:rFonts w:ascii="Times New Roman" w:eastAsia="Times New Roman" w:hAnsi="Times New Roman" w:cs="Times New Roman"/>
          <w:color w:val="000000"/>
        </w:rPr>
        <w:t xml:space="preserve"> </w:t>
      </w:r>
      <w:r w:rsidR="001114BA">
        <w:rPr>
          <w:rFonts w:ascii="Times New Roman" w:eastAsia="Times New Roman" w:hAnsi="Times New Roman" w:cs="Times New Roman"/>
          <w:color w:val="000000"/>
          <w:lang w:val="id-ID"/>
        </w:rPr>
        <w:t>for</w:t>
      </w:r>
      <w:r w:rsidRPr="0055530E">
        <w:rPr>
          <w:rFonts w:ascii="Times New Roman" w:eastAsia="Times New Roman" w:hAnsi="Times New Roman" w:cs="Times New Roman"/>
          <w:color w:val="000000"/>
        </w:rPr>
        <w:t xml:space="preserve"> terms of competency expertise, and (2) the absorption of graduates in the field of technology and engineering expertise at </w:t>
      </w:r>
      <w:r w:rsidR="003C338A">
        <w:rPr>
          <w:rFonts w:ascii="Times New Roman" w:eastAsia="Times New Roman" w:hAnsi="Times New Roman" w:cs="Times New Roman"/>
          <w:color w:val="000000"/>
        </w:rPr>
        <w:t>VHS</w:t>
      </w:r>
      <w:r w:rsidRPr="0055530E">
        <w:rPr>
          <w:rFonts w:ascii="Times New Roman" w:eastAsia="Times New Roman" w:hAnsi="Times New Roman" w:cs="Times New Roman"/>
          <w:color w:val="000000"/>
        </w:rPr>
        <w:t xml:space="preserve"> </w:t>
      </w:r>
      <w:r w:rsidR="001114BA">
        <w:rPr>
          <w:rFonts w:ascii="Times New Roman" w:eastAsia="Times New Roman" w:hAnsi="Times New Roman" w:cs="Times New Roman"/>
          <w:color w:val="000000"/>
          <w:lang w:val="id-ID"/>
        </w:rPr>
        <w:t xml:space="preserve">in </w:t>
      </w:r>
      <w:r w:rsidR="001114BA" w:rsidRPr="00E156D5">
        <w:rPr>
          <w:rFonts w:ascii="Times New Roman" w:eastAsia="Times New Roman" w:hAnsi="Times New Roman" w:cs="Times New Roman"/>
          <w:sz w:val="20"/>
          <w:szCs w:val="20"/>
        </w:rPr>
        <w:t>Jombang</w:t>
      </w:r>
      <w:r w:rsidR="001114BA">
        <w:rPr>
          <w:rFonts w:ascii="Times New Roman" w:eastAsia="Times New Roman" w:hAnsi="Times New Roman" w:cs="Times New Roman"/>
          <w:sz w:val="20"/>
          <w:szCs w:val="20"/>
          <w:lang w:val="id-ID"/>
        </w:rPr>
        <w:t xml:space="preserve"> D</w:t>
      </w:r>
      <w:r w:rsidR="001114BA" w:rsidRPr="00800C6E">
        <w:rPr>
          <w:rFonts w:ascii="Times New Roman" w:eastAsia="Times New Roman" w:hAnsi="Times New Roman" w:cs="Times New Roman"/>
          <w:sz w:val="20"/>
          <w:szCs w:val="20"/>
          <w:lang w:val="id-ID"/>
        </w:rPr>
        <w:t>istricts</w:t>
      </w:r>
      <w:r w:rsidR="001114BA">
        <w:rPr>
          <w:rFonts w:ascii="Times New Roman" w:eastAsia="Times New Roman" w:hAnsi="Times New Roman" w:cs="Times New Roman"/>
          <w:sz w:val="20"/>
          <w:szCs w:val="20"/>
          <w:lang w:val="id-ID"/>
        </w:rPr>
        <w:t xml:space="preserve"> for</w:t>
      </w:r>
      <w:r w:rsidRPr="0055530E">
        <w:rPr>
          <w:rFonts w:ascii="Times New Roman" w:eastAsia="Times New Roman" w:hAnsi="Times New Roman" w:cs="Times New Roman"/>
          <w:color w:val="000000"/>
        </w:rPr>
        <w:t xml:space="preserve"> terms of </w:t>
      </w:r>
      <w:r w:rsidR="00800C6E">
        <w:rPr>
          <w:rFonts w:ascii="Times New Roman" w:eastAsia="Times New Roman" w:hAnsi="Times New Roman" w:cs="Times New Roman"/>
          <w:color w:val="000000"/>
        </w:rPr>
        <w:t>industry</w:t>
      </w:r>
      <w:r w:rsidRPr="0055530E">
        <w:rPr>
          <w:rFonts w:ascii="Times New Roman" w:eastAsia="Times New Roman" w:hAnsi="Times New Roman" w:cs="Times New Roman"/>
          <w:color w:val="000000"/>
        </w:rPr>
        <w:t xml:space="preserve"> </w:t>
      </w:r>
      <w:proofErr w:type="gramStart"/>
      <w:r w:rsidRPr="0055530E">
        <w:rPr>
          <w:rFonts w:ascii="Times New Roman" w:eastAsia="Times New Roman" w:hAnsi="Times New Roman" w:cs="Times New Roman"/>
          <w:color w:val="000000"/>
        </w:rPr>
        <w:t>locations .</w:t>
      </w:r>
      <w:proofErr w:type="gramEnd"/>
      <w:r w:rsidRPr="0055530E">
        <w:rPr>
          <w:rFonts w:ascii="Times New Roman" w:eastAsia="Times New Roman" w:hAnsi="Times New Roman" w:cs="Times New Roman"/>
          <w:color w:val="000000"/>
        </w:rPr>
        <w:t xml:space="preserve"> </w:t>
      </w:r>
      <w:proofErr w:type="gramStart"/>
      <w:r w:rsidRPr="0055530E">
        <w:rPr>
          <w:rFonts w:ascii="Times New Roman" w:eastAsia="Times New Roman" w:hAnsi="Times New Roman" w:cs="Times New Roman"/>
          <w:color w:val="000000"/>
        </w:rPr>
        <w:t xml:space="preserve">Based on the absorption data of State Vocational School graduates </w:t>
      </w:r>
      <w:r w:rsidR="001114BA">
        <w:rPr>
          <w:rFonts w:ascii="Times New Roman" w:eastAsia="Times New Roman" w:hAnsi="Times New Roman" w:cs="Times New Roman"/>
          <w:color w:val="000000"/>
          <w:lang w:val="id-ID"/>
        </w:rPr>
        <w:t xml:space="preserve">in </w:t>
      </w:r>
      <w:r w:rsidR="001114BA" w:rsidRPr="00E156D5">
        <w:rPr>
          <w:rFonts w:ascii="Times New Roman" w:eastAsia="Times New Roman" w:hAnsi="Times New Roman" w:cs="Times New Roman"/>
          <w:sz w:val="20"/>
          <w:szCs w:val="20"/>
        </w:rPr>
        <w:t>Jombang</w:t>
      </w:r>
      <w:r w:rsidR="001114BA">
        <w:rPr>
          <w:rFonts w:ascii="Times New Roman" w:eastAsia="Times New Roman" w:hAnsi="Times New Roman" w:cs="Times New Roman"/>
          <w:sz w:val="20"/>
          <w:szCs w:val="20"/>
          <w:lang w:val="id-ID"/>
        </w:rPr>
        <w:t xml:space="preserve"> D</w:t>
      </w:r>
      <w:r w:rsidR="001114BA" w:rsidRPr="00800C6E">
        <w:rPr>
          <w:rFonts w:ascii="Times New Roman" w:eastAsia="Times New Roman" w:hAnsi="Times New Roman" w:cs="Times New Roman"/>
          <w:sz w:val="20"/>
          <w:szCs w:val="20"/>
          <w:lang w:val="id-ID"/>
        </w:rPr>
        <w:t>istricts</w:t>
      </w:r>
      <w:r w:rsidR="001114BA" w:rsidRPr="0055530E">
        <w:rPr>
          <w:rFonts w:ascii="Times New Roman" w:eastAsia="Times New Roman" w:hAnsi="Times New Roman" w:cs="Times New Roman"/>
          <w:color w:val="000000"/>
        </w:rPr>
        <w:t xml:space="preserve"> </w:t>
      </w:r>
      <w:r w:rsidR="001114BA">
        <w:rPr>
          <w:rFonts w:ascii="Times New Roman" w:eastAsia="Times New Roman" w:hAnsi="Times New Roman" w:cs="Times New Roman"/>
          <w:color w:val="000000"/>
          <w:lang w:val="id-ID"/>
        </w:rPr>
        <w:t>for</w:t>
      </w:r>
      <w:r w:rsidRPr="0055530E">
        <w:rPr>
          <w:rFonts w:ascii="Times New Roman" w:eastAsia="Times New Roman" w:hAnsi="Times New Roman" w:cs="Times New Roman"/>
          <w:color w:val="000000"/>
        </w:rPr>
        <w:t xml:space="preserve"> terms of their expertise program which consists of Geomatics Engineering, Building Drawing Engineering (</w:t>
      </w:r>
      <w:r w:rsidR="001114BA">
        <w:rPr>
          <w:rFonts w:ascii="Times New Roman" w:eastAsia="Times New Roman" w:hAnsi="Times New Roman" w:cs="Times New Roman"/>
          <w:color w:val="000000"/>
          <w:lang w:val="id-ID"/>
        </w:rPr>
        <w:t>BDE</w:t>
      </w:r>
      <w:r w:rsidRPr="0055530E">
        <w:rPr>
          <w:rFonts w:ascii="Times New Roman" w:eastAsia="Times New Roman" w:hAnsi="Times New Roman" w:cs="Times New Roman"/>
          <w:color w:val="000000"/>
        </w:rPr>
        <w:t>), Construction and Property Business (</w:t>
      </w:r>
      <w:r w:rsidR="00FD2228">
        <w:rPr>
          <w:rFonts w:ascii="Times New Roman" w:eastAsia="Times New Roman" w:hAnsi="Times New Roman" w:cs="Times New Roman"/>
          <w:color w:val="000000"/>
          <w:lang w:val="id-ID"/>
        </w:rPr>
        <w:t>CPB</w:t>
      </w:r>
      <w:r w:rsidR="00FD2228">
        <w:rPr>
          <w:rFonts w:ascii="Times New Roman" w:eastAsia="Times New Roman" w:hAnsi="Times New Roman" w:cs="Times New Roman"/>
          <w:color w:val="000000"/>
        </w:rPr>
        <w:t>)</w:t>
      </w:r>
      <w:r w:rsidRPr="0055530E">
        <w:rPr>
          <w:rFonts w:ascii="Times New Roman" w:eastAsia="Times New Roman" w:hAnsi="Times New Roman" w:cs="Times New Roman"/>
          <w:color w:val="000000"/>
        </w:rPr>
        <w:t>, Computer and Network Engineering (</w:t>
      </w:r>
      <w:r w:rsidR="00FD2228">
        <w:rPr>
          <w:rFonts w:ascii="Times New Roman" w:eastAsia="Times New Roman" w:hAnsi="Times New Roman" w:cs="Times New Roman"/>
          <w:color w:val="000000"/>
          <w:lang w:val="id-ID"/>
        </w:rPr>
        <w:t>CNE</w:t>
      </w:r>
      <w:r w:rsidRPr="0055530E">
        <w:rPr>
          <w:rFonts w:ascii="Times New Roman" w:eastAsia="Times New Roman" w:hAnsi="Times New Roman" w:cs="Times New Roman"/>
          <w:color w:val="000000"/>
        </w:rPr>
        <w:t xml:space="preserve">), </w:t>
      </w:r>
      <w:r w:rsidR="00FD2228">
        <w:rPr>
          <w:rFonts w:ascii="Times New Roman" w:eastAsia="Times New Roman" w:hAnsi="Times New Roman" w:cs="Times New Roman"/>
          <w:color w:val="000000"/>
          <w:lang w:val="id-ID"/>
        </w:rPr>
        <w:t>and M</w:t>
      </w:r>
      <w:r w:rsidR="00FD2228">
        <w:rPr>
          <w:rFonts w:ascii="Times New Roman" w:eastAsia="Times New Roman" w:hAnsi="Times New Roman" w:cs="Times New Roman"/>
          <w:color w:val="000000"/>
        </w:rPr>
        <w:t>echanical</w:t>
      </w:r>
      <w:r w:rsidRPr="0055530E">
        <w:rPr>
          <w:rFonts w:ascii="Times New Roman" w:eastAsia="Times New Roman" w:hAnsi="Times New Roman" w:cs="Times New Roman"/>
          <w:color w:val="000000"/>
        </w:rPr>
        <w:t xml:space="preserve"> Engineering (</w:t>
      </w:r>
      <w:r w:rsidR="00FD2228">
        <w:rPr>
          <w:rFonts w:ascii="Times New Roman" w:eastAsia="Times New Roman" w:hAnsi="Times New Roman" w:cs="Times New Roman"/>
          <w:color w:val="000000"/>
          <w:lang w:val="id-ID"/>
        </w:rPr>
        <w:t>ME</w:t>
      </w:r>
      <w:r w:rsidRPr="0055530E">
        <w:rPr>
          <w:rFonts w:ascii="Times New Roman" w:eastAsia="Times New Roman" w:hAnsi="Times New Roman" w:cs="Times New Roman"/>
          <w:color w:val="000000"/>
        </w:rPr>
        <w:t>) in 2018, 2017 and 2016.</w:t>
      </w:r>
      <w:proofErr w:type="gramEnd"/>
    </w:p>
    <w:p w:rsidR="0055530E" w:rsidRPr="0055530E" w:rsidRDefault="00FD2228" w:rsidP="008A53AA">
      <w:pP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lang w:val="id-ID"/>
        </w:rPr>
        <w:lastRenderedPageBreak/>
        <w:t>T</w:t>
      </w:r>
      <w:r w:rsidR="0055530E" w:rsidRPr="0055530E">
        <w:rPr>
          <w:rFonts w:ascii="Times New Roman" w:eastAsia="Times New Roman" w:hAnsi="Times New Roman" w:cs="Times New Roman"/>
          <w:color w:val="000000"/>
        </w:rPr>
        <w:t xml:space="preserve">otal absorption of </w:t>
      </w:r>
      <w:r>
        <w:rPr>
          <w:rFonts w:ascii="Times New Roman" w:eastAsia="Times New Roman" w:hAnsi="Times New Roman" w:cs="Times New Roman"/>
          <w:color w:val="000000"/>
          <w:lang w:val="id-ID"/>
        </w:rPr>
        <w:t>BDE</w:t>
      </w:r>
      <w:r w:rsidR="0055530E" w:rsidRPr="0055530E">
        <w:rPr>
          <w:rFonts w:ascii="Times New Roman" w:eastAsia="Times New Roman" w:hAnsi="Times New Roman" w:cs="Times New Roman"/>
          <w:color w:val="000000"/>
        </w:rPr>
        <w:t xml:space="preserve"> expertise program graduates is 204 graduates and those absorbed according to their expertise program are 23.53%, for those who are absorbed not in accordance with their expertise program at 41.67%, while those who are not absorbed are 34.80% of the to</w:t>
      </w:r>
      <w:r w:rsidR="008A53AA">
        <w:rPr>
          <w:rFonts w:ascii="Times New Roman" w:eastAsia="Times New Roman" w:hAnsi="Times New Roman" w:cs="Times New Roman"/>
          <w:color w:val="000000"/>
        </w:rPr>
        <w:t xml:space="preserve">tal </w:t>
      </w:r>
      <w:r w:rsidR="008A53AA">
        <w:rPr>
          <w:rFonts w:ascii="Times New Roman" w:eastAsia="Times New Roman" w:hAnsi="Times New Roman" w:cs="Times New Roman"/>
          <w:color w:val="000000"/>
          <w:lang w:val="id-ID"/>
        </w:rPr>
        <w:t xml:space="preserve">BDE </w:t>
      </w:r>
      <w:r w:rsidR="008A53AA">
        <w:rPr>
          <w:rFonts w:ascii="Times New Roman" w:eastAsia="Times New Roman" w:hAnsi="Times New Roman" w:cs="Times New Roman"/>
          <w:color w:val="000000"/>
        </w:rPr>
        <w:t>expertise program graduates</w:t>
      </w:r>
      <w:r w:rsidR="0055530E" w:rsidRPr="0055530E">
        <w:rPr>
          <w:rFonts w:ascii="Times New Roman" w:eastAsia="Times New Roman" w:hAnsi="Times New Roman" w:cs="Times New Roman"/>
          <w:color w:val="000000"/>
        </w:rPr>
        <w:t xml:space="preserve">. Total absorption of </w:t>
      </w:r>
      <w:r w:rsidR="008A53AA">
        <w:rPr>
          <w:rFonts w:ascii="Times New Roman" w:eastAsia="Times New Roman" w:hAnsi="Times New Roman" w:cs="Times New Roman"/>
          <w:color w:val="000000"/>
          <w:lang w:val="id-ID"/>
        </w:rPr>
        <w:t>CPB</w:t>
      </w:r>
      <w:r w:rsidR="0055530E" w:rsidRPr="0055530E">
        <w:rPr>
          <w:rFonts w:ascii="Times New Roman" w:eastAsia="Times New Roman" w:hAnsi="Times New Roman" w:cs="Times New Roman"/>
          <w:color w:val="000000"/>
        </w:rPr>
        <w:t xml:space="preserve"> expertise program graduates was 182 graduates and those absorbed according to their expertise program were 32.97%, for those absorbed not in accordance with their expertise program was 43.96%, while those who were not absorbed were 23.08% of the total graduates of </w:t>
      </w:r>
      <w:r w:rsidR="008A53AA">
        <w:rPr>
          <w:rFonts w:ascii="Times New Roman" w:eastAsia="Times New Roman" w:hAnsi="Times New Roman" w:cs="Times New Roman"/>
          <w:color w:val="000000"/>
          <w:lang w:val="id-ID"/>
        </w:rPr>
        <w:t xml:space="preserve">CPB </w:t>
      </w:r>
      <w:r w:rsidR="0055530E" w:rsidRPr="0055530E">
        <w:rPr>
          <w:rFonts w:ascii="Times New Roman" w:eastAsia="Times New Roman" w:hAnsi="Times New Roman" w:cs="Times New Roman"/>
          <w:color w:val="000000"/>
        </w:rPr>
        <w:t>expertise program.</w:t>
      </w:r>
    </w:p>
    <w:p w:rsidR="00860F36" w:rsidRPr="008A53AA" w:rsidRDefault="008A53AA" w:rsidP="008A53AA">
      <w:pP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lang w:val="id-ID"/>
        </w:rPr>
        <w:t>T</w:t>
      </w:r>
      <w:r w:rsidR="0055530E" w:rsidRPr="0055530E">
        <w:rPr>
          <w:rFonts w:ascii="Times New Roman" w:eastAsia="Times New Roman" w:hAnsi="Times New Roman" w:cs="Times New Roman"/>
          <w:color w:val="000000"/>
        </w:rPr>
        <w:t xml:space="preserve">otal absorption of </w:t>
      </w:r>
      <w:r>
        <w:rPr>
          <w:rFonts w:ascii="Times New Roman" w:eastAsia="Times New Roman" w:hAnsi="Times New Roman" w:cs="Times New Roman"/>
          <w:color w:val="000000"/>
          <w:lang w:val="id-ID"/>
        </w:rPr>
        <w:t>CNE</w:t>
      </w:r>
      <w:r w:rsidR="0055530E" w:rsidRPr="0055530E">
        <w:rPr>
          <w:rFonts w:ascii="Times New Roman" w:eastAsia="Times New Roman" w:hAnsi="Times New Roman" w:cs="Times New Roman"/>
          <w:color w:val="000000"/>
        </w:rPr>
        <w:t xml:space="preserve"> expertise program graduates was 113 graduates and those absorbed according to their expertise program were 48.67%, for those who were absorbed not in accordance with their expertise program at 32.74%, while those who were not absorbed were 18.58% of the total graduates of the </w:t>
      </w:r>
      <w:r>
        <w:rPr>
          <w:rFonts w:ascii="Times New Roman" w:eastAsia="Times New Roman" w:hAnsi="Times New Roman" w:cs="Times New Roman"/>
          <w:color w:val="000000"/>
          <w:lang w:val="id-ID"/>
        </w:rPr>
        <w:t xml:space="preserve">CNE </w:t>
      </w:r>
      <w:r w:rsidR="0055530E" w:rsidRPr="0055530E">
        <w:rPr>
          <w:rFonts w:ascii="Times New Roman" w:eastAsia="Times New Roman" w:hAnsi="Times New Roman" w:cs="Times New Roman"/>
          <w:color w:val="000000"/>
        </w:rPr>
        <w:t xml:space="preserve">expertise program. </w:t>
      </w:r>
      <w:r>
        <w:rPr>
          <w:rFonts w:ascii="Times New Roman" w:eastAsia="Times New Roman" w:hAnsi="Times New Roman" w:cs="Times New Roman"/>
          <w:color w:val="000000"/>
          <w:lang w:val="id-ID"/>
        </w:rPr>
        <w:t>T</w:t>
      </w:r>
      <w:r w:rsidR="0055530E" w:rsidRPr="0055530E">
        <w:rPr>
          <w:rFonts w:ascii="Times New Roman" w:eastAsia="Times New Roman" w:hAnsi="Times New Roman" w:cs="Times New Roman"/>
          <w:color w:val="000000"/>
        </w:rPr>
        <w:t xml:space="preserve">otal absorption of </w:t>
      </w:r>
      <w:r>
        <w:rPr>
          <w:rFonts w:ascii="Times New Roman" w:eastAsia="Times New Roman" w:hAnsi="Times New Roman" w:cs="Times New Roman"/>
          <w:color w:val="000000"/>
          <w:lang w:val="id-ID"/>
        </w:rPr>
        <w:t>ME</w:t>
      </w:r>
      <w:r w:rsidR="0055530E" w:rsidRPr="0055530E">
        <w:rPr>
          <w:rFonts w:ascii="Times New Roman" w:eastAsia="Times New Roman" w:hAnsi="Times New Roman" w:cs="Times New Roman"/>
          <w:color w:val="000000"/>
        </w:rPr>
        <w:t xml:space="preserve"> expertise program graduates is 298 graduates and those absorbed according to their expertise program are 52.68%, for those who are absorbed not in accordance with their expertise program at 42.28%, while those who are not absorbed are 5.03% of the total</w:t>
      </w:r>
      <w:r>
        <w:rPr>
          <w:rFonts w:ascii="Times New Roman" w:eastAsia="Times New Roman" w:hAnsi="Times New Roman" w:cs="Times New Roman"/>
          <w:color w:val="000000"/>
          <w:lang w:val="id-ID"/>
        </w:rPr>
        <w:t xml:space="preserve"> ME</w:t>
      </w:r>
      <w:r w:rsidR="0055530E" w:rsidRPr="0055530E">
        <w:rPr>
          <w:rFonts w:ascii="Times New Roman" w:eastAsia="Times New Roman" w:hAnsi="Times New Roman" w:cs="Times New Roman"/>
          <w:color w:val="000000"/>
        </w:rPr>
        <w:t xml:space="preserve"> expertise program graduates. </w:t>
      </w:r>
    </w:p>
    <w:p w:rsidR="00E81C38" w:rsidRDefault="00AA32C2" w:rsidP="009B34F4">
      <w:pPr>
        <w:spacing w:after="0"/>
        <w:jc w:val="center"/>
        <w:rPr>
          <w:rFonts w:ascii="Times New Roman" w:eastAsia="Times New Roman" w:hAnsi="Times New Roman" w:cs="Times New Roman"/>
          <w:color w:val="000000"/>
          <w:lang w:val="id-ID"/>
        </w:rPr>
      </w:pPr>
      <w:r>
        <w:rPr>
          <w:noProof/>
          <w:lang w:val="id-ID"/>
        </w:rPr>
        <w:drawing>
          <wp:inline distT="0" distB="0" distL="0" distR="0" wp14:anchorId="43807F7E" wp14:editId="33A7D2C6">
            <wp:extent cx="2957885" cy="793945"/>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22743"/>
                    <a:stretch/>
                  </pic:blipFill>
                  <pic:spPr bwMode="auto">
                    <a:xfrm>
                      <a:off x="0" y="0"/>
                      <a:ext cx="2984270" cy="801027"/>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rPr>
        <w:drawing>
          <wp:inline distT="0" distB="0" distL="0" distR="0" wp14:anchorId="484DD324" wp14:editId="6CA9E46B">
            <wp:extent cx="2782956" cy="79165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22708"/>
                    <a:stretch/>
                  </pic:blipFill>
                  <pic:spPr bwMode="auto">
                    <a:xfrm>
                      <a:off x="0" y="0"/>
                      <a:ext cx="2783670" cy="791853"/>
                    </a:xfrm>
                    <a:prstGeom prst="rect">
                      <a:avLst/>
                    </a:prstGeom>
                    <a:ln>
                      <a:noFill/>
                    </a:ln>
                    <a:extLst>
                      <a:ext uri="{53640926-AAD7-44D8-BBD7-CCE9431645EC}">
                        <a14:shadowObscured xmlns:a14="http://schemas.microsoft.com/office/drawing/2010/main"/>
                      </a:ext>
                    </a:extLst>
                  </pic:spPr>
                </pic:pic>
              </a:graphicData>
            </a:graphic>
          </wp:inline>
        </w:drawing>
      </w:r>
    </w:p>
    <w:p w:rsidR="009B34F4" w:rsidRDefault="009B34F4" w:rsidP="009B34F4">
      <w:pPr>
        <w:pStyle w:val="ListParagraph"/>
        <w:numPr>
          <w:ilvl w:val="0"/>
          <w:numId w:val="4"/>
        </w:numPr>
        <w:spacing w:after="0" w:line="240" w:lineRule="auto"/>
        <w:ind w:left="2552"/>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 xml:space="preserve">   </w:t>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t xml:space="preserve">    (b)</w:t>
      </w:r>
    </w:p>
    <w:p w:rsidR="009B34F4" w:rsidRPr="009B34F4" w:rsidRDefault="009B34F4" w:rsidP="009B34F4">
      <w:pPr>
        <w:pStyle w:val="ListParagraph"/>
        <w:spacing w:after="0" w:line="240" w:lineRule="auto"/>
        <w:ind w:left="3960"/>
        <w:rPr>
          <w:rFonts w:ascii="Times New Roman" w:eastAsia="Times New Roman" w:hAnsi="Times New Roman" w:cs="Times New Roman"/>
          <w:color w:val="000000"/>
          <w:lang w:val="id-ID"/>
        </w:rPr>
      </w:pPr>
    </w:p>
    <w:p w:rsidR="00AA32C2" w:rsidRDefault="00AA32C2" w:rsidP="009B34F4">
      <w:pPr>
        <w:spacing w:after="0"/>
        <w:jc w:val="center"/>
        <w:rPr>
          <w:rFonts w:ascii="Times New Roman" w:eastAsia="Times New Roman" w:hAnsi="Times New Roman" w:cs="Times New Roman"/>
          <w:color w:val="000000"/>
          <w:lang w:val="id-ID"/>
        </w:rPr>
      </w:pPr>
      <w:r>
        <w:rPr>
          <w:noProof/>
          <w:lang w:val="id-ID"/>
        </w:rPr>
        <w:drawing>
          <wp:inline distT="0" distB="0" distL="0" distR="0" wp14:anchorId="4CACBCA1" wp14:editId="19CD4B93">
            <wp:extent cx="2886323" cy="7457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5287"/>
                    <a:stretch/>
                  </pic:blipFill>
                  <pic:spPr bwMode="auto">
                    <a:xfrm>
                      <a:off x="0" y="0"/>
                      <a:ext cx="2912375" cy="752500"/>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rPr>
        <w:drawing>
          <wp:inline distT="0" distB="0" distL="0" distR="0" wp14:anchorId="73D90D22" wp14:editId="68D9BD2C">
            <wp:extent cx="2838897" cy="739446"/>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25352"/>
                    <a:stretch/>
                  </pic:blipFill>
                  <pic:spPr bwMode="auto">
                    <a:xfrm>
                      <a:off x="0" y="0"/>
                      <a:ext cx="2880888" cy="750383"/>
                    </a:xfrm>
                    <a:prstGeom prst="rect">
                      <a:avLst/>
                    </a:prstGeom>
                    <a:ln>
                      <a:noFill/>
                    </a:ln>
                    <a:extLst>
                      <a:ext uri="{53640926-AAD7-44D8-BBD7-CCE9431645EC}">
                        <a14:shadowObscured xmlns:a14="http://schemas.microsoft.com/office/drawing/2010/main"/>
                      </a:ext>
                    </a:extLst>
                  </pic:spPr>
                </pic:pic>
              </a:graphicData>
            </a:graphic>
          </wp:inline>
        </w:drawing>
      </w:r>
    </w:p>
    <w:p w:rsidR="009B34F4" w:rsidRDefault="009B34F4" w:rsidP="009B34F4">
      <w:pPr>
        <w:pStyle w:val="ListParagraph"/>
        <w:numPr>
          <w:ilvl w:val="0"/>
          <w:numId w:val="6"/>
        </w:numPr>
        <w:spacing w:line="240" w:lineRule="auto"/>
        <w:ind w:left="2552"/>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 xml:space="preserve">   </w:t>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t xml:space="preserve">    (</w:t>
      </w:r>
      <w:r>
        <w:rPr>
          <w:rFonts w:ascii="Times New Roman" w:eastAsia="Times New Roman" w:hAnsi="Times New Roman" w:cs="Times New Roman"/>
          <w:color w:val="000000"/>
          <w:lang w:val="id-ID"/>
        </w:rPr>
        <w:t>d</w:t>
      </w:r>
      <w:r>
        <w:rPr>
          <w:rFonts w:ascii="Times New Roman" w:eastAsia="Times New Roman" w:hAnsi="Times New Roman" w:cs="Times New Roman"/>
          <w:color w:val="000000"/>
          <w:lang w:val="id-ID"/>
        </w:rPr>
        <w:t>)</w:t>
      </w:r>
    </w:p>
    <w:p w:rsidR="00BB1466" w:rsidRDefault="00BB1466" w:rsidP="008A53AA">
      <w:pPr>
        <w:spacing w:after="240"/>
        <w:jc w:val="center"/>
        <w:rPr>
          <w:rFonts w:ascii="Times New Roman" w:eastAsia="Times New Roman" w:hAnsi="Times New Roman" w:cs="Times New Roman"/>
          <w:color w:val="000000"/>
          <w:lang w:val="id-ID"/>
        </w:rPr>
      </w:pPr>
      <w:r w:rsidRPr="008A53AA">
        <w:rPr>
          <w:rFonts w:ascii="Times New Roman" w:eastAsia="Times New Roman" w:hAnsi="Times New Roman" w:cs="Times New Roman"/>
          <w:b/>
          <w:bCs/>
          <w:color w:val="000000"/>
          <w:lang w:val="id-ID"/>
        </w:rPr>
        <w:t>Figure 1.</w:t>
      </w:r>
      <w:r w:rsidR="003D7551">
        <w:rPr>
          <w:rFonts w:ascii="Times New Roman" w:eastAsia="Times New Roman" w:hAnsi="Times New Roman" w:cs="Times New Roman"/>
          <w:color w:val="000000"/>
          <w:lang w:val="id-ID"/>
        </w:rPr>
        <w:t xml:space="preserve"> </w:t>
      </w:r>
      <w:r w:rsidR="003D7551" w:rsidRPr="003D7551">
        <w:rPr>
          <w:rFonts w:ascii="Times New Roman" w:eastAsia="Times New Roman" w:hAnsi="Times New Roman" w:cs="Times New Roman"/>
          <w:color w:val="000000"/>
          <w:lang w:val="id-ID"/>
        </w:rPr>
        <w:t xml:space="preserve">The degree of absorption of graduates of skills programs (a) </w:t>
      </w:r>
      <w:r w:rsidR="008A53AA">
        <w:rPr>
          <w:rFonts w:ascii="Times New Roman" w:eastAsia="Times New Roman" w:hAnsi="Times New Roman" w:cs="Times New Roman"/>
          <w:color w:val="000000"/>
          <w:lang w:val="id-ID"/>
        </w:rPr>
        <w:t>BDE</w:t>
      </w:r>
      <w:r w:rsidR="003D7551" w:rsidRPr="003D7551">
        <w:rPr>
          <w:rFonts w:ascii="Times New Roman" w:eastAsia="Times New Roman" w:hAnsi="Times New Roman" w:cs="Times New Roman"/>
          <w:color w:val="000000"/>
          <w:lang w:val="id-ID"/>
        </w:rPr>
        <w:t xml:space="preserve">,  (b) </w:t>
      </w:r>
      <w:r w:rsidR="008A53AA">
        <w:rPr>
          <w:rFonts w:ascii="Times New Roman" w:eastAsia="Times New Roman" w:hAnsi="Times New Roman" w:cs="Times New Roman"/>
          <w:color w:val="000000"/>
          <w:lang w:val="id-ID"/>
        </w:rPr>
        <w:t>CPB</w:t>
      </w:r>
      <w:r w:rsidR="003D7551" w:rsidRPr="003D7551">
        <w:rPr>
          <w:rFonts w:ascii="Times New Roman" w:eastAsia="Times New Roman" w:hAnsi="Times New Roman" w:cs="Times New Roman"/>
          <w:color w:val="000000"/>
          <w:lang w:val="id-ID"/>
        </w:rPr>
        <w:t xml:space="preserve">, (c) </w:t>
      </w:r>
      <w:r w:rsidR="008A53AA">
        <w:rPr>
          <w:rFonts w:ascii="Times New Roman" w:eastAsia="Times New Roman" w:hAnsi="Times New Roman" w:cs="Times New Roman"/>
          <w:color w:val="000000"/>
          <w:lang w:val="id-ID"/>
        </w:rPr>
        <w:t>CNE</w:t>
      </w:r>
      <w:r w:rsidR="003D7551" w:rsidRPr="003D7551">
        <w:rPr>
          <w:rFonts w:ascii="Times New Roman" w:eastAsia="Times New Roman" w:hAnsi="Times New Roman" w:cs="Times New Roman"/>
          <w:color w:val="000000"/>
          <w:lang w:val="id-ID"/>
        </w:rPr>
        <w:t xml:space="preserve">, (d) </w:t>
      </w:r>
      <w:r w:rsidR="008A53AA">
        <w:rPr>
          <w:rFonts w:ascii="Times New Roman" w:eastAsia="Times New Roman" w:hAnsi="Times New Roman" w:cs="Times New Roman"/>
          <w:color w:val="000000"/>
          <w:lang w:val="id-ID"/>
        </w:rPr>
        <w:t xml:space="preserve">ME </w:t>
      </w:r>
      <w:r w:rsidR="003D7551" w:rsidRPr="003D7551">
        <w:rPr>
          <w:rFonts w:ascii="Times New Roman" w:eastAsia="Times New Roman" w:hAnsi="Times New Roman" w:cs="Times New Roman"/>
          <w:color w:val="000000"/>
          <w:lang w:val="id-ID"/>
        </w:rPr>
        <w:t xml:space="preserve">at </w:t>
      </w:r>
      <w:r w:rsidR="00800C6E">
        <w:rPr>
          <w:rFonts w:ascii="Times New Roman" w:eastAsia="Times New Roman" w:hAnsi="Times New Roman" w:cs="Times New Roman"/>
          <w:color w:val="000000"/>
          <w:lang w:val="id-ID"/>
        </w:rPr>
        <w:t>industry</w:t>
      </w:r>
      <w:r>
        <w:rPr>
          <w:rFonts w:ascii="Times New Roman" w:eastAsia="Times New Roman" w:hAnsi="Times New Roman" w:cs="Times New Roman"/>
          <w:color w:val="000000"/>
          <w:lang w:val="id-ID"/>
        </w:rPr>
        <w:t xml:space="preserve">  </w:t>
      </w:r>
    </w:p>
    <w:p w:rsidR="00E81C38" w:rsidRPr="00E81C38" w:rsidRDefault="00E81C38" w:rsidP="00686E9E">
      <w:pPr>
        <w:spacing w:after="240"/>
        <w:jc w:val="both"/>
        <w:rPr>
          <w:rFonts w:ascii="Times New Roman" w:eastAsia="Times New Roman" w:hAnsi="Times New Roman" w:cs="Times New Roman"/>
          <w:color w:val="000000"/>
          <w:lang w:val="id-ID"/>
        </w:rPr>
      </w:pPr>
      <w:r w:rsidRPr="00E81C38">
        <w:rPr>
          <w:rFonts w:ascii="Times New Roman" w:eastAsia="Times New Roman" w:hAnsi="Times New Roman" w:cs="Times New Roman"/>
          <w:color w:val="000000"/>
          <w:lang w:val="id-ID"/>
        </w:rPr>
        <w:t>Based on the analysis of the percentage interpretation from Sugiyono</w:t>
      </w:r>
      <w:r w:rsidR="005316C7">
        <w:rPr>
          <w:rFonts w:ascii="Times New Roman" w:eastAsia="Times New Roman" w:hAnsi="Times New Roman" w:cs="Times New Roman"/>
          <w:color w:val="000000"/>
          <w:lang w:val="id-ID"/>
        </w:rPr>
        <w:t xml:space="preserve"> </w:t>
      </w:r>
      <w:r w:rsidR="005316C7">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"abstract" : "Metode penelitian pada dasarnya merupakan cara ilmiah untuk mendapatkan data tujuan Dan kegunaan tertentu. Baik berupa data primer maupun data sekunder yang dapat digunakan untuk menyusun karya ilmiah dan kemudian menganalisis faktor-faktor yang berhubungan dengan pokok-pokok permasalahan sehingga akan didapat suatu kebenaran atas data yang diperoleh.", "author" : [ { "dropping-particle" : "", "family" : "Sugiyono", "given" : "", "non-dropping-particle" : "", "parse-names" : false, "suffix" : "" } ], "id" : "ITEM-1", "issued" : { "date-parts" : [ [ "2018" ] ] }, "number-of-pages" : "117-128", "publisher" : "AlfaBeta", "publisher-place" : "Bandung", "title" : "Metode penelitian pendidikan pendekatan kauntitatif, kualitatif, R&amp;D", "type" : "book" }, "uris" : [ "http://www.mendeley.com/documents/?uuid=7f409d2d-8404-4eb8-8add-a0f70052a011" ] } ], "mendeley" : { "formattedCitation" : "[15]", "manualFormatting" : "(2018)", "plainTextFormattedCitation" : "[15]", "previouslyFormattedCitation" : "(Sugiyono, 2018)" }, "properties" : { "noteIndex" : 0 }, "schema" : "https://github.com/citation-style-language/schema/raw/master/csl-citation.json" }</w:instrText>
      </w:r>
      <w:r w:rsidR="005316C7">
        <w:rPr>
          <w:rFonts w:ascii="Times New Roman" w:eastAsia="Times New Roman" w:hAnsi="Times New Roman" w:cs="Times New Roman"/>
          <w:color w:val="000000"/>
          <w:lang w:val="id-ID"/>
        </w:rPr>
        <w:fldChar w:fldCharType="separate"/>
      </w:r>
      <w:r w:rsidR="005316C7">
        <w:rPr>
          <w:rFonts w:ascii="Times New Roman" w:eastAsia="Times New Roman" w:hAnsi="Times New Roman" w:cs="Times New Roman"/>
          <w:noProof/>
          <w:color w:val="000000"/>
          <w:lang w:val="id-ID"/>
        </w:rPr>
        <w:t>(</w:t>
      </w:r>
      <w:r w:rsidR="005316C7" w:rsidRPr="005316C7">
        <w:rPr>
          <w:rFonts w:ascii="Times New Roman" w:eastAsia="Times New Roman" w:hAnsi="Times New Roman" w:cs="Times New Roman"/>
          <w:noProof/>
          <w:color w:val="000000"/>
          <w:lang w:val="id-ID"/>
        </w:rPr>
        <w:t>2018)</w:t>
      </w:r>
      <w:r w:rsidR="005316C7">
        <w:rPr>
          <w:rFonts w:ascii="Times New Roman" w:eastAsia="Times New Roman" w:hAnsi="Times New Roman" w:cs="Times New Roman"/>
          <w:color w:val="000000"/>
          <w:lang w:val="id-ID"/>
        </w:rPr>
        <w:fldChar w:fldCharType="end"/>
      </w:r>
      <w:r w:rsidRPr="00E81C38">
        <w:rPr>
          <w:rFonts w:ascii="Times New Roman" w:eastAsia="Times New Roman" w:hAnsi="Times New Roman" w:cs="Times New Roman"/>
          <w:color w:val="000000"/>
          <w:lang w:val="id-ID"/>
        </w:rPr>
        <w:t xml:space="preserve">, it was concluded that more than half of the </w:t>
      </w:r>
      <w:r w:rsidR="005316C7">
        <w:rPr>
          <w:rFonts w:ascii="Times New Roman" w:eastAsia="Times New Roman" w:hAnsi="Times New Roman" w:cs="Times New Roman"/>
          <w:color w:val="000000"/>
          <w:lang w:val="id-ID"/>
        </w:rPr>
        <w:t>ME</w:t>
      </w:r>
      <w:r w:rsidRPr="00E81C38">
        <w:rPr>
          <w:rFonts w:ascii="Times New Roman" w:eastAsia="Times New Roman" w:hAnsi="Times New Roman" w:cs="Times New Roman"/>
          <w:color w:val="000000"/>
          <w:lang w:val="id-ID"/>
        </w:rPr>
        <w:t xml:space="preserve"> expertise program graduates were absorbed by </w:t>
      </w:r>
      <w:r w:rsidR="00800C6E">
        <w:rPr>
          <w:rFonts w:ascii="Times New Roman" w:eastAsia="Times New Roman" w:hAnsi="Times New Roman" w:cs="Times New Roman"/>
          <w:color w:val="000000"/>
          <w:lang w:val="id-ID"/>
        </w:rPr>
        <w:t>industry</w:t>
      </w:r>
      <w:r w:rsidRPr="00E81C38">
        <w:rPr>
          <w:rFonts w:ascii="Times New Roman" w:eastAsia="Times New Roman" w:hAnsi="Times New Roman" w:cs="Times New Roman"/>
          <w:color w:val="000000"/>
          <w:lang w:val="id-ID"/>
        </w:rPr>
        <w:t xml:space="preserve">. While less than half of graduates of the </w:t>
      </w:r>
      <w:r w:rsidR="005316C7">
        <w:rPr>
          <w:rFonts w:ascii="Times New Roman" w:eastAsia="Times New Roman" w:hAnsi="Times New Roman" w:cs="Times New Roman"/>
          <w:color w:val="000000"/>
          <w:lang w:val="id-ID"/>
        </w:rPr>
        <w:t>CNE</w:t>
      </w:r>
      <w:r w:rsidRPr="00E81C38">
        <w:rPr>
          <w:rFonts w:ascii="Times New Roman" w:eastAsia="Times New Roman" w:hAnsi="Times New Roman" w:cs="Times New Roman"/>
          <w:color w:val="000000"/>
          <w:lang w:val="id-ID"/>
        </w:rPr>
        <w:t xml:space="preserve"> expertise programs are absorbed by </w:t>
      </w:r>
      <w:r w:rsidR="00800C6E">
        <w:rPr>
          <w:rFonts w:ascii="Times New Roman" w:eastAsia="Times New Roman" w:hAnsi="Times New Roman" w:cs="Times New Roman"/>
          <w:color w:val="000000"/>
          <w:lang w:val="id-ID"/>
        </w:rPr>
        <w:t>industry</w:t>
      </w:r>
      <w:r w:rsidRPr="00E81C38">
        <w:rPr>
          <w:rFonts w:ascii="Times New Roman" w:eastAsia="Times New Roman" w:hAnsi="Times New Roman" w:cs="Times New Roman"/>
          <w:color w:val="000000"/>
          <w:lang w:val="id-ID"/>
        </w:rPr>
        <w:t xml:space="preserve"> and a small proportion of </w:t>
      </w:r>
      <w:r w:rsidR="005316C7">
        <w:rPr>
          <w:rFonts w:ascii="Times New Roman" w:eastAsia="Times New Roman" w:hAnsi="Times New Roman" w:cs="Times New Roman"/>
          <w:color w:val="000000"/>
          <w:lang w:val="id-ID"/>
        </w:rPr>
        <w:t>BDE and</w:t>
      </w:r>
      <w:r w:rsidRPr="00E81C38">
        <w:rPr>
          <w:rFonts w:ascii="Times New Roman" w:eastAsia="Times New Roman" w:hAnsi="Times New Roman" w:cs="Times New Roman"/>
          <w:color w:val="000000"/>
          <w:lang w:val="id-ID"/>
        </w:rPr>
        <w:t xml:space="preserve"> </w:t>
      </w:r>
      <w:r w:rsidR="005316C7">
        <w:rPr>
          <w:rFonts w:ascii="Times New Roman" w:eastAsia="Times New Roman" w:hAnsi="Times New Roman" w:cs="Times New Roman"/>
          <w:color w:val="000000"/>
          <w:lang w:val="id-ID"/>
        </w:rPr>
        <w:t>CPB</w:t>
      </w:r>
      <w:r w:rsidRPr="00E81C38">
        <w:rPr>
          <w:rFonts w:ascii="Times New Roman" w:eastAsia="Times New Roman" w:hAnsi="Times New Roman" w:cs="Times New Roman"/>
          <w:color w:val="000000"/>
          <w:lang w:val="id-ID"/>
        </w:rPr>
        <w:t xml:space="preserve"> expertise program graduates are absorbed by </w:t>
      </w:r>
      <w:r w:rsidR="00800C6E">
        <w:rPr>
          <w:rFonts w:ascii="Times New Roman" w:eastAsia="Times New Roman" w:hAnsi="Times New Roman" w:cs="Times New Roman"/>
          <w:color w:val="000000"/>
          <w:lang w:val="id-ID"/>
        </w:rPr>
        <w:t>industry</w:t>
      </w:r>
      <w:r w:rsidRPr="00E81C38">
        <w:rPr>
          <w:rFonts w:ascii="Times New Roman" w:eastAsia="Times New Roman" w:hAnsi="Times New Roman" w:cs="Times New Roman"/>
          <w:color w:val="000000"/>
          <w:lang w:val="id-ID"/>
        </w:rPr>
        <w:t xml:space="preserve"> and in accordance with their educational background qualifications.</w:t>
      </w:r>
    </w:p>
    <w:p w:rsidR="00E81C38" w:rsidRPr="00E81C38" w:rsidRDefault="00E81C38" w:rsidP="00686E9E">
      <w:pPr>
        <w:spacing w:after="240"/>
        <w:jc w:val="both"/>
        <w:rPr>
          <w:rFonts w:ascii="Times New Roman" w:eastAsia="Times New Roman" w:hAnsi="Times New Roman" w:cs="Times New Roman"/>
          <w:color w:val="000000"/>
          <w:lang w:val="id-ID"/>
        </w:rPr>
      </w:pPr>
      <w:r w:rsidRPr="00E81C38">
        <w:rPr>
          <w:rFonts w:ascii="Times New Roman" w:eastAsia="Times New Roman" w:hAnsi="Times New Roman" w:cs="Times New Roman"/>
          <w:color w:val="000000"/>
          <w:lang w:val="id-ID"/>
        </w:rPr>
        <w:t xml:space="preserve">Absorption of graduates in the field of technology and engineering expertise at </w:t>
      </w:r>
      <w:r w:rsidR="003C338A">
        <w:rPr>
          <w:rFonts w:ascii="Times New Roman" w:eastAsia="Times New Roman" w:hAnsi="Times New Roman" w:cs="Times New Roman"/>
          <w:color w:val="000000"/>
          <w:lang w:val="id-ID"/>
        </w:rPr>
        <w:t>VHS</w:t>
      </w:r>
      <w:r w:rsidR="00686E9E">
        <w:rPr>
          <w:rFonts w:ascii="Times New Roman" w:eastAsia="Times New Roman" w:hAnsi="Times New Roman" w:cs="Times New Roman"/>
          <w:color w:val="000000"/>
          <w:lang w:val="id-ID"/>
        </w:rPr>
        <w:t xml:space="preserve"> </w:t>
      </w:r>
      <w:r w:rsidRPr="00E81C38">
        <w:rPr>
          <w:rFonts w:ascii="Times New Roman" w:eastAsia="Times New Roman" w:hAnsi="Times New Roman" w:cs="Times New Roman"/>
          <w:color w:val="000000"/>
          <w:lang w:val="id-ID"/>
        </w:rPr>
        <w:t xml:space="preserve">in terms of </w:t>
      </w:r>
      <w:r w:rsidR="00800C6E">
        <w:rPr>
          <w:rFonts w:ascii="Times New Roman" w:eastAsia="Times New Roman" w:hAnsi="Times New Roman" w:cs="Times New Roman"/>
          <w:color w:val="000000"/>
          <w:lang w:val="id-ID"/>
        </w:rPr>
        <w:t>industry</w:t>
      </w:r>
      <w:r w:rsidRPr="00E81C38">
        <w:rPr>
          <w:rFonts w:ascii="Times New Roman" w:eastAsia="Times New Roman" w:hAnsi="Times New Roman" w:cs="Times New Roman"/>
          <w:color w:val="000000"/>
          <w:lang w:val="id-ID"/>
        </w:rPr>
        <w:t xml:space="preserve"> location is the degree of absorption of graduates who can fill the formation of work needs in Jombang </w:t>
      </w:r>
      <w:r w:rsidR="00686E9E">
        <w:rPr>
          <w:rFonts w:ascii="Times New Roman" w:eastAsia="Times New Roman" w:hAnsi="Times New Roman" w:cs="Times New Roman"/>
          <w:color w:val="000000"/>
          <w:lang w:val="id-ID"/>
        </w:rPr>
        <w:t xml:space="preserve"> Distric </w:t>
      </w:r>
      <w:r w:rsidRPr="00E81C38">
        <w:rPr>
          <w:rFonts w:ascii="Times New Roman" w:eastAsia="Times New Roman" w:hAnsi="Times New Roman" w:cs="Times New Roman"/>
          <w:color w:val="000000"/>
          <w:lang w:val="id-ID"/>
        </w:rPr>
        <w:t>and outside Jombang</w:t>
      </w:r>
      <w:r w:rsidR="00686E9E">
        <w:rPr>
          <w:rFonts w:ascii="Times New Roman" w:eastAsia="Times New Roman" w:hAnsi="Times New Roman" w:cs="Times New Roman"/>
          <w:color w:val="000000"/>
          <w:lang w:val="id-ID"/>
        </w:rPr>
        <w:t xml:space="preserve"> Distric</w:t>
      </w:r>
      <w:r w:rsidRPr="00E81C38">
        <w:rPr>
          <w:rFonts w:ascii="Times New Roman" w:eastAsia="Times New Roman" w:hAnsi="Times New Roman" w:cs="Times New Roman"/>
          <w:color w:val="000000"/>
          <w:lang w:val="id-ID"/>
        </w:rPr>
        <w:t xml:space="preserve">. </w:t>
      </w:r>
      <w:r w:rsidR="00686E9E">
        <w:rPr>
          <w:rFonts w:ascii="Times New Roman" w:eastAsia="Times New Roman" w:hAnsi="Times New Roman" w:cs="Times New Roman"/>
          <w:color w:val="000000"/>
          <w:lang w:val="id-ID"/>
        </w:rPr>
        <w:t>T</w:t>
      </w:r>
      <w:r w:rsidRPr="00E81C38">
        <w:rPr>
          <w:rFonts w:ascii="Times New Roman" w:eastAsia="Times New Roman" w:hAnsi="Times New Roman" w:cs="Times New Roman"/>
          <w:color w:val="000000"/>
          <w:lang w:val="id-ID"/>
        </w:rPr>
        <w:t xml:space="preserve">otal number of graduates of the </w:t>
      </w:r>
      <w:r w:rsidR="00686E9E">
        <w:rPr>
          <w:rFonts w:ascii="Times New Roman" w:eastAsia="Times New Roman" w:hAnsi="Times New Roman" w:cs="Times New Roman"/>
          <w:color w:val="000000"/>
          <w:lang w:val="id-ID"/>
        </w:rPr>
        <w:t>BDE</w:t>
      </w:r>
      <w:r w:rsidRPr="00E81C38">
        <w:rPr>
          <w:rFonts w:ascii="Times New Roman" w:eastAsia="Times New Roman" w:hAnsi="Times New Roman" w:cs="Times New Roman"/>
          <w:color w:val="000000"/>
          <w:lang w:val="id-ID"/>
        </w:rPr>
        <w:t xml:space="preserve"> expertise program in Jombang </w:t>
      </w:r>
      <w:r w:rsidR="00686E9E">
        <w:rPr>
          <w:rFonts w:ascii="Times New Roman" w:eastAsia="Times New Roman" w:hAnsi="Times New Roman" w:cs="Times New Roman"/>
          <w:color w:val="000000"/>
          <w:lang w:val="id-ID"/>
        </w:rPr>
        <w:t xml:space="preserve">Distric </w:t>
      </w:r>
      <w:r w:rsidRPr="00E81C38">
        <w:rPr>
          <w:rFonts w:ascii="Times New Roman" w:eastAsia="Times New Roman" w:hAnsi="Times New Roman" w:cs="Times New Roman"/>
          <w:color w:val="000000"/>
          <w:lang w:val="id-ID"/>
        </w:rPr>
        <w:t xml:space="preserve">is 48 graduates with graduation criteria in accordance with their expertise program of 12.50% and 87.50% for those not in accordance with their expertise program. While the total absorption of </w:t>
      </w:r>
      <w:r w:rsidR="00686E9E">
        <w:rPr>
          <w:rFonts w:ascii="Times New Roman" w:eastAsia="Times New Roman" w:hAnsi="Times New Roman" w:cs="Times New Roman"/>
          <w:color w:val="000000"/>
          <w:lang w:val="id-ID"/>
        </w:rPr>
        <w:t>BDE</w:t>
      </w:r>
      <w:r w:rsidRPr="00E81C38">
        <w:rPr>
          <w:rFonts w:ascii="Times New Roman" w:eastAsia="Times New Roman" w:hAnsi="Times New Roman" w:cs="Times New Roman"/>
          <w:color w:val="000000"/>
          <w:lang w:val="id-ID"/>
        </w:rPr>
        <w:t xml:space="preserve"> expertise program graduates outside Jombang </w:t>
      </w:r>
      <w:r w:rsidR="00686E9E">
        <w:rPr>
          <w:rFonts w:ascii="Times New Roman" w:eastAsia="Times New Roman" w:hAnsi="Times New Roman" w:cs="Times New Roman"/>
          <w:color w:val="000000"/>
          <w:lang w:val="id-ID"/>
        </w:rPr>
        <w:t>Distric</w:t>
      </w:r>
      <w:r w:rsidRPr="00E81C38">
        <w:rPr>
          <w:rFonts w:ascii="Times New Roman" w:eastAsia="Times New Roman" w:hAnsi="Times New Roman" w:cs="Times New Roman"/>
          <w:color w:val="000000"/>
          <w:lang w:val="id-ID"/>
        </w:rPr>
        <w:t xml:space="preserve"> was 85 graduates with graduate criteria that matched their expertise program at 55.29% and at 44.71 for those who did not match their expertise program. </w:t>
      </w:r>
      <w:r w:rsidR="00686E9E">
        <w:rPr>
          <w:rFonts w:ascii="Times New Roman" w:eastAsia="Times New Roman" w:hAnsi="Times New Roman" w:cs="Times New Roman"/>
          <w:color w:val="000000"/>
          <w:lang w:val="id-ID"/>
        </w:rPr>
        <w:t>T</w:t>
      </w:r>
      <w:r w:rsidRPr="00E81C38">
        <w:rPr>
          <w:rFonts w:ascii="Times New Roman" w:eastAsia="Times New Roman" w:hAnsi="Times New Roman" w:cs="Times New Roman"/>
          <w:color w:val="000000"/>
          <w:lang w:val="id-ID"/>
        </w:rPr>
        <w:t xml:space="preserve">otal absorption of </w:t>
      </w:r>
      <w:r w:rsidR="00686E9E">
        <w:rPr>
          <w:rFonts w:ascii="Times New Roman" w:eastAsia="Times New Roman" w:hAnsi="Times New Roman" w:cs="Times New Roman"/>
          <w:color w:val="000000"/>
          <w:lang w:val="id-ID"/>
        </w:rPr>
        <w:t>CPB</w:t>
      </w:r>
      <w:r w:rsidRPr="00E81C38">
        <w:rPr>
          <w:rFonts w:ascii="Times New Roman" w:eastAsia="Times New Roman" w:hAnsi="Times New Roman" w:cs="Times New Roman"/>
          <w:color w:val="000000"/>
          <w:lang w:val="id-ID"/>
        </w:rPr>
        <w:t xml:space="preserve"> expertise program graduates in Jombang </w:t>
      </w:r>
      <w:r w:rsidR="00686E9E">
        <w:rPr>
          <w:rFonts w:ascii="Times New Roman" w:eastAsia="Times New Roman" w:hAnsi="Times New Roman" w:cs="Times New Roman"/>
          <w:color w:val="000000"/>
          <w:lang w:val="id-ID"/>
        </w:rPr>
        <w:lastRenderedPageBreak/>
        <w:t>Distric</w:t>
      </w:r>
      <w:r w:rsidRPr="00E81C38">
        <w:rPr>
          <w:rFonts w:ascii="Times New Roman" w:eastAsia="Times New Roman" w:hAnsi="Times New Roman" w:cs="Times New Roman"/>
          <w:color w:val="000000"/>
          <w:lang w:val="id-ID"/>
        </w:rPr>
        <w:t xml:space="preserve"> is 60 graduates with graduates criteria that are in accordance with their expertise program by 50% and by 50% for those who do not match their expertise program. While the total absorption of </w:t>
      </w:r>
      <w:r w:rsidR="00686E9E">
        <w:rPr>
          <w:rFonts w:ascii="Times New Roman" w:eastAsia="Times New Roman" w:hAnsi="Times New Roman" w:cs="Times New Roman"/>
          <w:color w:val="000000"/>
          <w:lang w:val="id-ID"/>
        </w:rPr>
        <w:t>CPB</w:t>
      </w:r>
      <w:r w:rsidRPr="00E81C38">
        <w:rPr>
          <w:rFonts w:ascii="Times New Roman" w:eastAsia="Times New Roman" w:hAnsi="Times New Roman" w:cs="Times New Roman"/>
          <w:color w:val="000000"/>
          <w:lang w:val="id-ID"/>
        </w:rPr>
        <w:t xml:space="preserve"> expertise program graduates outside of Jombang </w:t>
      </w:r>
      <w:r w:rsidR="00686E9E">
        <w:rPr>
          <w:rFonts w:ascii="Times New Roman" w:eastAsia="Times New Roman" w:hAnsi="Times New Roman" w:cs="Times New Roman"/>
          <w:color w:val="000000"/>
          <w:lang w:val="id-ID"/>
        </w:rPr>
        <w:t>DIstric</w:t>
      </w:r>
      <w:r w:rsidRPr="00E81C38">
        <w:rPr>
          <w:rFonts w:ascii="Times New Roman" w:eastAsia="Times New Roman" w:hAnsi="Times New Roman" w:cs="Times New Roman"/>
          <w:color w:val="000000"/>
          <w:lang w:val="id-ID"/>
        </w:rPr>
        <w:t xml:space="preserve"> is 80 graduates with graduates criteria that are in accordance with their expertise program at 47.50% and at 52.50% for those who are not in accordance with their expertise program.</w:t>
      </w:r>
    </w:p>
    <w:p w:rsidR="00E81C38" w:rsidRDefault="00D4751F" w:rsidP="00D4751F">
      <w:pPr>
        <w:spacing w:after="240"/>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T</w:t>
      </w:r>
      <w:r w:rsidR="00E81C38" w:rsidRPr="00E81C38">
        <w:rPr>
          <w:rFonts w:ascii="Times New Roman" w:eastAsia="Times New Roman" w:hAnsi="Times New Roman" w:cs="Times New Roman"/>
          <w:color w:val="000000"/>
          <w:lang w:val="id-ID"/>
        </w:rPr>
        <w:t xml:space="preserve">otal absorption of </w:t>
      </w:r>
      <w:r>
        <w:rPr>
          <w:rFonts w:ascii="Times New Roman" w:eastAsia="Times New Roman" w:hAnsi="Times New Roman" w:cs="Times New Roman"/>
          <w:color w:val="000000"/>
          <w:lang w:val="id-ID"/>
        </w:rPr>
        <w:t>CNE</w:t>
      </w:r>
      <w:r w:rsidR="00E81C38" w:rsidRPr="00E81C38">
        <w:rPr>
          <w:rFonts w:ascii="Times New Roman" w:eastAsia="Times New Roman" w:hAnsi="Times New Roman" w:cs="Times New Roman"/>
          <w:color w:val="000000"/>
          <w:lang w:val="id-ID"/>
        </w:rPr>
        <w:t xml:space="preserve"> expertise program graduates in Jombang </w:t>
      </w:r>
      <w:r>
        <w:rPr>
          <w:rFonts w:ascii="Times New Roman" w:eastAsia="Times New Roman" w:hAnsi="Times New Roman" w:cs="Times New Roman"/>
          <w:color w:val="000000"/>
          <w:lang w:val="id-ID"/>
        </w:rPr>
        <w:t xml:space="preserve">Distric </w:t>
      </w:r>
      <w:r w:rsidR="00E81C38" w:rsidRPr="00E81C38">
        <w:rPr>
          <w:rFonts w:ascii="Times New Roman" w:eastAsia="Times New Roman" w:hAnsi="Times New Roman" w:cs="Times New Roman"/>
          <w:color w:val="000000"/>
          <w:lang w:val="id-ID"/>
        </w:rPr>
        <w:t xml:space="preserve">is 55 graduates with the criteria for graduates who are in accordance with their expertise program at 67.27% and at 32.73 &amp; for those not in accordance with their expertise program. </w:t>
      </w:r>
      <w:r>
        <w:rPr>
          <w:rFonts w:ascii="Times New Roman" w:eastAsia="Times New Roman" w:hAnsi="Times New Roman" w:cs="Times New Roman"/>
          <w:color w:val="000000"/>
          <w:lang w:val="id-ID"/>
        </w:rPr>
        <w:t>W</w:t>
      </w:r>
      <w:r w:rsidR="00E81C38" w:rsidRPr="00E81C38">
        <w:rPr>
          <w:rFonts w:ascii="Times New Roman" w:eastAsia="Times New Roman" w:hAnsi="Times New Roman" w:cs="Times New Roman"/>
          <w:color w:val="000000"/>
          <w:lang w:val="id-ID"/>
        </w:rPr>
        <w:t xml:space="preserve">hile, the number of graduates of the </w:t>
      </w:r>
      <w:r>
        <w:rPr>
          <w:rFonts w:ascii="Times New Roman" w:eastAsia="Times New Roman" w:hAnsi="Times New Roman" w:cs="Times New Roman"/>
          <w:color w:val="000000"/>
          <w:lang w:val="id-ID"/>
        </w:rPr>
        <w:t>CNE</w:t>
      </w:r>
      <w:r w:rsidR="00E81C38" w:rsidRPr="00E81C38">
        <w:rPr>
          <w:rFonts w:ascii="Times New Roman" w:eastAsia="Times New Roman" w:hAnsi="Times New Roman" w:cs="Times New Roman"/>
          <w:color w:val="000000"/>
          <w:lang w:val="id-ID"/>
        </w:rPr>
        <w:t xml:space="preserve"> expertise program outside of Jombang </w:t>
      </w:r>
      <w:r>
        <w:rPr>
          <w:rFonts w:ascii="Times New Roman" w:eastAsia="Times New Roman" w:hAnsi="Times New Roman" w:cs="Times New Roman"/>
          <w:color w:val="000000"/>
          <w:lang w:val="id-ID"/>
        </w:rPr>
        <w:t>Distric</w:t>
      </w:r>
      <w:r w:rsidR="00E81C38" w:rsidRPr="00E81C38">
        <w:rPr>
          <w:rFonts w:ascii="Times New Roman" w:eastAsia="Times New Roman" w:hAnsi="Times New Roman" w:cs="Times New Roman"/>
          <w:color w:val="000000"/>
          <w:lang w:val="id-ID"/>
        </w:rPr>
        <w:t xml:space="preserve"> was 37 graduates with the criteria for graduates who were in accordance with their expertise program at 78.38% and 21.62% for those who did not match their expertise program. </w:t>
      </w:r>
      <w:r>
        <w:rPr>
          <w:rFonts w:ascii="Times New Roman" w:eastAsia="Times New Roman" w:hAnsi="Times New Roman" w:cs="Times New Roman"/>
          <w:color w:val="000000"/>
          <w:lang w:val="id-ID"/>
        </w:rPr>
        <w:t>T</w:t>
      </w:r>
      <w:r w:rsidR="00E81C38" w:rsidRPr="00E81C38">
        <w:rPr>
          <w:rFonts w:ascii="Times New Roman" w:eastAsia="Times New Roman" w:hAnsi="Times New Roman" w:cs="Times New Roman"/>
          <w:color w:val="000000"/>
          <w:lang w:val="id-ID"/>
        </w:rPr>
        <w:t xml:space="preserve">otal absorption of </w:t>
      </w:r>
      <w:r>
        <w:rPr>
          <w:rFonts w:ascii="Times New Roman" w:eastAsia="Times New Roman" w:hAnsi="Times New Roman" w:cs="Times New Roman"/>
          <w:color w:val="000000"/>
          <w:lang w:val="id-ID"/>
        </w:rPr>
        <w:t>ME</w:t>
      </w:r>
      <w:r w:rsidR="00E81C38" w:rsidRPr="00E81C38">
        <w:rPr>
          <w:rFonts w:ascii="Times New Roman" w:eastAsia="Times New Roman" w:hAnsi="Times New Roman" w:cs="Times New Roman"/>
          <w:color w:val="000000"/>
          <w:lang w:val="id-ID"/>
        </w:rPr>
        <w:t xml:space="preserve"> expertise program graduates in Jombang </w:t>
      </w:r>
      <w:r>
        <w:rPr>
          <w:rFonts w:ascii="Times New Roman" w:eastAsia="Times New Roman" w:hAnsi="Times New Roman" w:cs="Times New Roman"/>
          <w:color w:val="000000"/>
          <w:lang w:val="id-ID"/>
        </w:rPr>
        <w:t>Distric</w:t>
      </w:r>
      <w:r w:rsidR="00E81C38" w:rsidRPr="00E81C38">
        <w:rPr>
          <w:rFonts w:ascii="Times New Roman" w:eastAsia="Times New Roman" w:hAnsi="Times New Roman" w:cs="Times New Roman"/>
          <w:color w:val="000000"/>
          <w:lang w:val="id-ID"/>
        </w:rPr>
        <w:t xml:space="preserve"> is 157 graduates with the criteria for graduates who are in accordance with their expertise program at 34.39% and at 65.61% for those not in accordance with their expertise program. Meanwhile, the number of </w:t>
      </w:r>
      <w:r>
        <w:rPr>
          <w:rFonts w:ascii="Times New Roman" w:eastAsia="Times New Roman" w:hAnsi="Times New Roman" w:cs="Times New Roman"/>
          <w:color w:val="000000"/>
          <w:lang w:val="id-ID"/>
        </w:rPr>
        <w:t>ME</w:t>
      </w:r>
      <w:r w:rsidR="00E81C38" w:rsidRPr="00E81C38">
        <w:rPr>
          <w:rFonts w:ascii="Times New Roman" w:eastAsia="Times New Roman" w:hAnsi="Times New Roman" w:cs="Times New Roman"/>
          <w:color w:val="000000"/>
          <w:lang w:val="id-ID"/>
        </w:rPr>
        <w:t xml:space="preserve"> expertise program graduates outside Jombang </w:t>
      </w:r>
      <w:r>
        <w:rPr>
          <w:rFonts w:ascii="Times New Roman" w:eastAsia="Times New Roman" w:hAnsi="Times New Roman" w:cs="Times New Roman"/>
          <w:color w:val="000000"/>
          <w:lang w:val="id-ID"/>
        </w:rPr>
        <w:t>Distric</w:t>
      </w:r>
      <w:r w:rsidR="00E81C38" w:rsidRPr="00E81C38">
        <w:rPr>
          <w:rFonts w:ascii="Times New Roman" w:eastAsia="Times New Roman" w:hAnsi="Times New Roman" w:cs="Times New Roman"/>
          <w:color w:val="000000"/>
          <w:lang w:val="id-ID"/>
        </w:rPr>
        <w:t xml:space="preserve"> is 126 graduates with the criteria for graduates who are in accordance with their expertise program at 63.49% and at 36.51% for those who are not in accordance with their expertise program.</w:t>
      </w:r>
    </w:p>
    <w:p w:rsidR="00C86A66" w:rsidRDefault="000A52B2" w:rsidP="00C86A66">
      <w:pPr>
        <w:spacing w:after="0"/>
        <w:jc w:val="center"/>
        <w:rPr>
          <w:rFonts w:ascii="Times New Roman" w:eastAsia="Times New Roman" w:hAnsi="Times New Roman" w:cs="Times New Roman"/>
          <w:color w:val="000000"/>
          <w:lang w:val="id-ID"/>
        </w:rPr>
      </w:pPr>
      <w:r>
        <w:rPr>
          <w:noProof/>
          <w:lang w:val="id-ID"/>
        </w:rPr>
        <mc:AlternateContent>
          <mc:Choice Requires="wps">
            <w:drawing>
              <wp:anchor distT="0" distB="0" distL="114300" distR="114300" simplePos="0" relativeHeight="251661312" behindDoc="0" locked="0" layoutInCell="1" allowOverlap="1" wp14:anchorId="4AA03DE0" wp14:editId="007297BD">
                <wp:simplePos x="0" y="0"/>
                <wp:positionH relativeFrom="column">
                  <wp:posOffset>2995625</wp:posOffset>
                </wp:positionH>
                <wp:positionV relativeFrom="paragraph">
                  <wp:posOffset>36830</wp:posOffset>
                </wp:positionV>
                <wp:extent cx="2326005" cy="1411605"/>
                <wp:effectExtent l="0" t="0" r="17145" b="17145"/>
                <wp:wrapNone/>
                <wp:docPr id="17" name="Rectangle 17"/>
                <wp:cNvGraphicFramePr/>
                <a:graphic xmlns:a="http://schemas.openxmlformats.org/drawingml/2006/main">
                  <a:graphicData uri="http://schemas.microsoft.com/office/word/2010/wordprocessingShape">
                    <wps:wsp>
                      <wps:cNvSpPr/>
                      <wps:spPr>
                        <a:xfrm>
                          <a:off x="0" y="0"/>
                          <a:ext cx="2326005" cy="14116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35.9pt;margin-top:2.9pt;width:183.15pt;height:11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" filled="f" strokecolor="black [3213]" strokeweight="2pt"/>
            </w:pict>
          </mc:Fallback>
        </mc:AlternateContent>
      </w:r>
      <w:r w:rsidR="00C63500">
        <w:rPr>
          <w:noProof/>
          <w:lang w:val="id-ID"/>
        </w:rPr>
        <mc:AlternateContent>
          <mc:Choice Requires="wps">
            <w:drawing>
              <wp:anchor distT="0" distB="0" distL="114300" distR="114300" simplePos="0" relativeHeight="251659264" behindDoc="0" locked="0" layoutInCell="1" allowOverlap="1" wp14:anchorId="4733ED93" wp14:editId="2E2DF7EC">
                <wp:simplePos x="0" y="0"/>
                <wp:positionH relativeFrom="column">
                  <wp:posOffset>428955</wp:posOffset>
                </wp:positionH>
                <wp:positionV relativeFrom="paragraph">
                  <wp:posOffset>38100</wp:posOffset>
                </wp:positionV>
                <wp:extent cx="2326005" cy="1411605"/>
                <wp:effectExtent l="0" t="0" r="17145" b="17145"/>
                <wp:wrapNone/>
                <wp:docPr id="16" name="Rectangle 16"/>
                <wp:cNvGraphicFramePr/>
                <a:graphic xmlns:a="http://schemas.openxmlformats.org/drawingml/2006/main">
                  <a:graphicData uri="http://schemas.microsoft.com/office/word/2010/wordprocessingShape">
                    <wps:wsp>
                      <wps:cNvSpPr/>
                      <wps:spPr>
                        <a:xfrm>
                          <a:off x="0" y="0"/>
                          <a:ext cx="2326005" cy="14116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33.8pt;margin-top:3pt;width:183.15pt;height:11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" filled="f" strokecolor="black [3213]" strokeweight="2pt"/>
            </w:pict>
          </mc:Fallback>
        </mc:AlternateContent>
      </w:r>
      <w:r w:rsidR="00C86A66">
        <w:rPr>
          <w:noProof/>
          <w:lang w:val="id-ID"/>
        </w:rPr>
        <w:drawing>
          <wp:inline distT="0" distB="0" distL="0" distR="0" wp14:anchorId="348CDDAB" wp14:editId="1B20C729">
            <wp:extent cx="1224501" cy="144393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12994"/>
                    <a:stretch/>
                  </pic:blipFill>
                  <pic:spPr bwMode="auto">
                    <a:xfrm>
                      <a:off x="0" y="0"/>
                      <a:ext cx="1228919" cy="1449146"/>
                    </a:xfrm>
                    <a:prstGeom prst="rect">
                      <a:avLst/>
                    </a:prstGeom>
                    <a:ln>
                      <a:noFill/>
                    </a:ln>
                    <a:extLst>
                      <a:ext uri="{53640926-AAD7-44D8-BBD7-CCE9431645EC}">
                        <a14:shadowObscured xmlns:a14="http://schemas.microsoft.com/office/drawing/2010/main"/>
                      </a:ext>
                    </a:extLst>
                  </pic:spPr>
                </pic:pic>
              </a:graphicData>
            </a:graphic>
          </wp:inline>
        </w:drawing>
      </w:r>
      <w:r w:rsidR="00C86A66">
        <w:rPr>
          <w:noProof/>
          <w:lang w:val="id-ID"/>
        </w:rPr>
        <w:drawing>
          <wp:inline distT="0" distB="0" distL="0" distR="0" wp14:anchorId="538521CC" wp14:editId="356E67E6">
            <wp:extent cx="1390835" cy="140738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2941"/>
                    <a:stretch/>
                  </pic:blipFill>
                  <pic:spPr bwMode="auto">
                    <a:xfrm>
                      <a:off x="0" y="0"/>
                      <a:ext cx="1393127" cy="1409700"/>
                    </a:xfrm>
                    <a:prstGeom prst="rect">
                      <a:avLst/>
                    </a:prstGeom>
                    <a:ln>
                      <a:noFill/>
                    </a:ln>
                    <a:extLst>
                      <a:ext uri="{53640926-AAD7-44D8-BBD7-CCE9431645EC}">
                        <a14:shadowObscured xmlns:a14="http://schemas.microsoft.com/office/drawing/2010/main"/>
                      </a:ext>
                    </a:extLst>
                  </pic:spPr>
                </pic:pic>
              </a:graphicData>
            </a:graphic>
          </wp:inline>
        </w:drawing>
      </w:r>
      <w:r w:rsidR="00C86A66">
        <w:rPr>
          <w:noProof/>
          <w:lang w:val="id-ID"/>
        </w:rPr>
        <w:drawing>
          <wp:inline distT="0" distB="0" distL="0" distR="0" wp14:anchorId="6794C5C2" wp14:editId="51739032">
            <wp:extent cx="1200647" cy="13214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r="8485"/>
                    <a:stretch/>
                  </pic:blipFill>
                  <pic:spPr bwMode="auto">
                    <a:xfrm>
                      <a:off x="0" y="0"/>
                      <a:ext cx="1202921" cy="1323975"/>
                    </a:xfrm>
                    <a:prstGeom prst="rect">
                      <a:avLst/>
                    </a:prstGeom>
                    <a:ln>
                      <a:noFill/>
                    </a:ln>
                    <a:extLst>
                      <a:ext uri="{53640926-AAD7-44D8-BBD7-CCE9431645EC}">
                        <a14:shadowObscured xmlns:a14="http://schemas.microsoft.com/office/drawing/2010/main"/>
                      </a:ext>
                    </a:extLst>
                  </pic:spPr>
                </pic:pic>
              </a:graphicData>
            </a:graphic>
          </wp:inline>
        </w:drawing>
      </w:r>
      <w:r w:rsidR="00C86A66">
        <w:rPr>
          <w:noProof/>
          <w:lang w:val="id-ID"/>
        </w:rPr>
        <w:drawing>
          <wp:inline distT="0" distB="0" distL="0" distR="0" wp14:anchorId="596FBD82" wp14:editId="2EC5FAEC">
            <wp:extent cx="1272209" cy="1232239"/>
            <wp:effectExtent l="0" t="0" r="444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0614"/>
                    <a:stretch/>
                  </pic:blipFill>
                  <pic:spPr bwMode="auto">
                    <a:xfrm>
                      <a:off x="0" y="0"/>
                      <a:ext cx="1268581" cy="1228725"/>
                    </a:xfrm>
                    <a:prstGeom prst="rect">
                      <a:avLst/>
                    </a:prstGeom>
                    <a:ln>
                      <a:noFill/>
                    </a:ln>
                    <a:extLst>
                      <a:ext uri="{53640926-AAD7-44D8-BBD7-CCE9431645EC}">
                        <a14:shadowObscured xmlns:a14="http://schemas.microsoft.com/office/drawing/2010/main"/>
                      </a:ext>
                    </a:extLst>
                  </pic:spPr>
                </pic:pic>
              </a:graphicData>
            </a:graphic>
          </wp:inline>
        </w:drawing>
      </w:r>
    </w:p>
    <w:p w:rsidR="00C86A66" w:rsidRDefault="00C86A66" w:rsidP="00C86A66">
      <w:pPr>
        <w:pStyle w:val="ListParagraph"/>
        <w:numPr>
          <w:ilvl w:val="0"/>
          <w:numId w:val="7"/>
        </w:numPr>
        <w:spacing w:after="0" w:line="240" w:lineRule="auto"/>
        <w:ind w:left="2552"/>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 xml:space="preserve">   </w:t>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t xml:space="preserve">    (b)</w:t>
      </w:r>
    </w:p>
    <w:p w:rsidR="00C86A66" w:rsidRPr="009B34F4" w:rsidRDefault="00C63500" w:rsidP="00C86A66">
      <w:pPr>
        <w:pStyle w:val="ListParagraph"/>
        <w:spacing w:after="0" w:line="240" w:lineRule="auto"/>
        <w:ind w:left="3960"/>
        <w:rPr>
          <w:rFonts w:ascii="Times New Roman" w:eastAsia="Times New Roman" w:hAnsi="Times New Roman" w:cs="Times New Roman"/>
          <w:color w:val="000000"/>
          <w:lang w:val="id-ID"/>
        </w:rPr>
      </w:pPr>
      <w:r>
        <w:rPr>
          <w:noProof/>
          <w:lang w:val="id-ID"/>
        </w:rPr>
        <mc:AlternateContent>
          <mc:Choice Requires="wps">
            <w:drawing>
              <wp:anchor distT="0" distB="0" distL="114300" distR="114300" simplePos="0" relativeHeight="251665408" behindDoc="0" locked="0" layoutInCell="1" allowOverlap="1" wp14:anchorId="7C37E947" wp14:editId="07FD35D1">
                <wp:simplePos x="0" y="0"/>
                <wp:positionH relativeFrom="column">
                  <wp:posOffset>2997530</wp:posOffset>
                </wp:positionH>
                <wp:positionV relativeFrom="paragraph">
                  <wp:posOffset>3810</wp:posOffset>
                </wp:positionV>
                <wp:extent cx="2326005" cy="1411605"/>
                <wp:effectExtent l="0" t="0" r="17145" b="17145"/>
                <wp:wrapNone/>
                <wp:docPr id="19" name="Rectangle 19"/>
                <wp:cNvGraphicFramePr/>
                <a:graphic xmlns:a="http://schemas.openxmlformats.org/drawingml/2006/main">
                  <a:graphicData uri="http://schemas.microsoft.com/office/word/2010/wordprocessingShape">
                    <wps:wsp>
                      <wps:cNvSpPr/>
                      <wps:spPr>
                        <a:xfrm>
                          <a:off x="0" y="0"/>
                          <a:ext cx="2326005" cy="14116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36.05pt;margin-top:.3pt;width:183.15pt;height:11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" filled="f" strokecolor="black [3213]" strokeweight="2pt"/>
            </w:pict>
          </mc:Fallback>
        </mc:AlternateContent>
      </w:r>
      <w:r>
        <w:rPr>
          <w:noProof/>
          <w:lang w:val="id-ID"/>
        </w:rPr>
        <mc:AlternateContent>
          <mc:Choice Requires="wps">
            <w:drawing>
              <wp:anchor distT="0" distB="0" distL="114300" distR="114300" simplePos="0" relativeHeight="251663360" behindDoc="0" locked="0" layoutInCell="1" allowOverlap="1" wp14:anchorId="1806517E" wp14:editId="45711BF3">
                <wp:simplePos x="0" y="0"/>
                <wp:positionH relativeFrom="column">
                  <wp:posOffset>421310</wp:posOffset>
                </wp:positionH>
                <wp:positionV relativeFrom="paragraph">
                  <wp:posOffset>-1270</wp:posOffset>
                </wp:positionV>
                <wp:extent cx="2326005" cy="1411605"/>
                <wp:effectExtent l="0" t="0" r="17145" b="17145"/>
                <wp:wrapNone/>
                <wp:docPr id="18" name="Rectangle 18"/>
                <wp:cNvGraphicFramePr/>
                <a:graphic xmlns:a="http://schemas.openxmlformats.org/drawingml/2006/main">
                  <a:graphicData uri="http://schemas.microsoft.com/office/word/2010/wordprocessingShape">
                    <wps:wsp>
                      <wps:cNvSpPr/>
                      <wps:spPr>
                        <a:xfrm>
                          <a:off x="0" y="0"/>
                          <a:ext cx="2326005" cy="14116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33.15pt;margin-top:-.1pt;width:183.15pt;height:111.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" filled="f" strokecolor="black [3213]" strokeweight="2pt"/>
            </w:pict>
          </mc:Fallback>
        </mc:AlternateContent>
      </w:r>
    </w:p>
    <w:p w:rsidR="00C86A66" w:rsidRDefault="00C86A66" w:rsidP="00C86A66">
      <w:pPr>
        <w:spacing w:after="0"/>
        <w:jc w:val="center"/>
        <w:rPr>
          <w:rFonts w:ascii="Times New Roman" w:eastAsia="Times New Roman" w:hAnsi="Times New Roman" w:cs="Times New Roman"/>
          <w:color w:val="000000"/>
          <w:lang w:val="id-ID"/>
        </w:rPr>
      </w:pPr>
      <w:r>
        <w:rPr>
          <w:noProof/>
          <w:lang w:val="id-ID"/>
        </w:rPr>
        <w:drawing>
          <wp:inline distT="0" distB="0" distL="0" distR="0" wp14:anchorId="1F4A1691" wp14:editId="7850719E">
            <wp:extent cx="1216550" cy="1200647"/>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r="6126"/>
                    <a:stretch/>
                  </pic:blipFill>
                  <pic:spPr bwMode="auto">
                    <a:xfrm>
                      <a:off x="0" y="0"/>
                      <a:ext cx="1216046" cy="1200150"/>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rPr>
        <w:drawing>
          <wp:inline distT="0" distB="0" distL="0" distR="0" wp14:anchorId="4123BC66" wp14:editId="12FF7497">
            <wp:extent cx="1419148" cy="11902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 r="-18280"/>
                    <a:stretch/>
                  </pic:blipFill>
                  <pic:spPr bwMode="auto">
                    <a:xfrm>
                      <a:off x="0" y="0"/>
                      <a:ext cx="1419540" cy="1190625"/>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rPr>
        <w:drawing>
          <wp:inline distT="0" distB="0" distL="0" distR="0" wp14:anchorId="6D288F08" wp14:editId="48041F5D">
            <wp:extent cx="1185063" cy="124358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4370" r="7143"/>
                    <a:stretch/>
                  </pic:blipFill>
                  <pic:spPr bwMode="auto">
                    <a:xfrm>
                      <a:off x="0" y="0"/>
                      <a:ext cx="1179980" cy="1238250"/>
                    </a:xfrm>
                    <a:prstGeom prst="rect">
                      <a:avLst/>
                    </a:prstGeom>
                    <a:ln>
                      <a:noFill/>
                    </a:ln>
                    <a:extLst>
                      <a:ext uri="{53640926-AAD7-44D8-BBD7-CCE9431645EC}">
                        <a14:shadowObscured xmlns:a14="http://schemas.microsoft.com/office/drawing/2010/main"/>
                      </a:ext>
                    </a:extLst>
                  </pic:spPr>
                </pic:pic>
              </a:graphicData>
            </a:graphic>
          </wp:inline>
        </w:drawing>
      </w:r>
      <w:r w:rsidR="00566DE3">
        <w:rPr>
          <w:noProof/>
          <w:lang w:val="id-ID"/>
        </w:rPr>
        <w:drawing>
          <wp:inline distT="0" distB="0" distL="0" distR="0" wp14:anchorId="61341D8E" wp14:editId="275ECA92">
            <wp:extent cx="1199057" cy="1240404"/>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6219" r="-1"/>
                    <a:stretch/>
                  </pic:blipFill>
                  <pic:spPr bwMode="auto">
                    <a:xfrm>
                      <a:off x="0" y="0"/>
                      <a:ext cx="1196975" cy="1238250"/>
                    </a:xfrm>
                    <a:prstGeom prst="rect">
                      <a:avLst/>
                    </a:prstGeom>
                    <a:ln>
                      <a:noFill/>
                    </a:ln>
                    <a:extLst>
                      <a:ext uri="{53640926-AAD7-44D8-BBD7-CCE9431645EC}">
                        <a14:shadowObscured xmlns:a14="http://schemas.microsoft.com/office/drawing/2010/main"/>
                      </a:ext>
                    </a:extLst>
                  </pic:spPr>
                </pic:pic>
              </a:graphicData>
            </a:graphic>
          </wp:inline>
        </w:drawing>
      </w:r>
    </w:p>
    <w:p w:rsidR="00C86A66" w:rsidRDefault="00C86A66" w:rsidP="00C86A66">
      <w:pPr>
        <w:pStyle w:val="ListParagraph"/>
        <w:numPr>
          <w:ilvl w:val="0"/>
          <w:numId w:val="9"/>
        </w:numPr>
        <w:spacing w:line="240" w:lineRule="auto"/>
        <w:ind w:left="2552"/>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 xml:space="preserve">   </w:t>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t xml:space="preserve">    (</w:t>
      </w:r>
      <w:r>
        <w:rPr>
          <w:rFonts w:ascii="Times New Roman" w:eastAsia="Times New Roman" w:hAnsi="Times New Roman" w:cs="Times New Roman"/>
          <w:color w:val="000000"/>
          <w:lang w:val="id-ID"/>
        </w:rPr>
        <w:t>d</w:t>
      </w:r>
      <w:r>
        <w:rPr>
          <w:rFonts w:ascii="Times New Roman" w:eastAsia="Times New Roman" w:hAnsi="Times New Roman" w:cs="Times New Roman"/>
          <w:color w:val="000000"/>
          <w:lang w:val="id-ID"/>
        </w:rPr>
        <w:t>)</w:t>
      </w:r>
    </w:p>
    <w:p w:rsidR="002A34D1" w:rsidRDefault="002A34D1" w:rsidP="00D4751F">
      <w:pPr>
        <w:spacing w:after="240"/>
        <w:jc w:val="center"/>
        <w:rPr>
          <w:rFonts w:ascii="Times New Roman" w:eastAsia="Times New Roman" w:hAnsi="Times New Roman" w:cs="Times New Roman"/>
          <w:color w:val="000000"/>
          <w:lang w:val="id-ID"/>
        </w:rPr>
      </w:pPr>
      <w:r w:rsidRPr="00D4751F">
        <w:rPr>
          <w:rFonts w:ascii="Times New Roman" w:eastAsia="Times New Roman" w:hAnsi="Times New Roman" w:cs="Times New Roman"/>
          <w:b/>
          <w:bCs/>
          <w:color w:val="000000"/>
          <w:lang w:val="id-ID"/>
        </w:rPr>
        <w:t>Figure 2</w:t>
      </w:r>
      <w:r>
        <w:rPr>
          <w:rFonts w:ascii="Times New Roman" w:eastAsia="Times New Roman" w:hAnsi="Times New Roman" w:cs="Times New Roman"/>
          <w:color w:val="000000"/>
          <w:lang w:val="id-ID"/>
        </w:rPr>
        <w:t xml:space="preserve">. </w:t>
      </w:r>
      <w:r w:rsidR="003D7551" w:rsidRPr="003D7551">
        <w:rPr>
          <w:rFonts w:ascii="Times New Roman" w:eastAsia="Times New Roman" w:hAnsi="Times New Roman" w:cs="Times New Roman"/>
          <w:color w:val="000000"/>
          <w:lang w:val="id-ID"/>
        </w:rPr>
        <w:t xml:space="preserve">The degree of absorption of graduates of skills programs </w:t>
      </w:r>
      <w:r w:rsidR="00D4751F" w:rsidRPr="003D7551">
        <w:rPr>
          <w:rFonts w:ascii="Times New Roman" w:eastAsia="Times New Roman" w:hAnsi="Times New Roman" w:cs="Times New Roman"/>
          <w:color w:val="000000"/>
          <w:lang w:val="id-ID"/>
        </w:rPr>
        <w:t xml:space="preserve">(a) </w:t>
      </w:r>
      <w:r w:rsidR="00D4751F">
        <w:rPr>
          <w:rFonts w:ascii="Times New Roman" w:eastAsia="Times New Roman" w:hAnsi="Times New Roman" w:cs="Times New Roman"/>
          <w:color w:val="000000"/>
          <w:lang w:val="id-ID"/>
        </w:rPr>
        <w:t>BDE</w:t>
      </w:r>
      <w:r w:rsidR="00D4751F" w:rsidRPr="003D7551">
        <w:rPr>
          <w:rFonts w:ascii="Times New Roman" w:eastAsia="Times New Roman" w:hAnsi="Times New Roman" w:cs="Times New Roman"/>
          <w:color w:val="000000"/>
          <w:lang w:val="id-ID"/>
        </w:rPr>
        <w:t xml:space="preserve">,  (b) </w:t>
      </w:r>
      <w:r w:rsidR="00D4751F">
        <w:rPr>
          <w:rFonts w:ascii="Times New Roman" w:eastAsia="Times New Roman" w:hAnsi="Times New Roman" w:cs="Times New Roman"/>
          <w:color w:val="000000"/>
          <w:lang w:val="id-ID"/>
        </w:rPr>
        <w:t>CPB</w:t>
      </w:r>
      <w:r w:rsidR="00D4751F" w:rsidRPr="003D7551">
        <w:rPr>
          <w:rFonts w:ascii="Times New Roman" w:eastAsia="Times New Roman" w:hAnsi="Times New Roman" w:cs="Times New Roman"/>
          <w:color w:val="000000"/>
          <w:lang w:val="id-ID"/>
        </w:rPr>
        <w:t xml:space="preserve">, (c) </w:t>
      </w:r>
      <w:r w:rsidR="00D4751F">
        <w:rPr>
          <w:rFonts w:ascii="Times New Roman" w:eastAsia="Times New Roman" w:hAnsi="Times New Roman" w:cs="Times New Roman"/>
          <w:color w:val="000000"/>
          <w:lang w:val="id-ID"/>
        </w:rPr>
        <w:t>CNE</w:t>
      </w:r>
      <w:r w:rsidR="00D4751F" w:rsidRPr="003D7551">
        <w:rPr>
          <w:rFonts w:ascii="Times New Roman" w:eastAsia="Times New Roman" w:hAnsi="Times New Roman" w:cs="Times New Roman"/>
          <w:color w:val="000000"/>
          <w:lang w:val="id-ID"/>
        </w:rPr>
        <w:t xml:space="preserve">, (d) </w:t>
      </w:r>
      <w:r w:rsidR="00D4751F">
        <w:rPr>
          <w:rFonts w:ascii="Times New Roman" w:eastAsia="Times New Roman" w:hAnsi="Times New Roman" w:cs="Times New Roman"/>
          <w:color w:val="000000"/>
          <w:lang w:val="id-ID"/>
        </w:rPr>
        <w:t>ME</w:t>
      </w:r>
      <w:r w:rsidR="003D7551" w:rsidRPr="003D7551">
        <w:rPr>
          <w:rFonts w:ascii="Times New Roman" w:eastAsia="Times New Roman" w:hAnsi="Times New Roman" w:cs="Times New Roman"/>
          <w:color w:val="000000"/>
          <w:lang w:val="id-ID"/>
        </w:rPr>
        <w:t xml:space="preserve"> in terms of the location of </w:t>
      </w:r>
      <w:r w:rsidR="00800C6E">
        <w:rPr>
          <w:rFonts w:ascii="Times New Roman" w:eastAsia="Times New Roman" w:hAnsi="Times New Roman" w:cs="Times New Roman"/>
          <w:color w:val="000000"/>
          <w:lang w:val="id-ID"/>
        </w:rPr>
        <w:t>industry</w:t>
      </w:r>
      <w:r>
        <w:rPr>
          <w:rFonts w:ascii="Times New Roman" w:eastAsia="Times New Roman" w:hAnsi="Times New Roman" w:cs="Times New Roman"/>
          <w:color w:val="000000"/>
          <w:lang w:val="id-ID"/>
        </w:rPr>
        <w:t xml:space="preserve"> </w:t>
      </w:r>
    </w:p>
    <w:p w:rsidR="00E81C38" w:rsidRPr="00E81C38" w:rsidRDefault="00E81C38" w:rsidP="0091294A">
      <w:pPr>
        <w:spacing w:after="240"/>
        <w:jc w:val="both"/>
        <w:rPr>
          <w:rFonts w:ascii="Times New Roman" w:eastAsia="Times New Roman" w:hAnsi="Times New Roman" w:cs="Times New Roman"/>
          <w:color w:val="000000"/>
          <w:lang w:val="id-ID"/>
        </w:rPr>
      </w:pPr>
      <w:r w:rsidRPr="00E81C38">
        <w:rPr>
          <w:rFonts w:ascii="Times New Roman" w:eastAsia="Times New Roman" w:hAnsi="Times New Roman" w:cs="Times New Roman"/>
          <w:color w:val="000000"/>
          <w:lang w:val="id-ID"/>
        </w:rPr>
        <w:t>Based on the analysis of the percentage interpretation from Sugiyono</w:t>
      </w:r>
      <w:r w:rsidR="00D4751F">
        <w:rPr>
          <w:rFonts w:ascii="Times New Roman" w:eastAsia="Times New Roman" w:hAnsi="Times New Roman" w:cs="Times New Roman"/>
          <w:color w:val="000000"/>
          <w:lang w:val="id-ID"/>
        </w:rPr>
        <w:t xml:space="preserve"> </w:t>
      </w:r>
      <w:r w:rsidR="00D4751F">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"abstract" : "Metode penelitian pada dasarnya merupakan cara ilmiah untuk mendapatkan data tujuan Dan kegunaan tertentu. Baik berupa data primer maupun data sekunder yang dapat digunakan untuk menyusun karya ilmiah dan kemudian menganalisis faktor-faktor yang berhubungan dengan pokok-pokok permasalahan sehingga akan didapat suatu kebenaran atas data yang diperoleh.", "author" : [ { "dropping-particle" : "", "family" : "Sugiyono", "given" : "", "non-dropping-particle" : "", "parse-names" : false, "suffix" : "" } ], "id" : "ITEM-1", "issued" : { "date-parts" : [ [ "2018" ] ] }, "number-of-pages" : "117-128", "publisher" : "AlfaBeta", "publisher-place" : "Bandung", "title" : "Metode penelitian pendidikan pendekatan kauntitatif, kualitatif, R&amp;D", "type" : "book" }, "uris" : [ "http://www.mendeley.com/documents/?uuid=7f409d2d-8404-4eb8-8add-a0f70052a011" ] } ], "mendeley" : { "formattedCitation" : "[15]", "manualFormatting" : "(2018)", "plainTextFormattedCitation" : "[15]", "previouslyFormattedCitation" : "(Sugiyono, 2018)" }, "properties" : { "noteIndex" : 0 }, "schema" : "https://github.com/citation-style-language/schema/raw/master/csl-citation.json" }</w:instrText>
      </w:r>
      <w:r w:rsidR="00D4751F">
        <w:rPr>
          <w:rFonts w:ascii="Times New Roman" w:eastAsia="Times New Roman" w:hAnsi="Times New Roman" w:cs="Times New Roman"/>
          <w:color w:val="000000"/>
          <w:lang w:val="id-ID"/>
        </w:rPr>
        <w:fldChar w:fldCharType="separate"/>
      </w:r>
      <w:r w:rsidR="00D4751F">
        <w:rPr>
          <w:rFonts w:ascii="Times New Roman" w:eastAsia="Times New Roman" w:hAnsi="Times New Roman" w:cs="Times New Roman"/>
          <w:noProof/>
          <w:color w:val="000000"/>
          <w:lang w:val="id-ID"/>
        </w:rPr>
        <w:t>(</w:t>
      </w:r>
      <w:r w:rsidR="00D4751F" w:rsidRPr="00D4751F">
        <w:rPr>
          <w:rFonts w:ascii="Times New Roman" w:eastAsia="Times New Roman" w:hAnsi="Times New Roman" w:cs="Times New Roman"/>
          <w:noProof/>
          <w:color w:val="000000"/>
          <w:lang w:val="id-ID"/>
        </w:rPr>
        <w:t>2018)</w:t>
      </w:r>
      <w:r w:rsidR="00D4751F">
        <w:rPr>
          <w:rFonts w:ascii="Times New Roman" w:eastAsia="Times New Roman" w:hAnsi="Times New Roman" w:cs="Times New Roman"/>
          <w:color w:val="000000"/>
          <w:lang w:val="id-ID"/>
        </w:rPr>
        <w:fldChar w:fldCharType="end"/>
      </w:r>
      <w:r w:rsidRPr="00E81C38">
        <w:rPr>
          <w:rFonts w:ascii="Times New Roman" w:eastAsia="Times New Roman" w:hAnsi="Times New Roman" w:cs="Times New Roman"/>
          <w:color w:val="000000"/>
          <w:lang w:val="id-ID"/>
        </w:rPr>
        <w:t xml:space="preserve">, it was concluded that the majority of graduates of the </w:t>
      </w:r>
      <w:r w:rsidR="0091294A">
        <w:rPr>
          <w:rFonts w:ascii="Times New Roman" w:eastAsia="Times New Roman" w:hAnsi="Times New Roman" w:cs="Times New Roman"/>
          <w:color w:val="000000"/>
          <w:lang w:val="id-ID"/>
        </w:rPr>
        <w:t>CNE</w:t>
      </w:r>
      <w:r w:rsidRPr="00E81C38">
        <w:rPr>
          <w:rFonts w:ascii="Times New Roman" w:eastAsia="Times New Roman" w:hAnsi="Times New Roman" w:cs="Times New Roman"/>
          <w:color w:val="000000"/>
          <w:lang w:val="id-ID"/>
        </w:rPr>
        <w:t xml:space="preserve"> expertise programs were absorbed by </w:t>
      </w:r>
      <w:r w:rsidR="00800C6E">
        <w:rPr>
          <w:rFonts w:ascii="Times New Roman" w:eastAsia="Times New Roman" w:hAnsi="Times New Roman" w:cs="Times New Roman"/>
          <w:color w:val="000000"/>
          <w:lang w:val="id-ID"/>
        </w:rPr>
        <w:t>industry</w:t>
      </w:r>
      <w:r w:rsidRPr="00E81C38">
        <w:rPr>
          <w:rFonts w:ascii="Times New Roman" w:eastAsia="Times New Roman" w:hAnsi="Times New Roman" w:cs="Times New Roman"/>
          <w:color w:val="000000"/>
          <w:lang w:val="id-ID"/>
        </w:rPr>
        <w:t xml:space="preserve"> outside Jombang </w:t>
      </w:r>
      <w:r w:rsidR="0091294A">
        <w:rPr>
          <w:rFonts w:ascii="Times New Roman" w:eastAsia="Times New Roman" w:hAnsi="Times New Roman" w:cs="Times New Roman"/>
          <w:color w:val="000000"/>
          <w:lang w:val="id-ID"/>
        </w:rPr>
        <w:t>Distric</w:t>
      </w:r>
      <w:r w:rsidRPr="00E81C38">
        <w:rPr>
          <w:rFonts w:ascii="Times New Roman" w:eastAsia="Times New Roman" w:hAnsi="Times New Roman" w:cs="Times New Roman"/>
          <w:color w:val="000000"/>
          <w:lang w:val="id-ID"/>
        </w:rPr>
        <w:t xml:space="preserve">. Whereas more than half of the graduates of the </w:t>
      </w:r>
      <w:r w:rsidR="0091294A">
        <w:rPr>
          <w:rFonts w:ascii="Times New Roman" w:eastAsia="Times New Roman" w:hAnsi="Times New Roman" w:cs="Times New Roman"/>
          <w:color w:val="000000"/>
          <w:lang w:val="id-ID"/>
        </w:rPr>
        <w:t>BDE and ME</w:t>
      </w:r>
      <w:r w:rsidRPr="00E81C38">
        <w:rPr>
          <w:rFonts w:ascii="Times New Roman" w:eastAsia="Times New Roman" w:hAnsi="Times New Roman" w:cs="Times New Roman"/>
          <w:color w:val="000000"/>
          <w:lang w:val="id-ID"/>
        </w:rPr>
        <w:t xml:space="preserve"> expertise programs were absorbed by </w:t>
      </w:r>
      <w:r w:rsidR="00800C6E">
        <w:rPr>
          <w:rFonts w:ascii="Times New Roman" w:eastAsia="Times New Roman" w:hAnsi="Times New Roman" w:cs="Times New Roman"/>
          <w:color w:val="000000"/>
          <w:lang w:val="id-ID"/>
        </w:rPr>
        <w:t>industry</w:t>
      </w:r>
      <w:r w:rsidRPr="00E81C38">
        <w:rPr>
          <w:rFonts w:ascii="Times New Roman" w:eastAsia="Times New Roman" w:hAnsi="Times New Roman" w:cs="Times New Roman"/>
          <w:color w:val="000000"/>
          <w:lang w:val="id-ID"/>
        </w:rPr>
        <w:t xml:space="preserve"> outside Jombang Regency. Half of the graduates of the </w:t>
      </w:r>
      <w:r w:rsidR="0091294A">
        <w:rPr>
          <w:rFonts w:ascii="Times New Roman" w:eastAsia="Times New Roman" w:hAnsi="Times New Roman" w:cs="Times New Roman"/>
          <w:color w:val="000000"/>
          <w:lang w:val="id-ID"/>
        </w:rPr>
        <w:t>CPB</w:t>
      </w:r>
      <w:r w:rsidRPr="00E81C38">
        <w:rPr>
          <w:rFonts w:ascii="Times New Roman" w:eastAsia="Times New Roman" w:hAnsi="Times New Roman" w:cs="Times New Roman"/>
          <w:color w:val="000000"/>
          <w:lang w:val="id-ID"/>
        </w:rPr>
        <w:t xml:space="preserve"> expertise program are absorbed by </w:t>
      </w:r>
      <w:r w:rsidR="00800C6E">
        <w:rPr>
          <w:rFonts w:ascii="Times New Roman" w:eastAsia="Times New Roman" w:hAnsi="Times New Roman" w:cs="Times New Roman"/>
          <w:color w:val="000000"/>
          <w:lang w:val="id-ID"/>
        </w:rPr>
        <w:t>industry</w:t>
      </w:r>
      <w:r w:rsidRPr="00E81C38">
        <w:rPr>
          <w:rFonts w:ascii="Times New Roman" w:eastAsia="Times New Roman" w:hAnsi="Times New Roman" w:cs="Times New Roman"/>
          <w:color w:val="000000"/>
          <w:lang w:val="id-ID"/>
        </w:rPr>
        <w:t xml:space="preserve"> in Jombang </w:t>
      </w:r>
      <w:r w:rsidR="0091294A">
        <w:rPr>
          <w:rFonts w:ascii="Times New Roman" w:eastAsia="Times New Roman" w:hAnsi="Times New Roman" w:cs="Times New Roman"/>
          <w:color w:val="000000"/>
          <w:lang w:val="id-ID"/>
        </w:rPr>
        <w:t xml:space="preserve">Dstric </w:t>
      </w:r>
      <w:r w:rsidRPr="00E81C38">
        <w:rPr>
          <w:rFonts w:ascii="Times New Roman" w:eastAsia="Times New Roman" w:hAnsi="Times New Roman" w:cs="Times New Roman"/>
          <w:color w:val="000000"/>
          <w:lang w:val="id-ID"/>
        </w:rPr>
        <w:t>and according to their educational background qualifications.</w:t>
      </w:r>
    </w:p>
    <w:p w:rsidR="00860F36" w:rsidRDefault="00E81C38">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lang w:val="id-ID"/>
        </w:rPr>
        <w:lastRenderedPageBreak/>
        <w:t>Discussion</w:t>
      </w:r>
    </w:p>
    <w:p w:rsidR="00860F36" w:rsidRDefault="00C56575" w:rsidP="00161C36">
      <w:pPr>
        <w:spacing w:after="240"/>
        <w:jc w:val="both"/>
        <w:rPr>
          <w:rFonts w:ascii="Times New Roman" w:eastAsia="Times New Roman" w:hAnsi="Times New Roman" w:cs="Times New Roman"/>
          <w:color w:val="000000"/>
          <w:lang w:val="id-ID"/>
        </w:rPr>
      </w:pPr>
      <w:r w:rsidRPr="00C56575">
        <w:rPr>
          <w:rFonts w:ascii="Times New Roman" w:eastAsia="Times New Roman" w:hAnsi="Times New Roman" w:cs="Times New Roman"/>
          <w:color w:val="000000"/>
        </w:rPr>
        <w:t xml:space="preserve">Based on the data absorption of graduates in terms of </w:t>
      </w:r>
      <w:r w:rsidR="00161C36">
        <w:rPr>
          <w:rFonts w:ascii="Times New Roman" w:eastAsia="Times New Roman" w:hAnsi="Times New Roman" w:cs="Times New Roman"/>
          <w:color w:val="000000"/>
          <w:lang w:val="id-ID"/>
        </w:rPr>
        <w:t>four</w:t>
      </w:r>
      <w:r w:rsidRPr="00C56575">
        <w:rPr>
          <w:rFonts w:ascii="Times New Roman" w:eastAsia="Times New Roman" w:hAnsi="Times New Roman" w:cs="Times New Roman"/>
          <w:color w:val="000000"/>
        </w:rPr>
        <w:t xml:space="preserve"> expertise programs </w:t>
      </w:r>
      <w:r w:rsidR="003C338A">
        <w:rPr>
          <w:rFonts w:ascii="Times New Roman" w:eastAsia="Times New Roman" w:hAnsi="Times New Roman" w:cs="Times New Roman"/>
          <w:color w:val="000000"/>
        </w:rPr>
        <w:t>VHS</w:t>
      </w:r>
      <w:r w:rsidRPr="00C56575">
        <w:rPr>
          <w:rFonts w:ascii="Times New Roman" w:eastAsia="Times New Roman" w:hAnsi="Times New Roman" w:cs="Times New Roman"/>
          <w:color w:val="000000"/>
        </w:rPr>
        <w:t xml:space="preserve"> </w:t>
      </w:r>
      <w:r w:rsidR="00161C36">
        <w:rPr>
          <w:rFonts w:ascii="Times New Roman" w:eastAsia="Times New Roman" w:hAnsi="Times New Roman" w:cs="Times New Roman"/>
          <w:color w:val="000000"/>
          <w:lang w:val="id-ID"/>
        </w:rPr>
        <w:t>in</w:t>
      </w:r>
      <w:r w:rsidRPr="00C56575">
        <w:rPr>
          <w:rFonts w:ascii="Times New Roman" w:eastAsia="Times New Roman" w:hAnsi="Times New Roman" w:cs="Times New Roman"/>
          <w:color w:val="000000"/>
        </w:rPr>
        <w:t xml:space="preserve"> Jombang</w:t>
      </w:r>
      <w:r w:rsidR="00161C36">
        <w:rPr>
          <w:rFonts w:ascii="Times New Roman" w:eastAsia="Times New Roman" w:hAnsi="Times New Roman" w:cs="Times New Roman"/>
          <w:color w:val="000000"/>
          <w:lang w:val="id-ID"/>
        </w:rPr>
        <w:t xml:space="preserve"> Distric</w:t>
      </w:r>
      <w:r w:rsidRPr="00C56575">
        <w:rPr>
          <w:rFonts w:ascii="Times New Roman" w:eastAsia="Times New Roman" w:hAnsi="Times New Roman" w:cs="Times New Roman"/>
          <w:color w:val="000000"/>
        </w:rPr>
        <w:t xml:space="preserve">, the highest employment absorption rate comes from </w:t>
      </w:r>
      <w:r w:rsidR="00161C36">
        <w:rPr>
          <w:rFonts w:ascii="Times New Roman" w:eastAsia="Times New Roman" w:hAnsi="Times New Roman" w:cs="Times New Roman"/>
          <w:color w:val="000000"/>
          <w:lang w:val="id-ID"/>
        </w:rPr>
        <w:t>ME</w:t>
      </w:r>
      <w:r w:rsidRPr="00C56575">
        <w:rPr>
          <w:rFonts w:ascii="Times New Roman" w:eastAsia="Times New Roman" w:hAnsi="Times New Roman" w:cs="Times New Roman"/>
          <w:color w:val="000000"/>
        </w:rPr>
        <w:t xml:space="preserve"> expertise program graduates, namely 94.97% with details of 157 graduates obtaining jobs according to their expertise program, 126 graduates working not in accordance with the program His expertise, 5 people went on to higher education, 2 people were entrepreneurs, and as many as 8 people were not recorded in the tracer study. A summary of graduates' details from the </w:t>
      </w:r>
      <w:r w:rsidR="00161C36">
        <w:rPr>
          <w:rFonts w:ascii="Times New Roman" w:eastAsia="Times New Roman" w:hAnsi="Times New Roman" w:cs="Times New Roman"/>
          <w:color w:val="000000"/>
          <w:lang w:val="id-ID"/>
        </w:rPr>
        <w:t>ME</w:t>
      </w:r>
      <w:r w:rsidRPr="00C56575">
        <w:rPr>
          <w:rFonts w:ascii="Times New Roman" w:eastAsia="Times New Roman" w:hAnsi="Times New Roman" w:cs="Times New Roman"/>
          <w:color w:val="000000"/>
        </w:rPr>
        <w:t xml:space="preserve"> expertise program can be seen in Figure 3 as follows.</w:t>
      </w:r>
    </w:p>
    <w:p w:rsidR="00C56575" w:rsidRDefault="00125D92" w:rsidP="00125D92">
      <w:pPr>
        <w:spacing w:after="0"/>
        <w:jc w:val="center"/>
        <w:rPr>
          <w:rFonts w:ascii="Times New Roman" w:eastAsia="Times New Roman" w:hAnsi="Times New Roman" w:cs="Times New Roman"/>
          <w:color w:val="000000"/>
          <w:lang w:val="id-ID"/>
        </w:rPr>
      </w:pPr>
      <w:r>
        <w:rPr>
          <w:rFonts w:ascii="Times New Roman" w:eastAsia="Times New Roman" w:hAnsi="Times New Roman" w:cs="Times New Roman"/>
          <w:noProof/>
          <w:color w:val="000000"/>
          <w:lang w:val="id-ID"/>
        </w:rPr>
        <w:drawing>
          <wp:inline distT="0" distB="0" distL="0" distR="0" wp14:anchorId="4010935C" wp14:editId="56F2023E">
            <wp:extent cx="3832529" cy="1487610"/>
            <wp:effectExtent l="19050" t="19050" r="15875" b="177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35459" cy="1488747"/>
                    </a:xfrm>
                    <a:prstGeom prst="rect">
                      <a:avLst/>
                    </a:prstGeom>
                    <a:ln w="3175" cap="sq">
                      <a:solidFill>
                        <a:srgbClr val="000000"/>
                      </a:solidFill>
                      <a:miter lim="800000"/>
                    </a:ln>
                    <a:effectLst/>
                  </pic:spPr>
                </pic:pic>
              </a:graphicData>
            </a:graphic>
          </wp:inline>
        </w:drawing>
      </w:r>
    </w:p>
    <w:p w:rsidR="00A47EAB" w:rsidRDefault="00A47EAB" w:rsidP="00161C36">
      <w:pPr>
        <w:spacing w:after="240"/>
        <w:jc w:val="center"/>
        <w:rPr>
          <w:rFonts w:ascii="Times New Roman" w:eastAsia="Times New Roman" w:hAnsi="Times New Roman" w:cs="Times New Roman"/>
          <w:color w:val="000000"/>
          <w:lang w:val="id-ID"/>
        </w:rPr>
      </w:pPr>
      <w:r w:rsidRPr="00161C36">
        <w:rPr>
          <w:rFonts w:ascii="Times New Roman" w:eastAsia="Times New Roman" w:hAnsi="Times New Roman" w:cs="Times New Roman"/>
          <w:b/>
          <w:bCs/>
          <w:color w:val="000000"/>
          <w:lang w:val="id-ID"/>
        </w:rPr>
        <w:t>Figure 3</w:t>
      </w:r>
      <w:r>
        <w:rPr>
          <w:rFonts w:ascii="Times New Roman" w:eastAsia="Times New Roman" w:hAnsi="Times New Roman" w:cs="Times New Roman"/>
          <w:color w:val="000000"/>
          <w:lang w:val="id-ID"/>
        </w:rPr>
        <w:t xml:space="preserve">. </w:t>
      </w:r>
      <w:r w:rsidR="003D7551" w:rsidRPr="003D7551">
        <w:rPr>
          <w:rFonts w:ascii="Times New Roman" w:eastAsia="Times New Roman" w:hAnsi="Times New Roman" w:cs="Times New Roman"/>
          <w:color w:val="000000"/>
          <w:lang w:val="id-ID"/>
        </w:rPr>
        <w:t xml:space="preserve">Recapitulation of </w:t>
      </w:r>
      <w:r w:rsidR="00161C36">
        <w:rPr>
          <w:rFonts w:ascii="Times New Roman" w:eastAsia="Times New Roman" w:hAnsi="Times New Roman" w:cs="Times New Roman"/>
          <w:color w:val="000000"/>
          <w:lang w:val="id-ID"/>
        </w:rPr>
        <w:t>ME</w:t>
      </w:r>
      <w:r w:rsidR="003D7551" w:rsidRPr="003D7551">
        <w:rPr>
          <w:rFonts w:ascii="Times New Roman" w:eastAsia="Times New Roman" w:hAnsi="Times New Roman" w:cs="Times New Roman"/>
          <w:color w:val="000000"/>
          <w:lang w:val="id-ID"/>
        </w:rPr>
        <w:t xml:space="preserve"> expertise program graduates</w:t>
      </w:r>
      <w:r>
        <w:rPr>
          <w:rFonts w:ascii="Times New Roman" w:eastAsia="Times New Roman" w:hAnsi="Times New Roman" w:cs="Times New Roman"/>
          <w:color w:val="000000"/>
          <w:lang w:val="id-ID"/>
        </w:rPr>
        <w:t xml:space="preserve"> </w:t>
      </w:r>
    </w:p>
    <w:p w:rsidR="00C56575" w:rsidRDefault="00C56575" w:rsidP="00A9130B">
      <w:pPr>
        <w:spacing w:after="240"/>
        <w:jc w:val="both"/>
        <w:rPr>
          <w:rFonts w:ascii="Times New Roman" w:eastAsia="Times New Roman" w:hAnsi="Times New Roman" w:cs="Times New Roman"/>
          <w:color w:val="000000"/>
          <w:lang w:val="id-ID"/>
        </w:rPr>
      </w:pPr>
      <w:r w:rsidRPr="00C56575">
        <w:rPr>
          <w:rFonts w:ascii="Times New Roman" w:eastAsia="Times New Roman" w:hAnsi="Times New Roman" w:cs="Times New Roman"/>
          <w:color w:val="000000"/>
          <w:lang w:val="id-ID"/>
        </w:rPr>
        <w:t xml:space="preserve">The level of absorption is influenced by the ability of students to work during the learning process. The ability of students to work during the implementation of high PKL has contributed the level of absorption of graduates in </w:t>
      </w:r>
      <w:r w:rsidR="00800C6E">
        <w:rPr>
          <w:rFonts w:ascii="Times New Roman" w:eastAsia="Times New Roman" w:hAnsi="Times New Roman" w:cs="Times New Roman"/>
          <w:color w:val="000000"/>
          <w:lang w:val="id-ID"/>
        </w:rPr>
        <w:t>industry</w:t>
      </w:r>
      <w:r w:rsidRPr="00C56575">
        <w:rPr>
          <w:rFonts w:ascii="Times New Roman" w:eastAsia="Times New Roman" w:hAnsi="Times New Roman" w:cs="Times New Roman"/>
          <w:color w:val="000000"/>
          <w:lang w:val="id-ID"/>
        </w:rPr>
        <w:t xml:space="preserve">. This is in line with the findings of Rahmat et al </w:t>
      </w:r>
      <w:r w:rsidR="00C858BB">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"DOI" : "10.1016/j.sbspro.2012.09.318", "ISSN" : "18770428", "abstract" : "Faculty of Information Science and Technology (FTSM) has produced thousands of graduates since it was first established. Knowing how important for the graduates to possess the required skills by the industry therefore, this study aims to measure the employability of the FTSM graduates. Measurement carried out is based on the skills possessed by graduates during their studies at the faculty. These skills are assessed based on their basic knowledge of programming system development, soft skills, and entrepreneur skill. The data used in this study obtained from the students who graduated on the 2010/2011 session and data was collected in September 2011, i.e. five months after the students finished their studies. The methodology used in the study is by using questionnaires that were uploaded online and distributed manually during the Convocation Day. Descriptive and inference statistical analyses were used to analyze the data. This analysis seeks to find relationships between employability and graduates' perception of their own skills. The study is important to identify whether the level of skills possessed by graduates during their studies are appropriate in helping them to perform in a job market.", "author" : [ { "dropping-particle" : "", "family" : "Rahmat", "given" : "Masura", "non-dropping-particle" : "", "parse-names" : false, "suffix" : "" }, { "dropping-particle" : "", "family" : "Ahmad", "given" : "Kamsuriah", "non-dropping-particle" : "", "parse-names" : false, "suffix" : "" }, { "dropping-particle" : "", "family" : "Idris", "given" : "Sufian", "non-dropping-particle" : "", "parse-names" : false, "suffix" : "" }, { "dropping-particle" : "", "family" : "Zainal", "given" : "Noor Faridatul Ainun", "non-dropping-particle" : "", "parse-names" : false, "suffix" : "" } ], "container-title" : "Procedia - Social and Behavioral Sciences", "id" : "ITEM-1", "issued" : { "date-parts" : [ [ "2012" ] ] }, "page" : "591-597", "title" : "Relationship between Employability and Graduates\u2019 Skill", "type" : "article-journal", "volume" : "59" }, "uris" : [ "http://www.mendeley.com/documents/?uuid=4b47a22a-d144-48ac-a870-f943aadd5eda" ] } ], "mendeley" : { "formattedCitation" : "[16]", "manualFormatting" : "(2012)", "plainTextFormattedCitation" : "[16]", "previouslyFormattedCitation" : "(Rahmat et al., 2012)" }, "properties" : { "noteIndex" : 0 }, "schema" : "https://github.com/citation-style-language/schema/raw/master/csl-citation.json" }</w:instrText>
      </w:r>
      <w:r w:rsidR="00C858BB">
        <w:rPr>
          <w:rFonts w:ascii="Times New Roman" w:eastAsia="Times New Roman" w:hAnsi="Times New Roman" w:cs="Times New Roman"/>
          <w:color w:val="000000"/>
          <w:lang w:val="id-ID"/>
        </w:rPr>
        <w:fldChar w:fldCharType="separate"/>
      </w:r>
      <w:r w:rsidR="00C858BB" w:rsidRPr="00C858BB">
        <w:rPr>
          <w:rFonts w:ascii="Times New Roman" w:eastAsia="Times New Roman" w:hAnsi="Times New Roman" w:cs="Times New Roman"/>
          <w:noProof/>
          <w:color w:val="000000"/>
          <w:lang w:val="id-ID"/>
        </w:rPr>
        <w:t>(2012)</w:t>
      </w:r>
      <w:r w:rsidR="00C858BB">
        <w:rPr>
          <w:rFonts w:ascii="Times New Roman" w:eastAsia="Times New Roman" w:hAnsi="Times New Roman" w:cs="Times New Roman"/>
          <w:color w:val="000000"/>
          <w:lang w:val="id-ID"/>
        </w:rPr>
        <w:fldChar w:fldCharType="end"/>
      </w:r>
      <w:r w:rsidRPr="00C56575">
        <w:rPr>
          <w:rFonts w:ascii="Times New Roman" w:eastAsia="Times New Roman" w:hAnsi="Times New Roman" w:cs="Times New Roman"/>
          <w:color w:val="000000"/>
          <w:lang w:val="id-ID"/>
        </w:rPr>
        <w:t xml:space="preserve">. In addition to the ability to work professionally, graduates from a vocational school/university must have the communication skills currently demanded by the </w:t>
      </w:r>
      <w:r w:rsidR="00800C6E">
        <w:rPr>
          <w:rFonts w:ascii="Times New Roman" w:eastAsia="Times New Roman" w:hAnsi="Times New Roman" w:cs="Times New Roman"/>
          <w:color w:val="000000"/>
          <w:lang w:val="id-ID"/>
        </w:rPr>
        <w:t>industry</w:t>
      </w:r>
      <w:r w:rsidRPr="00C56575">
        <w:rPr>
          <w:rFonts w:ascii="Times New Roman" w:eastAsia="Times New Roman" w:hAnsi="Times New Roman" w:cs="Times New Roman"/>
          <w:color w:val="000000"/>
          <w:lang w:val="id-ID"/>
        </w:rPr>
        <w:t xml:space="preserve">. These capabilities include the ability to adapt, and negotiations that can improve work skills and prepare productive forces in the future as the findings of the study under the heading "The Importance of Communication Competency for Employability" </w:t>
      </w:r>
      <w:r w:rsidR="00CD5B25">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"DOI" : "10.1016/j.sbspro.2014.08.024", "ISSN" : "18770428", "abstract" : "Nowadays university is changing in favour of the employability of graduates. It is understood that a university curriculum should be consistent with the demands of employment and self-employment, especially at higher education levels. This analysis conceptually defines \u201cskill\u201d and \u201cemployability\u201d, and focuses on communicative competence. University is perceived as being responsible for responding to the European labor market by adapting its criteria and preparing students for future employment. It is believed that communicative competence can greatly help new graduates to develop their potential, both socially and occupationally. It has been found that, regardless of the job in question, some of the most sought-after skills are related to interpersonal relations, adaptability and negotiation skills. Communicative competences have also been studied using pedagogical, linguistic and communicative approaches. This analysis suggests that the importance of communicative competences should be included in the new educational context to enhance the employability and productive force of future graduates. En la actualidad el espacio universitario est\u00e1 cambiando a favor de la empleabilidad de los egresados. Entendemos que el curr\u00edculo universitario debe estar en concordancia con las demandas de empleo y autoempleo, y m\u00e1s a\u00fan en niveles educativos superiores. Presentamos un an\u00e1lisis en el que, tras definir conceptualmente los t\u00e9rminos competencia y empleabilidad, nos centramos en la competencia comunicativa. La instituci\u00f3n universitaria es percibida como responsable de responder al mercado laboral europeo adecuando sus criterios y preparando a sus estudiantes para el futuro laboral. Consideramos que las habilidades comunicativas pueden ayudar en gran medida a que los nuevos egresados universitarios desarrollen sus potenciales tanto en el \u00e1mbito social como laboral. Adem\u00e1s hemos encontrado que, independientemente del puesto de trabajo al que nos refiramos, unas de las aptitudes m\u00e1s solicitadas en el \u00e1mbito laboral son las relacionadas con las relaciones interpersonales, la capacidad de adaptaci\u00f3n, las destrezas para la negociaci\u00f3n. Tambi\u00e9n han sido estudiadas de forma concisa la competencia comunicativa desde los enfoques pedag\u00f3gico, ling\u00fc\u00edstico y comunicativo. Tras este an\u00e1lisis nos parece adecuado defender la importancia que la competencia comunicativa debe adquirir en el nuevo contexto educativo para mejorar la empleabilidad y futura fuerza productiva de los egre\u2026", "author" : [ { "dropping-particle" : "", "family" : "Mart\u00edn", "given" : "Rosa Dom\u00ednguez", "non-dropping-particle" : "", "parse-names" : false, "suffix" : "" } ], "container-title" : "Procedia - Social and Behavioral Sciences", "id" : "ITEM-1", "issued" : { "date-parts" : [ [ "2014" ] ] }, "page" : "387-394", "title" : "The Importance of Communication Competency for Employability", "type" : "article-journal", "volume" : "139" }, "uris" : [ "http://www.mendeley.com/documents/?uuid=db567b3b-6ce7-4227-9666-bcb45564962b" ] } ], "mendeley" : { "formattedCitation" : "[17]", "plainTextFormattedCitation" : "[17]", "previouslyFormattedCitation" : "(Mart\u00edn, 2014)" }, "properties" : { "noteIndex" : 0 }, "schema" : "https://github.com/citation-style-language/schema/raw/master/csl-citation.json" }</w:instrText>
      </w:r>
      <w:r w:rsidR="00CD5B25">
        <w:rPr>
          <w:rFonts w:ascii="Times New Roman" w:eastAsia="Times New Roman" w:hAnsi="Times New Roman" w:cs="Times New Roman"/>
          <w:color w:val="000000"/>
          <w:lang w:val="id-ID"/>
        </w:rPr>
        <w:fldChar w:fldCharType="separate"/>
      </w:r>
      <w:r w:rsidR="008E7EC5" w:rsidRPr="008E7EC5">
        <w:rPr>
          <w:rFonts w:ascii="Times New Roman" w:eastAsia="Times New Roman" w:hAnsi="Times New Roman" w:cs="Times New Roman"/>
          <w:noProof/>
          <w:color w:val="000000"/>
          <w:lang w:val="id-ID"/>
        </w:rPr>
        <w:t>[17]</w:t>
      </w:r>
      <w:r w:rsidR="00CD5B25">
        <w:rPr>
          <w:rFonts w:ascii="Times New Roman" w:eastAsia="Times New Roman" w:hAnsi="Times New Roman" w:cs="Times New Roman"/>
          <w:color w:val="000000"/>
          <w:lang w:val="id-ID"/>
        </w:rPr>
        <w:fldChar w:fldCharType="end"/>
      </w:r>
      <w:r w:rsidRPr="00C56575">
        <w:rPr>
          <w:rFonts w:ascii="Times New Roman" w:eastAsia="Times New Roman" w:hAnsi="Times New Roman" w:cs="Times New Roman"/>
          <w:color w:val="000000"/>
          <w:lang w:val="id-ID"/>
        </w:rPr>
        <w:t xml:space="preserve">. In line with this, the findings of Ismail &amp; Mohammed </w:t>
      </w:r>
      <w:r w:rsidR="009233C5">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"DOI" : "10.1016/j.sbspro.2015.08.111", "ISSN" : "18770428", "abstract" : "In the 21st century, employability skill is the most required skill besides technical knowledge in an attempt to compete for employment and sustain job at the industrial global market. However, Nigerian TVET graduates are not equipped with the employability skills needed by the industries and as a result, they are not ready to enter into workforce. This concept paper is written to discuss how the curriculum of one of TVET programmes at the Federal Universities of Technology in Nigeria, which is Electrical Technology Education has contributed to this issue. Analytical review on Electrical Technology Education programme curriculum showed that the curriculum gave less attention to practice based courses that provide skills of the programme than theory based courses and no course in the programme curriculum that directly teaches good attitudes and traits. As a result, there is lack of incorporation of employability skills such as Problem solving and decision making, Lifelong learning and Competencies amongst the graduates. Other issues discussed are the need of employability skills in TVET curriculum of Nigeria, employability skills, Electrical Technology Education in Nigeria, and the analysis of Electrical Technology Education curriculum in Nigeria The last part of this paper is recommendation for the curriculum of Electrical Technology Education to be designed with equal number of theory and practice courses by giving emphasize on all eleven generic skills, good traits and attitudes.", "author" : [ { "dropping-particle" : "", "family" : "Ismail", "given" : "Sarimah", "non-dropping-particle" : "", "parse-names" : false, "suffix" : "" }, { "dropping-particle" : "", "family" : "Mohammed", "given" : "Dahiru Sale", "non-dropping-particle" : "", "parse-names" : false, "suffix" : "" } ], "container-title" : "Procedia - Social and Behavioral Sciences", "id" : "ITEM-1", "issued" : { "date-parts" : [ [ "2015" ] ] }, "page" : "73-80", "title" : "Employability Skills in TVET Curriculum in Nigeria Federal Universities of Technology", "type" : "article-journal", "volume" : "204" }, "uris" : [ "http://www.mendeley.com/documents/?uuid=9c514d68-b62a-44a4-8d8e-6ac11059c333" ] } ], "mendeley" : { "formattedCitation" : "[18]", "manualFormatting" : "(2015)", "plainTextFormattedCitation" : "[18]", "previouslyFormattedCitation" : "(Ismail &amp; Mohammed, 2015)" }, "properties" : { "noteIndex" : 0 }, "schema" : "https://github.com/citation-style-language/schema/raw/master/csl-citation.json" }</w:instrText>
      </w:r>
      <w:r w:rsidR="009233C5">
        <w:rPr>
          <w:rFonts w:ascii="Times New Roman" w:eastAsia="Times New Roman" w:hAnsi="Times New Roman" w:cs="Times New Roman"/>
          <w:color w:val="000000"/>
          <w:lang w:val="id-ID"/>
        </w:rPr>
        <w:fldChar w:fldCharType="separate"/>
      </w:r>
      <w:r w:rsidR="009233C5">
        <w:rPr>
          <w:rFonts w:ascii="Times New Roman" w:eastAsia="Times New Roman" w:hAnsi="Times New Roman" w:cs="Times New Roman"/>
          <w:noProof/>
          <w:color w:val="000000"/>
          <w:lang w:val="id-ID"/>
        </w:rPr>
        <w:t>(</w:t>
      </w:r>
      <w:r w:rsidR="009233C5" w:rsidRPr="009233C5">
        <w:rPr>
          <w:rFonts w:ascii="Times New Roman" w:eastAsia="Times New Roman" w:hAnsi="Times New Roman" w:cs="Times New Roman"/>
          <w:noProof/>
          <w:color w:val="000000"/>
          <w:lang w:val="id-ID"/>
        </w:rPr>
        <w:t>2015)</w:t>
      </w:r>
      <w:r w:rsidR="009233C5">
        <w:rPr>
          <w:rFonts w:ascii="Times New Roman" w:eastAsia="Times New Roman" w:hAnsi="Times New Roman" w:cs="Times New Roman"/>
          <w:color w:val="000000"/>
          <w:lang w:val="id-ID"/>
        </w:rPr>
        <w:fldChar w:fldCharType="end"/>
      </w:r>
      <w:r w:rsidRPr="00C56575">
        <w:rPr>
          <w:rFonts w:ascii="Times New Roman" w:eastAsia="Times New Roman" w:hAnsi="Times New Roman" w:cs="Times New Roman"/>
          <w:color w:val="000000"/>
          <w:lang w:val="id-ID"/>
        </w:rPr>
        <w:t xml:space="preserve"> state that the lack of problem-solving skills, decision-making, and more specific skills in their area of expertise causes graduates to not be optimally absorbed as the industrial revolution accelerates. Another factor that influences the degree of absorption of graduates is emotional intelligence. Jameson et al </w:t>
      </w:r>
      <w:r w:rsidR="00C858BB">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"DOI" : "10.1016/j.sbspro.2016.07.079", "ISSN" : "18770428", "abstract" : "Research has demonstrated that employers favour graduates who possess higher levels of emotional intelligence. Many initiatives to increase students\u2019 levels of EI have involved \u2018whole school\u2019 approaches, whereby generic EI skills programmes are delivered to all students in a third level institute. This paper details an initial survey of employers\u2019 (n = 500) opinions on the importance and current level of graduates\u2019 social and emotional competencies. The survey was completed across five sectors: engineering, IT/computing, professional services (including accounting, business, finance, HR, law, retail), science (including pharmaceutical and life), and social science which are identified growth industries in Ireland. It sought to explore employers\u2019 perspectives to determine if there are differences in terms of social and emotional competency requirements among graduates, across different employment sectors. Preliminary survey findings demonstrated a major disparity between the degree of importance attributed by employers to emotional intelligence competencies and the current levels displayed by graduate employees. This potentially represents a significant opportunity to enable students to develop those specific skills most favoured by employers in their chosen career areas, thereby possibly increasing their employability and success at work.", "author" : [ { "dropping-particle" : "", "family" : "Jameson", "given" : "Ailish", "non-dropping-particle" : "", "parse-names" : false, "suffix" : "" }, { "dropping-particle" : "", "family" : "Carthy", "given" : "Aiden", "non-dropping-particle" : "", "parse-names" : false, "suffix" : "" }, { "dropping-particle" : "", "family" : "McGuinness", "given" : "Colm", "non-dropping-particle" : "", "parse-names" : false, "suffix" : "" }, { "dropping-particle" : "", "family" : "McSweeney", "given" : "Fiona", "non-dropping-particle" : "", "parse-names" : false, "suffix" : "" } ], "container-title" : "Procedia - Social and Behavioral Sciences", "id" : "ITEM-1", "issued" : { "date-parts" : [ [ "2016" ] ] }, "page" : "515-522", "title" : "Emotional Intelligence and Graduates \u2013 Employers\u2019 Perspectives", "type" : "article-journal", "volume" : "228" }, "uris" : [ "http://www.mendeley.com/documents/?uuid=6ed9dadc-4868-4a13-ad12-12882df51603" ] } ], "mendeley" : { "formattedCitation" : "[19]", "manualFormatting" : "(2016)", "plainTextFormattedCitation" : "[19]", "previouslyFormattedCitation" : "(Jameson et al., 2016)" }, "properties" : { "noteIndex" : 0 }, "schema" : "https://github.com/citation-style-language/schema/raw/master/csl-citation.json" }</w:instrText>
      </w:r>
      <w:r w:rsidR="00C858BB">
        <w:rPr>
          <w:rFonts w:ascii="Times New Roman" w:eastAsia="Times New Roman" w:hAnsi="Times New Roman" w:cs="Times New Roman"/>
          <w:color w:val="000000"/>
          <w:lang w:val="id-ID"/>
        </w:rPr>
        <w:fldChar w:fldCharType="separate"/>
      </w:r>
      <w:r w:rsidR="00C858BB">
        <w:rPr>
          <w:rFonts w:ascii="Times New Roman" w:eastAsia="Times New Roman" w:hAnsi="Times New Roman" w:cs="Times New Roman"/>
          <w:noProof/>
          <w:color w:val="000000"/>
          <w:lang w:val="id-ID"/>
        </w:rPr>
        <w:t>(</w:t>
      </w:r>
      <w:r w:rsidR="00C858BB" w:rsidRPr="00C858BB">
        <w:rPr>
          <w:rFonts w:ascii="Times New Roman" w:eastAsia="Times New Roman" w:hAnsi="Times New Roman" w:cs="Times New Roman"/>
          <w:noProof/>
          <w:color w:val="000000"/>
          <w:lang w:val="id-ID"/>
        </w:rPr>
        <w:t>2016)</w:t>
      </w:r>
      <w:r w:rsidR="00C858BB">
        <w:rPr>
          <w:rFonts w:ascii="Times New Roman" w:eastAsia="Times New Roman" w:hAnsi="Times New Roman" w:cs="Times New Roman"/>
          <w:color w:val="000000"/>
          <w:lang w:val="id-ID"/>
        </w:rPr>
        <w:fldChar w:fldCharType="end"/>
      </w:r>
      <w:r w:rsidRPr="00C56575">
        <w:rPr>
          <w:rFonts w:ascii="Times New Roman" w:eastAsia="Times New Roman" w:hAnsi="Times New Roman" w:cs="Times New Roman"/>
          <w:color w:val="000000"/>
          <w:lang w:val="id-ID"/>
        </w:rPr>
        <w:t xml:space="preserve"> in their research showed that employers prefer graduates who have a high level of emotional intelligence based on the 500 </w:t>
      </w:r>
      <w:r w:rsidR="00800C6E">
        <w:rPr>
          <w:rFonts w:ascii="Times New Roman" w:eastAsia="Times New Roman" w:hAnsi="Times New Roman" w:cs="Times New Roman"/>
          <w:color w:val="000000"/>
          <w:lang w:val="id-ID"/>
        </w:rPr>
        <w:t>industry</w:t>
      </w:r>
      <w:r w:rsidRPr="00C56575">
        <w:rPr>
          <w:rFonts w:ascii="Times New Roman" w:eastAsia="Times New Roman" w:hAnsi="Times New Roman" w:cs="Times New Roman"/>
          <w:color w:val="000000"/>
          <w:lang w:val="id-ID"/>
        </w:rPr>
        <w:t xml:space="preserve"> survey results in Ireland. In addition to academic factors and competencies, the gender factor also influences the absorption rate of graduates in </w:t>
      </w:r>
      <w:r w:rsidR="00800C6E">
        <w:rPr>
          <w:rFonts w:ascii="Times New Roman" w:eastAsia="Times New Roman" w:hAnsi="Times New Roman" w:cs="Times New Roman"/>
          <w:color w:val="000000"/>
          <w:lang w:val="id-ID"/>
        </w:rPr>
        <w:t>industry</w:t>
      </w:r>
      <w:r w:rsidRPr="00C56575">
        <w:rPr>
          <w:rFonts w:ascii="Times New Roman" w:eastAsia="Times New Roman" w:hAnsi="Times New Roman" w:cs="Times New Roman"/>
          <w:color w:val="000000"/>
          <w:lang w:val="id-ID"/>
        </w:rPr>
        <w:t>. Th</w:t>
      </w:r>
      <w:r w:rsidR="00A9130B">
        <w:rPr>
          <w:rFonts w:ascii="Times New Roman" w:eastAsia="Times New Roman" w:hAnsi="Times New Roman" w:cs="Times New Roman"/>
          <w:color w:val="000000"/>
          <w:lang w:val="id-ID"/>
        </w:rPr>
        <w:t>e findings of the research of A</w:t>
      </w:r>
      <w:r w:rsidRPr="00C56575">
        <w:rPr>
          <w:rFonts w:ascii="Times New Roman" w:eastAsia="Times New Roman" w:hAnsi="Times New Roman" w:cs="Times New Roman"/>
          <w:color w:val="000000"/>
          <w:lang w:val="id-ID"/>
        </w:rPr>
        <w:t xml:space="preserve">ber et al </w:t>
      </w:r>
      <w:r w:rsidR="00A9130B">
        <w:rPr>
          <w:rFonts w:ascii="Times New Roman" w:eastAsia="Times New Roman" w:hAnsi="Times New Roman" w:cs="Times New Roman"/>
          <w:color w:val="000000"/>
          <w:lang w:val="id-ID"/>
        </w:rPr>
        <w:fldChar w:fldCharType="begin" w:fldLock="1"/>
      </w:r>
      <w:r w:rsidR="008E7EC5">
        <w:rPr>
          <w:rFonts w:ascii="Times New Roman" w:eastAsia="Times New Roman" w:hAnsi="Times New Roman" w:cs="Times New Roman"/>
          <w:color w:val="000000"/>
          <w:lang w:val="id-ID"/>
        </w:rPr>
        <w:instrText>ADDIN CSL_CITATION { "citationItems" : [ { "id" : "ITEM-1", "itemData" : { "DOI" : "10.1108/EDI-08-2017-0159", "ISSN" : "2040-7149", "abstract" : "Purpose The purpose of this paper is to explore the effectiveness of the Saudi employment programme \u201cNitaqat\u201d in addressing institutional barriers to women\u2019s employment in the Saudi private sector. The paper has a particular focus on the perspectives of unemployed women as the intended recipients of increased employment opportunities.Design/methodology/approach This paper adopts a qualitative approach, drawing on findings from face-to-face interviews conducted with two groups of stakeholders, government officials and unemployed Saudi women.Findings Four key findings are identified. First, the considerable cultural and regulatory barriers of a conservative society are resilient impediments to the success of Saudi employment policy. Second, discrimination against women is endemic in the Saudi society; however, it is largely unrecognised within the Saudi culture and often accepted by women themselves. Third, due to government regulations, cultural constraints and the gendered educational system, the private sector contributes to sustaining labour market segmentation through discriminatory practices. Finally, while a positive change is taking place in Saudi Arabia regarding women\u2019s employment, it is incremental and uneven.Originality/value This paper provides new insights into the institutional barriers related to the labour force participation of Saudi women from the perspective of Saudi women themselves.", "author" : [ { "dropping-particle" : "", "family" : "Abeer", "given" : "Alfarran", "non-dropping-particle" : "", "parse-names" : false, "suffix" : "" }, { "dropping-particle" : "", "family" : "Joanne", "given" : "Pyke", "non-dropping-particle" : "", "parse-names" : false, "suffix" : "" }, { "dropping-particle" : "", "family" : "Pauline", "given" : "Stanton", "non-dropping-particle" : "", "parse-names" : false, "suffix" : "" } ], "container-title" : "Equality, Diversity and Inclusion: An International Journal", "id" : "ITEM-1", "issue" : "7", "issued" : { "date-parts" : [ [ "2018", "1", "1" ] ] }, "page" : "713-727", "publisher" : "Emerald Publishing Limited", "title" : "Institutional barriers to women\u2019s employment in Saudi Arabia", "type" : "article-journal", "volume" : "37" }, "uris" : [ "http://www.mendeley.com/documents/?uuid=33a0c921-8533-4ec2-af6a-0a04e24019f6" ] } ], "mendeley" : { "formattedCitation" : "[20]", "manualFormatting" : "(2018)", "plainTextFormattedCitation" : "[20]", "previouslyFormattedCitation" : "(Abeer et al., 2018)" }, "properties" : { "noteIndex" : 0 }, "schema" : "https://github.com/citation-style-language/schema/raw/master/csl-citation.json" }</w:instrText>
      </w:r>
      <w:r w:rsidR="00A9130B">
        <w:rPr>
          <w:rFonts w:ascii="Times New Roman" w:eastAsia="Times New Roman" w:hAnsi="Times New Roman" w:cs="Times New Roman"/>
          <w:color w:val="000000"/>
          <w:lang w:val="id-ID"/>
        </w:rPr>
        <w:fldChar w:fldCharType="separate"/>
      </w:r>
      <w:r w:rsidR="00A9130B">
        <w:rPr>
          <w:rFonts w:ascii="Times New Roman" w:eastAsia="Times New Roman" w:hAnsi="Times New Roman" w:cs="Times New Roman"/>
          <w:noProof/>
          <w:color w:val="000000"/>
          <w:lang w:val="id-ID"/>
        </w:rPr>
        <w:t>(</w:t>
      </w:r>
      <w:r w:rsidR="00A9130B" w:rsidRPr="00A9130B">
        <w:rPr>
          <w:rFonts w:ascii="Times New Roman" w:eastAsia="Times New Roman" w:hAnsi="Times New Roman" w:cs="Times New Roman"/>
          <w:noProof/>
          <w:color w:val="000000"/>
          <w:lang w:val="id-ID"/>
        </w:rPr>
        <w:t>2018)</w:t>
      </w:r>
      <w:r w:rsidR="00A9130B">
        <w:rPr>
          <w:rFonts w:ascii="Times New Roman" w:eastAsia="Times New Roman" w:hAnsi="Times New Roman" w:cs="Times New Roman"/>
          <w:color w:val="000000"/>
          <w:lang w:val="id-ID"/>
        </w:rPr>
        <w:fldChar w:fldCharType="end"/>
      </w:r>
      <w:r w:rsidR="00A9130B">
        <w:rPr>
          <w:rFonts w:ascii="Times New Roman" w:eastAsia="Times New Roman" w:hAnsi="Times New Roman" w:cs="Times New Roman"/>
          <w:color w:val="000000"/>
          <w:lang w:val="id-ID"/>
        </w:rPr>
        <w:t xml:space="preserve"> </w:t>
      </w:r>
      <w:r w:rsidRPr="00C56575">
        <w:rPr>
          <w:rFonts w:ascii="Times New Roman" w:eastAsia="Times New Roman" w:hAnsi="Times New Roman" w:cs="Times New Roman"/>
          <w:color w:val="000000"/>
          <w:lang w:val="id-ID"/>
        </w:rPr>
        <w:t xml:space="preserve"> show that there is still discrimination against gender even though on a small scale in the industry.</w:t>
      </w:r>
      <w:r w:rsidRPr="00C56575">
        <w:rPr>
          <w:rFonts w:ascii="Times New Roman" w:eastAsia="Times New Roman" w:hAnsi="Times New Roman" w:cs="Times New Roman"/>
          <w:color w:val="000000"/>
          <w:lang w:val="id-ID"/>
        </w:rPr>
        <w:cr/>
        <w:t xml:space="preserve">This finding is in line with the results of observations, which is directly proportional to job vacancies in the field of ordering or industrial machinery that dominates in the special job market at </w:t>
      </w:r>
      <w:r w:rsidR="003C338A">
        <w:rPr>
          <w:rFonts w:ascii="Times New Roman" w:eastAsia="Times New Roman" w:hAnsi="Times New Roman" w:cs="Times New Roman"/>
          <w:color w:val="000000"/>
          <w:lang w:val="id-ID"/>
        </w:rPr>
        <w:t>VHS</w:t>
      </w:r>
      <w:r w:rsidRPr="00C56575">
        <w:rPr>
          <w:rFonts w:ascii="Times New Roman" w:eastAsia="Times New Roman" w:hAnsi="Times New Roman" w:cs="Times New Roman"/>
          <w:color w:val="000000"/>
          <w:lang w:val="id-ID"/>
        </w:rPr>
        <w:t xml:space="preserve">. Special job fairs help students bring together fields of work that are appropriate to their fields. The lowest labor absorption rate was obtained from </w:t>
      </w:r>
      <w:r w:rsidR="00A9130B">
        <w:rPr>
          <w:rFonts w:ascii="Times New Roman" w:eastAsia="Times New Roman" w:hAnsi="Times New Roman" w:cs="Times New Roman"/>
          <w:color w:val="000000"/>
          <w:lang w:val="id-ID"/>
        </w:rPr>
        <w:t>BDE</w:t>
      </w:r>
      <w:r w:rsidRPr="00C56575">
        <w:rPr>
          <w:rFonts w:ascii="Times New Roman" w:eastAsia="Times New Roman" w:hAnsi="Times New Roman" w:cs="Times New Roman"/>
          <w:color w:val="000000"/>
          <w:lang w:val="id-ID"/>
        </w:rPr>
        <w:t xml:space="preserve"> expertise program graduates, namely only 65.20% with details of 48 graduates obtaining jobs according to their expertise program, 85 graduates working not in accordance with their expertise program, 18 people went on to tertiary education, 22 were entrepreneurs, and 31 people were not recorded in the tracer study. A summary of graduates' details from the </w:t>
      </w:r>
      <w:r w:rsidR="00A9130B">
        <w:rPr>
          <w:rFonts w:ascii="Times New Roman" w:eastAsia="Times New Roman" w:hAnsi="Times New Roman" w:cs="Times New Roman"/>
          <w:color w:val="000000"/>
          <w:lang w:val="id-ID"/>
        </w:rPr>
        <w:t>BDE</w:t>
      </w:r>
      <w:r w:rsidRPr="00C56575">
        <w:rPr>
          <w:rFonts w:ascii="Times New Roman" w:eastAsia="Times New Roman" w:hAnsi="Times New Roman" w:cs="Times New Roman"/>
          <w:color w:val="000000"/>
          <w:lang w:val="id-ID"/>
        </w:rPr>
        <w:t xml:space="preserve"> expertise program can be seen in Figure 4 below.</w:t>
      </w:r>
    </w:p>
    <w:p w:rsidR="00C56575" w:rsidRDefault="00C63500" w:rsidP="00C63500">
      <w:pPr>
        <w:spacing w:after="0"/>
        <w:jc w:val="center"/>
        <w:rPr>
          <w:rFonts w:ascii="Times New Roman" w:eastAsia="Times New Roman" w:hAnsi="Times New Roman" w:cs="Times New Roman"/>
          <w:color w:val="000000"/>
          <w:lang w:val="id-ID"/>
        </w:rPr>
      </w:pPr>
      <w:r>
        <w:rPr>
          <w:rFonts w:ascii="Times New Roman" w:eastAsia="Times New Roman" w:hAnsi="Times New Roman" w:cs="Times New Roman"/>
          <w:noProof/>
          <w:color w:val="000000"/>
          <w:lang w:val="id-ID"/>
        </w:rPr>
        <w:lastRenderedPageBreak/>
        <w:drawing>
          <wp:inline distT="0" distB="0" distL="0" distR="0" wp14:anchorId="37BE8F41" wp14:editId="248A8EA6">
            <wp:extent cx="3944203" cy="1571851"/>
            <wp:effectExtent l="19050" t="19050" r="1841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57034" cy="1576964"/>
                    </a:xfrm>
                    <a:prstGeom prst="rect">
                      <a:avLst/>
                    </a:prstGeom>
                    <a:ln w="3175" cap="sq">
                      <a:solidFill>
                        <a:srgbClr val="000000"/>
                      </a:solidFill>
                      <a:miter lim="800000"/>
                    </a:ln>
                    <a:effectLst/>
                  </pic:spPr>
                </pic:pic>
              </a:graphicData>
            </a:graphic>
          </wp:inline>
        </w:drawing>
      </w:r>
    </w:p>
    <w:p w:rsidR="00A47EAB" w:rsidRDefault="00A47EAB" w:rsidP="00A9130B">
      <w:pPr>
        <w:spacing w:after="240"/>
        <w:jc w:val="center"/>
        <w:rPr>
          <w:rFonts w:ascii="Times New Roman" w:eastAsia="Times New Roman" w:hAnsi="Times New Roman" w:cs="Times New Roman"/>
          <w:color w:val="000000"/>
          <w:lang w:val="id-ID"/>
        </w:rPr>
      </w:pPr>
      <w:r w:rsidRPr="00A9130B">
        <w:rPr>
          <w:rFonts w:ascii="Times New Roman" w:eastAsia="Times New Roman" w:hAnsi="Times New Roman" w:cs="Times New Roman"/>
          <w:b/>
          <w:bCs/>
          <w:color w:val="000000"/>
          <w:lang w:val="id-ID"/>
        </w:rPr>
        <w:t>Figure 4</w:t>
      </w:r>
      <w:r>
        <w:rPr>
          <w:rFonts w:ascii="Times New Roman" w:eastAsia="Times New Roman" w:hAnsi="Times New Roman" w:cs="Times New Roman"/>
          <w:color w:val="000000"/>
          <w:lang w:val="id-ID"/>
        </w:rPr>
        <w:t xml:space="preserve">. </w:t>
      </w:r>
      <w:r w:rsidR="003D7551" w:rsidRPr="003D7551">
        <w:rPr>
          <w:rFonts w:ascii="Times New Roman" w:eastAsia="Times New Roman" w:hAnsi="Times New Roman" w:cs="Times New Roman"/>
          <w:color w:val="000000"/>
          <w:lang w:val="id-ID"/>
        </w:rPr>
        <w:t xml:space="preserve">Recapitulation of </w:t>
      </w:r>
      <w:r w:rsidR="00A9130B">
        <w:rPr>
          <w:rFonts w:ascii="Times New Roman" w:eastAsia="Times New Roman" w:hAnsi="Times New Roman" w:cs="Times New Roman"/>
          <w:color w:val="000000"/>
          <w:lang w:val="id-ID"/>
        </w:rPr>
        <w:t>BDE</w:t>
      </w:r>
      <w:r w:rsidR="003D7551" w:rsidRPr="003D7551">
        <w:rPr>
          <w:rFonts w:ascii="Times New Roman" w:eastAsia="Times New Roman" w:hAnsi="Times New Roman" w:cs="Times New Roman"/>
          <w:color w:val="000000"/>
          <w:lang w:val="id-ID"/>
        </w:rPr>
        <w:t xml:space="preserve"> expertise program graduates</w:t>
      </w:r>
      <w:r>
        <w:rPr>
          <w:rFonts w:ascii="Times New Roman" w:eastAsia="Times New Roman" w:hAnsi="Times New Roman" w:cs="Times New Roman"/>
          <w:color w:val="000000"/>
          <w:lang w:val="id-ID"/>
        </w:rPr>
        <w:t xml:space="preserve"> </w:t>
      </w:r>
    </w:p>
    <w:p w:rsidR="00860F36" w:rsidRDefault="006D740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rsidR="00860F36" w:rsidRDefault="00A9130B" w:rsidP="00A9130B">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Absorption of </w:t>
      </w:r>
      <w:r>
        <w:rPr>
          <w:rFonts w:ascii="Times New Roman" w:eastAsia="Times New Roman" w:hAnsi="Times New Roman" w:cs="Times New Roman"/>
          <w:color w:val="000000"/>
          <w:lang w:val="id-ID"/>
        </w:rPr>
        <w:t xml:space="preserve">VHS </w:t>
      </w:r>
      <w:proofErr w:type="gramStart"/>
      <w:r>
        <w:rPr>
          <w:rFonts w:ascii="Times New Roman" w:eastAsia="Times New Roman" w:hAnsi="Times New Roman" w:cs="Times New Roman"/>
          <w:color w:val="000000"/>
        </w:rPr>
        <w:t xml:space="preserve">graduates </w:t>
      </w:r>
      <w:r>
        <w:rPr>
          <w:rFonts w:ascii="Times New Roman" w:eastAsia="Times New Roman" w:hAnsi="Times New Roman" w:cs="Times New Roman"/>
          <w:color w:val="000000"/>
          <w:lang w:val="id-ID"/>
        </w:rPr>
        <w:t xml:space="preserve"> in</w:t>
      </w:r>
      <w:proofErr w:type="gramEnd"/>
      <w:r>
        <w:rPr>
          <w:rFonts w:ascii="Times New Roman" w:eastAsia="Times New Roman" w:hAnsi="Times New Roman" w:cs="Times New Roman"/>
          <w:color w:val="000000"/>
          <w:lang w:val="id-ID"/>
        </w:rPr>
        <w:t xml:space="preserve"> </w:t>
      </w:r>
      <w:r w:rsidR="00C56575" w:rsidRPr="00C56575">
        <w:rPr>
          <w:rFonts w:ascii="Times New Roman" w:eastAsia="Times New Roman" w:hAnsi="Times New Roman" w:cs="Times New Roman"/>
          <w:color w:val="000000"/>
        </w:rPr>
        <w:t xml:space="preserve">Jombang </w:t>
      </w:r>
      <w:r>
        <w:rPr>
          <w:rFonts w:ascii="Times New Roman" w:eastAsia="Times New Roman" w:hAnsi="Times New Roman" w:cs="Times New Roman"/>
          <w:color w:val="000000"/>
          <w:lang w:val="id-ID"/>
        </w:rPr>
        <w:t xml:space="preserve">Distric </w:t>
      </w:r>
      <w:r w:rsidR="00C56575" w:rsidRPr="00C56575">
        <w:rPr>
          <w:rFonts w:ascii="Times New Roman" w:eastAsia="Times New Roman" w:hAnsi="Times New Roman" w:cs="Times New Roman"/>
          <w:color w:val="000000"/>
        </w:rPr>
        <w:t xml:space="preserve">is quite high because it is included in the category of most of the graduates can be absorbed by </w:t>
      </w:r>
      <w:r w:rsidR="00800C6E">
        <w:rPr>
          <w:rFonts w:ascii="Times New Roman" w:eastAsia="Times New Roman" w:hAnsi="Times New Roman" w:cs="Times New Roman"/>
          <w:color w:val="000000"/>
        </w:rPr>
        <w:t>industry</w:t>
      </w:r>
      <w:r w:rsidR="00C56575" w:rsidRPr="00C56575">
        <w:rPr>
          <w:rFonts w:ascii="Times New Roman" w:eastAsia="Times New Roman" w:hAnsi="Times New Roman" w:cs="Times New Roman"/>
          <w:color w:val="000000"/>
        </w:rPr>
        <w:t xml:space="preserve"> with the greatest absorption rate of </w:t>
      </w:r>
      <w:r>
        <w:rPr>
          <w:rFonts w:ascii="Times New Roman" w:eastAsia="Times New Roman" w:hAnsi="Times New Roman" w:cs="Times New Roman"/>
          <w:color w:val="000000"/>
          <w:lang w:val="id-ID"/>
        </w:rPr>
        <w:t>ME</w:t>
      </w:r>
      <w:r w:rsidR="00C56575" w:rsidRPr="00C56575">
        <w:rPr>
          <w:rFonts w:ascii="Times New Roman" w:eastAsia="Times New Roman" w:hAnsi="Times New Roman" w:cs="Times New Roman"/>
          <w:color w:val="000000"/>
        </w:rPr>
        <w:t xml:space="preserve"> expertise programs in the amount of 94.97% and the lowest absorption rate of </w:t>
      </w:r>
      <w:r>
        <w:rPr>
          <w:rFonts w:ascii="Times New Roman" w:eastAsia="Times New Roman" w:hAnsi="Times New Roman" w:cs="Times New Roman"/>
          <w:color w:val="000000"/>
          <w:lang w:val="id-ID"/>
        </w:rPr>
        <w:t>BDE</w:t>
      </w:r>
      <w:r w:rsidR="00C56575" w:rsidRPr="00C56575">
        <w:rPr>
          <w:rFonts w:ascii="Times New Roman" w:eastAsia="Times New Roman" w:hAnsi="Times New Roman" w:cs="Times New Roman"/>
          <w:color w:val="000000"/>
        </w:rPr>
        <w:t xml:space="preserve"> expertise programs at 65.20%. However, the absorption of </w:t>
      </w:r>
      <w:r w:rsidR="00800C6E">
        <w:rPr>
          <w:rFonts w:ascii="Times New Roman" w:eastAsia="Times New Roman" w:hAnsi="Times New Roman" w:cs="Times New Roman"/>
          <w:color w:val="000000"/>
        </w:rPr>
        <w:t>industry</w:t>
      </w:r>
      <w:r w:rsidR="00C56575" w:rsidRPr="00C56575">
        <w:rPr>
          <w:rFonts w:ascii="Times New Roman" w:eastAsia="Times New Roman" w:hAnsi="Times New Roman" w:cs="Times New Roman"/>
          <w:color w:val="000000"/>
        </w:rPr>
        <w:t xml:space="preserve"> graduates outside Jombang Regency still dominates. This result is supported by data on employment or recruitment needed by industries outside Jombang Regency. All skills program graduates (except </w:t>
      </w:r>
      <w:r>
        <w:rPr>
          <w:rFonts w:ascii="Times New Roman" w:eastAsia="Times New Roman" w:hAnsi="Times New Roman" w:cs="Times New Roman"/>
          <w:color w:val="000000"/>
          <w:lang w:val="id-ID"/>
        </w:rPr>
        <w:t>CPB</w:t>
      </w:r>
      <w:r w:rsidR="00C56575" w:rsidRPr="00C56575">
        <w:rPr>
          <w:rFonts w:ascii="Times New Roman" w:eastAsia="Times New Roman" w:hAnsi="Times New Roman" w:cs="Times New Roman"/>
          <w:color w:val="000000"/>
        </w:rPr>
        <w:t xml:space="preserve">) are able to transfer needed labor outside their home region. So the limitations and further research opportunities are how the role and management of the job market specifically in increasing the level of absorption of graduates, especially labor needed in their own region.  </w:t>
      </w:r>
    </w:p>
    <w:p w:rsidR="00860F36" w:rsidRDefault="00860F36">
      <w:pPr>
        <w:spacing w:after="0"/>
        <w:rPr>
          <w:rFonts w:ascii="Times New Roman" w:eastAsia="Times New Roman" w:hAnsi="Times New Roman" w:cs="Times New Roman"/>
          <w:color w:val="000000"/>
        </w:rPr>
      </w:pPr>
    </w:p>
    <w:p w:rsidR="00860F36" w:rsidRDefault="006D740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rsidR="008E7EC5" w:rsidRPr="008E7EC5" w:rsidRDefault="009138DC"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eastAsia="Times New Roman" w:hAnsi="Times New Roman" w:cs="Times New Roman"/>
          <w:color w:val="000000"/>
          <w:highlight w:val="yellow"/>
          <w:lang w:val="id-ID"/>
        </w:rPr>
        <w:fldChar w:fldCharType="begin" w:fldLock="1"/>
      </w:r>
      <w:r>
        <w:rPr>
          <w:rFonts w:ascii="Times New Roman" w:eastAsia="Times New Roman" w:hAnsi="Times New Roman" w:cs="Times New Roman"/>
          <w:color w:val="000000"/>
          <w:highlight w:val="yellow"/>
          <w:lang w:val="id-ID"/>
        </w:rPr>
        <w:instrText xml:space="preserve">ADDIN Mendeley Bibliography CSL_BIBLIOGRAPHY </w:instrText>
      </w:r>
      <w:r>
        <w:rPr>
          <w:rFonts w:ascii="Times New Roman" w:eastAsia="Times New Roman" w:hAnsi="Times New Roman" w:cs="Times New Roman"/>
          <w:color w:val="000000"/>
          <w:highlight w:val="yellow"/>
          <w:lang w:val="id-ID"/>
        </w:rPr>
        <w:fldChar w:fldCharType="separate"/>
      </w:r>
      <w:r w:rsidR="008E7EC5" w:rsidRPr="008E7EC5">
        <w:rPr>
          <w:rFonts w:ascii="Times New Roman" w:hAnsi="Times New Roman" w:cs="Times New Roman"/>
          <w:noProof/>
          <w:szCs w:val="24"/>
        </w:rPr>
        <w:t>[1]</w:t>
      </w:r>
      <w:r w:rsidR="008E7EC5" w:rsidRPr="008E7EC5">
        <w:rPr>
          <w:rFonts w:ascii="Times New Roman" w:hAnsi="Times New Roman" w:cs="Times New Roman"/>
          <w:noProof/>
          <w:szCs w:val="24"/>
        </w:rPr>
        <w:tab/>
        <w:t xml:space="preserve">H. Bawadi </w:t>
      </w:r>
      <w:r w:rsidR="008E7EC5" w:rsidRPr="008E7EC5">
        <w:rPr>
          <w:rFonts w:ascii="Times New Roman" w:hAnsi="Times New Roman" w:cs="Times New Roman"/>
          <w:i/>
          <w:iCs/>
          <w:noProof/>
          <w:szCs w:val="24"/>
        </w:rPr>
        <w:t>et al.</w:t>
      </w:r>
      <w:r w:rsidR="008E7EC5" w:rsidRPr="008E7EC5">
        <w:rPr>
          <w:rFonts w:ascii="Times New Roman" w:hAnsi="Times New Roman" w:cs="Times New Roman"/>
          <w:noProof/>
          <w:szCs w:val="24"/>
        </w:rPr>
        <w:t xml:space="preserve">, “Supervised practice program guided by the Accreditation Council for Education in Nutrition and Dietetics standards improves potential employability of nutrition/dietetics graduates: perspective of employers and preceptors,” </w:t>
      </w:r>
      <w:r w:rsidR="008E7EC5" w:rsidRPr="008E7EC5">
        <w:rPr>
          <w:rFonts w:ascii="Times New Roman" w:hAnsi="Times New Roman" w:cs="Times New Roman"/>
          <w:i/>
          <w:iCs/>
          <w:noProof/>
          <w:szCs w:val="24"/>
        </w:rPr>
        <w:t>BMC Med. Educ.</w:t>
      </w:r>
      <w:r w:rsidR="008E7EC5" w:rsidRPr="008E7EC5">
        <w:rPr>
          <w:rFonts w:ascii="Times New Roman" w:hAnsi="Times New Roman" w:cs="Times New Roman"/>
          <w:noProof/>
          <w:szCs w:val="24"/>
        </w:rPr>
        <w:t>, vol. 19, no. 1, p. 458, 2019, doi: 10.1186/s12909-019-1893-3.</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[2]</w:t>
      </w:r>
      <w:r w:rsidRPr="008E7EC5">
        <w:rPr>
          <w:rFonts w:ascii="Times New Roman" w:hAnsi="Times New Roman" w:cs="Times New Roman"/>
          <w:noProof/>
          <w:szCs w:val="24"/>
        </w:rPr>
        <w:tab/>
        <w:t xml:space="preserve">A. S. Aldossari, “Vision 2030 and reducing the stigma of vocational and technical training among Saudi Arabian students,” </w:t>
      </w:r>
      <w:r w:rsidRPr="008E7EC5">
        <w:rPr>
          <w:rFonts w:ascii="Times New Roman" w:hAnsi="Times New Roman" w:cs="Times New Roman"/>
          <w:i/>
          <w:iCs/>
          <w:noProof/>
          <w:szCs w:val="24"/>
        </w:rPr>
        <w:t>Empir. Res. Vocat. Educ. Train.</w:t>
      </w:r>
      <w:r w:rsidRPr="008E7EC5">
        <w:rPr>
          <w:rFonts w:ascii="Times New Roman" w:hAnsi="Times New Roman" w:cs="Times New Roman"/>
          <w:noProof/>
          <w:szCs w:val="24"/>
        </w:rPr>
        <w:t>, vol. 12, no. 1, p. 3, 2020, doi: 10.1186/s40461-020-00089-6.</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[3]</w:t>
      </w:r>
      <w:r w:rsidRPr="008E7EC5">
        <w:rPr>
          <w:rFonts w:ascii="Times New Roman" w:hAnsi="Times New Roman" w:cs="Times New Roman"/>
          <w:noProof/>
          <w:szCs w:val="24"/>
        </w:rPr>
        <w:tab/>
        <w:t xml:space="preserve">S. Sagala, </w:t>
      </w:r>
      <w:r w:rsidRPr="008E7EC5">
        <w:rPr>
          <w:rFonts w:ascii="Times New Roman" w:hAnsi="Times New Roman" w:cs="Times New Roman"/>
          <w:i/>
          <w:iCs/>
          <w:noProof/>
          <w:szCs w:val="24"/>
        </w:rPr>
        <w:t>Konsep dan makna pembelajaran</w:t>
      </w:r>
      <w:r w:rsidRPr="008E7EC5">
        <w:rPr>
          <w:rFonts w:ascii="Times New Roman" w:hAnsi="Times New Roman" w:cs="Times New Roman"/>
          <w:noProof/>
          <w:szCs w:val="24"/>
        </w:rPr>
        <w:t>. Bandung: AlfaBeta, 2013.</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[4]</w:t>
      </w:r>
      <w:r w:rsidRPr="008E7EC5">
        <w:rPr>
          <w:rFonts w:ascii="Times New Roman" w:hAnsi="Times New Roman" w:cs="Times New Roman"/>
          <w:noProof/>
          <w:szCs w:val="24"/>
        </w:rPr>
        <w:tab/>
        <w:t xml:space="preserve">T. Thune, “Success Factors in Higher Education–Industry Collaboration: A case study of collaboration in the engineering field,” </w:t>
      </w:r>
      <w:r w:rsidRPr="008E7EC5">
        <w:rPr>
          <w:rFonts w:ascii="Times New Roman" w:hAnsi="Times New Roman" w:cs="Times New Roman"/>
          <w:i/>
          <w:iCs/>
          <w:noProof/>
          <w:szCs w:val="24"/>
        </w:rPr>
        <w:t>Tert. Educ. Manag.</w:t>
      </w:r>
      <w:r w:rsidRPr="008E7EC5">
        <w:rPr>
          <w:rFonts w:ascii="Times New Roman" w:hAnsi="Times New Roman" w:cs="Times New Roman"/>
          <w:noProof/>
          <w:szCs w:val="24"/>
        </w:rPr>
        <w:t>, vol. 17, no. 1, pp. 31–50, 2011, doi: 10.1080/13583883.2011.552627.</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[5]</w:t>
      </w:r>
      <w:r w:rsidRPr="008E7EC5">
        <w:rPr>
          <w:rFonts w:ascii="Times New Roman" w:hAnsi="Times New Roman" w:cs="Times New Roman"/>
          <w:noProof/>
          <w:szCs w:val="24"/>
        </w:rPr>
        <w:tab/>
        <w:t xml:space="preserve">A. D. Rowe and K. E. Zegwaard, “Developing graduate employability skills and attributes: Curriculum enhancement through work-integrated learning,” in </w:t>
      </w:r>
      <w:r w:rsidRPr="008E7EC5">
        <w:rPr>
          <w:rFonts w:ascii="Times New Roman" w:hAnsi="Times New Roman" w:cs="Times New Roman"/>
          <w:i/>
          <w:iCs/>
          <w:noProof/>
          <w:szCs w:val="24"/>
        </w:rPr>
        <w:t>Asia-Pacific Journal of Cooperative Education</w:t>
      </w:r>
      <w:r w:rsidRPr="008E7EC5">
        <w:rPr>
          <w:rFonts w:ascii="Times New Roman" w:hAnsi="Times New Roman" w:cs="Times New Roman"/>
          <w:noProof/>
          <w:szCs w:val="24"/>
        </w:rPr>
        <w:t>, 2017, vol. 18, no. 2, pp. 87–99.</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[6]</w:t>
      </w:r>
      <w:r w:rsidRPr="008E7EC5">
        <w:rPr>
          <w:rFonts w:ascii="Times New Roman" w:hAnsi="Times New Roman" w:cs="Times New Roman"/>
          <w:noProof/>
          <w:szCs w:val="24"/>
        </w:rPr>
        <w:tab/>
        <w:t>C. E. Hmelo-silver, H. S. Barrows, C. E. Hmelo-silver, and H. S. Barrows, “Goals and Strategies of a Problem-based Learning Facilitator,” vol. 1, no. 1, pp. 5–22, 2006.</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[7]</w:t>
      </w:r>
      <w:r w:rsidRPr="008E7EC5">
        <w:rPr>
          <w:rFonts w:ascii="Times New Roman" w:hAnsi="Times New Roman" w:cs="Times New Roman"/>
          <w:noProof/>
          <w:szCs w:val="24"/>
        </w:rPr>
        <w:tab/>
        <w:t xml:space="preserve">P. Sudira, </w:t>
      </w:r>
      <w:r w:rsidRPr="008E7EC5">
        <w:rPr>
          <w:rFonts w:ascii="Times New Roman" w:hAnsi="Times New Roman" w:cs="Times New Roman"/>
          <w:i/>
          <w:iCs/>
          <w:noProof/>
          <w:szCs w:val="24"/>
        </w:rPr>
        <w:t>Metodologi pembelajaran vokasional abad XXI: Inovasi, teori dan praktis</w:t>
      </w:r>
      <w:r w:rsidRPr="008E7EC5">
        <w:rPr>
          <w:rFonts w:ascii="Times New Roman" w:hAnsi="Times New Roman" w:cs="Times New Roman"/>
          <w:noProof/>
          <w:szCs w:val="24"/>
        </w:rPr>
        <w:t>. Yogyakarta: UNY Press, 2018.</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[8]</w:t>
      </w:r>
      <w:r w:rsidRPr="008E7EC5">
        <w:rPr>
          <w:rFonts w:ascii="Times New Roman" w:hAnsi="Times New Roman" w:cs="Times New Roman"/>
          <w:noProof/>
          <w:szCs w:val="24"/>
        </w:rPr>
        <w:tab/>
        <w:t xml:space="preserve">R. Canning, “Vocational education: purposes, traditions and prospects,” </w:t>
      </w:r>
      <w:r w:rsidRPr="008E7EC5">
        <w:rPr>
          <w:rFonts w:ascii="Times New Roman" w:hAnsi="Times New Roman" w:cs="Times New Roman"/>
          <w:i/>
          <w:iCs/>
          <w:noProof/>
          <w:szCs w:val="24"/>
        </w:rPr>
        <w:t>J. Vocat. Educ. Train.</w:t>
      </w:r>
      <w:r w:rsidRPr="008E7EC5">
        <w:rPr>
          <w:rFonts w:ascii="Times New Roman" w:hAnsi="Times New Roman" w:cs="Times New Roman"/>
          <w:noProof/>
          <w:szCs w:val="24"/>
        </w:rPr>
        <w:t>, vol. 65, 2013, doi: 10.1080/13636820.2012.747745.</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[9]</w:t>
      </w:r>
      <w:r w:rsidRPr="008E7EC5">
        <w:rPr>
          <w:rFonts w:ascii="Times New Roman" w:hAnsi="Times New Roman" w:cs="Times New Roman"/>
          <w:noProof/>
          <w:szCs w:val="24"/>
        </w:rPr>
        <w:tab/>
        <w:t xml:space="preserve">I. P. Herbert, A. T. Rothwell, J. L. Glover, and S. A. Lambert, “Graduate employability, employment prospects and work-readiness in the changing field of professional work,” </w:t>
      </w:r>
      <w:r w:rsidRPr="008E7EC5">
        <w:rPr>
          <w:rFonts w:ascii="Times New Roman" w:hAnsi="Times New Roman" w:cs="Times New Roman"/>
          <w:i/>
          <w:iCs/>
          <w:noProof/>
          <w:szCs w:val="24"/>
        </w:rPr>
        <w:t>Int. J. Manag. Educ.</w:t>
      </w:r>
      <w:r w:rsidRPr="008E7EC5">
        <w:rPr>
          <w:rFonts w:ascii="Times New Roman" w:hAnsi="Times New Roman" w:cs="Times New Roman"/>
          <w:noProof/>
          <w:szCs w:val="24"/>
        </w:rPr>
        <w:t>, vol. 18, no. 2, 2020, doi: 10.1016/j.ijme.2020.100378.</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lastRenderedPageBreak/>
        <w:t>[10]</w:t>
      </w:r>
      <w:r w:rsidRPr="008E7EC5">
        <w:rPr>
          <w:rFonts w:ascii="Times New Roman" w:hAnsi="Times New Roman" w:cs="Times New Roman"/>
          <w:noProof/>
          <w:szCs w:val="24"/>
        </w:rPr>
        <w:tab/>
        <w:t xml:space="preserve">M. S. Rasul, R. A. A. Rauf, A. N. Mansor, R. M. Yasin, and Z. Mahamod, “Graduate Employability For Manufacturing Industry,” </w:t>
      </w:r>
      <w:r w:rsidRPr="008E7EC5">
        <w:rPr>
          <w:rFonts w:ascii="Times New Roman" w:hAnsi="Times New Roman" w:cs="Times New Roman"/>
          <w:i/>
          <w:iCs/>
          <w:noProof/>
          <w:szCs w:val="24"/>
        </w:rPr>
        <w:t>Procedia - Soc. Behav. Sci.</w:t>
      </w:r>
      <w:r w:rsidRPr="008E7EC5">
        <w:rPr>
          <w:rFonts w:ascii="Times New Roman" w:hAnsi="Times New Roman" w:cs="Times New Roman"/>
          <w:noProof/>
          <w:szCs w:val="24"/>
        </w:rPr>
        <w:t>, vol. 102, pp. 242–250, 2013, doi: 10.1016/j.sbspro.2013.10.739.</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[11]</w:t>
      </w:r>
      <w:r w:rsidRPr="008E7EC5">
        <w:rPr>
          <w:rFonts w:ascii="Times New Roman" w:hAnsi="Times New Roman" w:cs="Times New Roman"/>
          <w:noProof/>
          <w:szCs w:val="24"/>
        </w:rPr>
        <w:tab/>
        <w:t xml:space="preserve">C. Burke, T. Scurry, J. Blenkinsopp, and K. Graley, “Critical Perspectives on Graduate Employability,” in </w:t>
      </w:r>
      <w:r w:rsidRPr="008E7EC5">
        <w:rPr>
          <w:rFonts w:ascii="Times New Roman" w:hAnsi="Times New Roman" w:cs="Times New Roman"/>
          <w:i/>
          <w:iCs/>
          <w:noProof/>
          <w:szCs w:val="24"/>
        </w:rPr>
        <w:t>Graduate Employability in Context</w:t>
      </w:r>
      <w:r w:rsidRPr="008E7EC5">
        <w:rPr>
          <w:rFonts w:ascii="Times New Roman" w:hAnsi="Times New Roman" w:cs="Times New Roman"/>
          <w:noProof/>
          <w:szCs w:val="24"/>
        </w:rPr>
        <w:t>, 2017, pp. 87–107.</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[12]</w:t>
      </w:r>
      <w:r w:rsidRPr="008E7EC5">
        <w:rPr>
          <w:rFonts w:ascii="Times New Roman" w:hAnsi="Times New Roman" w:cs="Times New Roman"/>
          <w:noProof/>
          <w:szCs w:val="24"/>
        </w:rPr>
        <w:tab/>
        <w:t xml:space="preserve">T. ling Chen, C. cheng Shen, and M. Gosling, “Does employability increase with internship satisfaction? Enhanced employability and internship satisfaction in a hospitality program,” </w:t>
      </w:r>
      <w:r w:rsidRPr="008E7EC5">
        <w:rPr>
          <w:rFonts w:ascii="Times New Roman" w:hAnsi="Times New Roman" w:cs="Times New Roman"/>
          <w:i/>
          <w:iCs/>
          <w:noProof/>
          <w:szCs w:val="24"/>
        </w:rPr>
        <w:t>J. Hosp. Leis. Sport Tour. Educ.</w:t>
      </w:r>
      <w:r w:rsidRPr="008E7EC5">
        <w:rPr>
          <w:rFonts w:ascii="Times New Roman" w:hAnsi="Times New Roman" w:cs="Times New Roman"/>
          <w:noProof/>
          <w:szCs w:val="24"/>
        </w:rPr>
        <w:t>, vol. 22, pp. 88–99, 2018, doi: 10.1016/j.jhlste.2018.04.001.</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[13]</w:t>
      </w:r>
      <w:r w:rsidRPr="008E7EC5">
        <w:rPr>
          <w:rFonts w:ascii="Times New Roman" w:hAnsi="Times New Roman" w:cs="Times New Roman"/>
          <w:noProof/>
          <w:szCs w:val="24"/>
        </w:rPr>
        <w:tab/>
        <w:t xml:space="preserve">G. Feijoo </w:t>
      </w:r>
      <w:r w:rsidRPr="008E7EC5">
        <w:rPr>
          <w:rFonts w:ascii="Times New Roman" w:hAnsi="Times New Roman" w:cs="Times New Roman"/>
          <w:i/>
          <w:iCs/>
          <w:noProof/>
          <w:szCs w:val="24"/>
        </w:rPr>
        <w:t>et al.</w:t>
      </w:r>
      <w:r w:rsidRPr="008E7EC5">
        <w:rPr>
          <w:rFonts w:ascii="Times New Roman" w:hAnsi="Times New Roman" w:cs="Times New Roman"/>
          <w:noProof/>
          <w:szCs w:val="24"/>
        </w:rPr>
        <w:t xml:space="preserve">, “Potential impact on the recruitment of chemical engineering graduates due to the industrial internship,” </w:t>
      </w:r>
      <w:r w:rsidRPr="008E7EC5">
        <w:rPr>
          <w:rFonts w:ascii="Times New Roman" w:hAnsi="Times New Roman" w:cs="Times New Roman"/>
          <w:i/>
          <w:iCs/>
          <w:noProof/>
          <w:szCs w:val="24"/>
        </w:rPr>
        <w:t>Educ. Chem. Eng.</w:t>
      </w:r>
      <w:r w:rsidRPr="008E7EC5">
        <w:rPr>
          <w:rFonts w:ascii="Times New Roman" w:hAnsi="Times New Roman" w:cs="Times New Roman"/>
          <w:noProof/>
          <w:szCs w:val="24"/>
        </w:rPr>
        <w:t>, vol. 26, pp. 107–113, 2019, doi: 10.1016/j.ece.2018.08.004.</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[14]</w:t>
      </w:r>
      <w:r w:rsidRPr="008E7EC5">
        <w:rPr>
          <w:rFonts w:ascii="Times New Roman" w:hAnsi="Times New Roman" w:cs="Times New Roman"/>
          <w:noProof/>
          <w:szCs w:val="24"/>
        </w:rPr>
        <w:tab/>
        <w:t xml:space="preserve">E. Herman, “Education’s Impact on the Romanian Labour Market in the European Context,” </w:t>
      </w:r>
      <w:r w:rsidRPr="008E7EC5">
        <w:rPr>
          <w:rFonts w:ascii="Times New Roman" w:hAnsi="Times New Roman" w:cs="Times New Roman"/>
          <w:i/>
          <w:iCs/>
          <w:noProof/>
          <w:szCs w:val="24"/>
        </w:rPr>
        <w:t>Procedia - Soc. Behav. Sci.</w:t>
      </w:r>
      <w:r w:rsidRPr="008E7EC5">
        <w:rPr>
          <w:rFonts w:ascii="Times New Roman" w:hAnsi="Times New Roman" w:cs="Times New Roman"/>
          <w:noProof/>
          <w:szCs w:val="24"/>
        </w:rPr>
        <w:t>, vol. 46, pp. 5563–5567, 2012, doi: 10.1016/j.sbspro.2012.06.476.</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[15]</w:t>
      </w:r>
      <w:r w:rsidRPr="008E7EC5">
        <w:rPr>
          <w:rFonts w:ascii="Times New Roman" w:hAnsi="Times New Roman" w:cs="Times New Roman"/>
          <w:noProof/>
          <w:szCs w:val="24"/>
        </w:rPr>
        <w:tab/>
        <w:t xml:space="preserve">Sugiyono, </w:t>
      </w:r>
      <w:r w:rsidRPr="008E7EC5">
        <w:rPr>
          <w:rFonts w:ascii="Times New Roman" w:hAnsi="Times New Roman" w:cs="Times New Roman"/>
          <w:i/>
          <w:iCs/>
          <w:noProof/>
          <w:szCs w:val="24"/>
        </w:rPr>
        <w:t>Metode penelitian pendidikan pendekatan kauntitatif, kualitatif, R&amp;D</w:t>
      </w:r>
      <w:r w:rsidRPr="008E7EC5">
        <w:rPr>
          <w:rFonts w:ascii="Times New Roman" w:hAnsi="Times New Roman" w:cs="Times New Roman"/>
          <w:noProof/>
          <w:szCs w:val="24"/>
        </w:rPr>
        <w:t>. Bandung: AlfaBeta, 2018.</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[16]</w:t>
      </w:r>
      <w:r w:rsidRPr="008E7EC5">
        <w:rPr>
          <w:rFonts w:ascii="Times New Roman" w:hAnsi="Times New Roman" w:cs="Times New Roman"/>
          <w:noProof/>
          <w:szCs w:val="24"/>
        </w:rPr>
        <w:tab/>
        <w:t xml:space="preserve">M. Rahmat, K. Ahmad, S. Idris, and N. F. A. Zainal, “Relationship between Employability and Graduates’ Skill,” </w:t>
      </w:r>
      <w:r w:rsidRPr="008E7EC5">
        <w:rPr>
          <w:rFonts w:ascii="Times New Roman" w:hAnsi="Times New Roman" w:cs="Times New Roman"/>
          <w:i/>
          <w:iCs/>
          <w:noProof/>
          <w:szCs w:val="24"/>
        </w:rPr>
        <w:t>Procedia - Soc. Behav. Sci.</w:t>
      </w:r>
      <w:r w:rsidRPr="008E7EC5">
        <w:rPr>
          <w:rFonts w:ascii="Times New Roman" w:hAnsi="Times New Roman" w:cs="Times New Roman"/>
          <w:noProof/>
          <w:szCs w:val="24"/>
        </w:rPr>
        <w:t>, vol. 59, pp. 591–597, 2012, doi: 10.1016/j.sbspro.2012.09.318.</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[17]</w:t>
      </w:r>
      <w:r w:rsidRPr="008E7EC5">
        <w:rPr>
          <w:rFonts w:ascii="Times New Roman" w:hAnsi="Times New Roman" w:cs="Times New Roman"/>
          <w:noProof/>
          <w:szCs w:val="24"/>
        </w:rPr>
        <w:tab/>
        <w:t xml:space="preserve">R. D. Martín, “The Importance of Communication Competency for Employability,” </w:t>
      </w:r>
      <w:r w:rsidRPr="008E7EC5">
        <w:rPr>
          <w:rFonts w:ascii="Times New Roman" w:hAnsi="Times New Roman" w:cs="Times New Roman"/>
          <w:i/>
          <w:iCs/>
          <w:noProof/>
          <w:szCs w:val="24"/>
        </w:rPr>
        <w:t>Procedia - Soc. Behav. Sci.</w:t>
      </w:r>
      <w:r w:rsidRPr="008E7EC5">
        <w:rPr>
          <w:rFonts w:ascii="Times New Roman" w:hAnsi="Times New Roman" w:cs="Times New Roman"/>
          <w:noProof/>
          <w:szCs w:val="24"/>
        </w:rPr>
        <w:t>, vol. 139, pp. 387–394, 2014, doi: 10.1016/j.sbspro.2014.08.024.</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[18]</w:t>
      </w:r>
      <w:r w:rsidRPr="008E7EC5">
        <w:rPr>
          <w:rFonts w:ascii="Times New Roman" w:hAnsi="Times New Roman" w:cs="Times New Roman"/>
          <w:noProof/>
          <w:szCs w:val="24"/>
        </w:rPr>
        <w:tab/>
        <w:t xml:space="preserve">S. Ismail and D. S. Mohammed, “Employability Skills in TVET Curriculum in Nigeria Federal Universities of Technology,” </w:t>
      </w:r>
      <w:r w:rsidRPr="008E7EC5">
        <w:rPr>
          <w:rFonts w:ascii="Times New Roman" w:hAnsi="Times New Roman" w:cs="Times New Roman"/>
          <w:i/>
          <w:iCs/>
          <w:noProof/>
          <w:szCs w:val="24"/>
        </w:rPr>
        <w:t>Procedia - Soc. Behav. Sci.</w:t>
      </w:r>
      <w:r w:rsidRPr="008E7EC5">
        <w:rPr>
          <w:rFonts w:ascii="Times New Roman" w:hAnsi="Times New Roman" w:cs="Times New Roman"/>
          <w:noProof/>
          <w:szCs w:val="24"/>
        </w:rPr>
        <w:t>, vol. 204, pp. 73–80, 2015, doi: 10.1016/j.sbspro.2015.08.111.</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8E7EC5">
        <w:rPr>
          <w:rFonts w:ascii="Times New Roman" w:hAnsi="Times New Roman" w:cs="Times New Roman"/>
          <w:noProof/>
          <w:szCs w:val="24"/>
        </w:rPr>
        <w:t>[19]</w:t>
      </w:r>
      <w:r w:rsidRPr="008E7EC5">
        <w:rPr>
          <w:rFonts w:ascii="Times New Roman" w:hAnsi="Times New Roman" w:cs="Times New Roman"/>
          <w:noProof/>
          <w:szCs w:val="24"/>
        </w:rPr>
        <w:tab/>
        <w:t xml:space="preserve">A. Jameson, A. Carthy, C. McGuinness, and F. McSweeney, “Emotional Intelligence and Graduates – Employers’ Perspectives,” </w:t>
      </w:r>
      <w:r w:rsidRPr="008E7EC5">
        <w:rPr>
          <w:rFonts w:ascii="Times New Roman" w:hAnsi="Times New Roman" w:cs="Times New Roman"/>
          <w:i/>
          <w:iCs/>
          <w:noProof/>
          <w:szCs w:val="24"/>
        </w:rPr>
        <w:t>Procedia - Soc. Behav. Sci.</w:t>
      </w:r>
      <w:r w:rsidRPr="008E7EC5">
        <w:rPr>
          <w:rFonts w:ascii="Times New Roman" w:hAnsi="Times New Roman" w:cs="Times New Roman"/>
          <w:noProof/>
          <w:szCs w:val="24"/>
        </w:rPr>
        <w:t>, vol. 228, pp. 515–522, 2016, doi: 10.1016/j.sbspro.2016.07.079.</w:t>
      </w:r>
    </w:p>
    <w:p w:rsidR="008E7EC5" w:rsidRPr="008E7EC5" w:rsidRDefault="008E7EC5" w:rsidP="008E7EC5">
      <w:pPr>
        <w:widowControl w:val="0"/>
        <w:autoSpaceDE w:val="0"/>
        <w:autoSpaceDN w:val="0"/>
        <w:adjustRightInd w:val="0"/>
        <w:spacing w:after="0" w:line="240" w:lineRule="auto"/>
        <w:ind w:left="640" w:hanging="640"/>
        <w:jc w:val="both"/>
        <w:rPr>
          <w:rFonts w:ascii="Times New Roman" w:hAnsi="Times New Roman" w:cs="Times New Roman"/>
          <w:noProof/>
        </w:rPr>
      </w:pPr>
      <w:r w:rsidRPr="008E7EC5">
        <w:rPr>
          <w:rFonts w:ascii="Times New Roman" w:hAnsi="Times New Roman" w:cs="Times New Roman"/>
          <w:noProof/>
          <w:szCs w:val="24"/>
        </w:rPr>
        <w:t>[20]</w:t>
      </w:r>
      <w:r w:rsidRPr="008E7EC5">
        <w:rPr>
          <w:rFonts w:ascii="Times New Roman" w:hAnsi="Times New Roman" w:cs="Times New Roman"/>
          <w:noProof/>
          <w:szCs w:val="24"/>
        </w:rPr>
        <w:tab/>
        <w:t xml:space="preserve">A. Abeer, P. Joanne, and S. Pauline, “Institutional barriers to women’s employment in Saudi Arabia,” </w:t>
      </w:r>
      <w:r w:rsidRPr="008E7EC5">
        <w:rPr>
          <w:rFonts w:ascii="Times New Roman" w:hAnsi="Times New Roman" w:cs="Times New Roman"/>
          <w:i/>
          <w:iCs/>
          <w:noProof/>
          <w:szCs w:val="24"/>
        </w:rPr>
        <w:t>Equal. Divers. Incl. An Int. J.</w:t>
      </w:r>
      <w:r w:rsidRPr="008E7EC5">
        <w:rPr>
          <w:rFonts w:ascii="Times New Roman" w:hAnsi="Times New Roman" w:cs="Times New Roman"/>
          <w:noProof/>
          <w:szCs w:val="24"/>
        </w:rPr>
        <w:t>, vol. 37, no. 7, pp. 713–727, Jan. 2018, doi: 10.1108/EDI-08-2017-0159.</w:t>
      </w:r>
    </w:p>
    <w:p w:rsidR="009138DC" w:rsidRDefault="009138DC" w:rsidP="008E7EC5">
      <w:pPr>
        <w:widowControl w:val="0"/>
        <w:autoSpaceDE w:val="0"/>
        <w:autoSpaceDN w:val="0"/>
        <w:adjustRightInd w:val="0"/>
        <w:spacing w:after="0" w:line="240" w:lineRule="auto"/>
        <w:ind w:left="480" w:hanging="480"/>
        <w:jc w:val="both"/>
        <w:rPr>
          <w:rFonts w:ascii="Times New Roman" w:eastAsia="Times New Roman" w:hAnsi="Times New Roman" w:cs="Times New Roman"/>
          <w:color w:val="000000"/>
          <w:highlight w:val="yellow"/>
          <w:lang w:val="id-ID"/>
        </w:rPr>
      </w:pPr>
      <w:r>
        <w:rPr>
          <w:rFonts w:ascii="Times New Roman" w:eastAsia="Times New Roman" w:hAnsi="Times New Roman" w:cs="Times New Roman"/>
          <w:color w:val="000000"/>
          <w:highlight w:val="yellow"/>
          <w:lang w:val="id-ID"/>
        </w:rPr>
        <w:fldChar w:fldCharType="end"/>
      </w:r>
    </w:p>
    <w:p w:rsidR="00860F36" w:rsidRDefault="00860F36">
      <w:pPr>
        <w:spacing w:after="240"/>
        <w:rPr>
          <w:rFonts w:ascii="Times New Roman" w:eastAsia="Times New Roman" w:hAnsi="Times New Roman" w:cs="Times New Roman"/>
          <w:b/>
        </w:rPr>
      </w:pPr>
      <w:bookmarkStart w:id="1" w:name="_GoBack"/>
      <w:bookmarkEnd w:id="1"/>
    </w:p>
    <w:sectPr w:rsidR="00860F36">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401"/>
    <w:multiLevelType w:val="hybridMultilevel"/>
    <w:tmpl w:val="6742B530"/>
    <w:lvl w:ilvl="0" w:tplc="623E7D04">
      <w:start w:val="1"/>
      <w:numFmt w:val="lowerLetter"/>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
    <w:nsid w:val="212E13D2"/>
    <w:multiLevelType w:val="hybridMultilevel"/>
    <w:tmpl w:val="6742B530"/>
    <w:lvl w:ilvl="0" w:tplc="623E7D04">
      <w:start w:val="1"/>
      <w:numFmt w:val="lowerLetter"/>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2">
    <w:nsid w:val="22C34E53"/>
    <w:multiLevelType w:val="multilevel"/>
    <w:tmpl w:val="F1F6F89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54DD5BEC"/>
    <w:multiLevelType w:val="multilevel"/>
    <w:tmpl w:val="811A5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92A6AE5"/>
    <w:multiLevelType w:val="hybridMultilevel"/>
    <w:tmpl w:val="6742B530"/>
    <w:lvl w:ilvl="0" w:tplc="623E7D04">
      <w:start w:val="1"/>
      <w:numFmt w:val="lowerLetter"/>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5">
    <w:nsid w:val="641B37BC"/>
    <w:multiLevelType w:val="hybridMultilevel"/>
    <w:tmpl w:val="6742B530"/>
    <w:lvl w:ilvl="0" w:tplc="623E7D04">
      <w:start w:val="1"/>
      <w:numFmt w:val="lowerLetter"/>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6">
    <w:nsid w:val="756F7A6A"/>
    <w:multiLevelType w:val="hybridMultilevel"/>
    <w:tmpl w:val="0CF676B0"/>
    <w:lvl w:ilvl="0" w:tplc="AB6CF81C">
      <w:start w:val="3"/>
      <w:numFmt w:val="lowerLetter"/>
      <w:lvlText w:val="(%1)"/>
      <w:lvlJc w:val="left"/>
      <w:pPr>
        <w:ind w:left="39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C9E00A9"/>
    <w:multiLevelType w:val="hybridMultilevel"/>
    <w:tmpl w:val="19622F6E"/>
    <w:lvl w:ilvl="0" w:tplc="CD0A7618">
      <w:start w:val="3"/>
      <w:numFmt w:val="lowerLetter"/>
      <w:lvlText w:val="(%1)"/>
      <w:lvlJc w:val="left"/>
      <w:pPr>
        <w:ind w:left="39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defaultTabStop w:val="720"/>
  <w:characterSpacingControl w:val="doNotCompress"/>
  <w:compat>
    <w:compatSetting w:name="compatibilityMode" w:uri="http://schemas.microsoft.com/office/word" w:val="14"/>
  </w:compat>
  <w:rsids>
    <w:rsidRoot w:val="00860F36"/>
    <w:rsid w:val="000133EB"/>
    <w:rsid w:val="00063310"/>
    <w:rsid w:val="0009097E"/>
    <w:rsid w:val="000A52B2"/>
    <w:rsid w:val="001114BA"/>
    <w:rsid w:val="00122EE4"/>
    <w:rsid w:val="00125D92"/>
    <w:rsid w:val="00161C36"/>
    <w:rsid w:val="002A34D1"/>
    <w:rsid w:val="003B565A"/>
    <w:rsid w:val="003C338A"/>
    <w:rsid w:val="003D7551"/>
    <w:rsid w:val="00506A07"/>
    <w:rsid w:val="005316C7"/>
    <w:rsid w:val="0055530E"/>
    <w:rsid w:val="00566DE3"/>
    <w:rsid w:val="00616F0F"/>
    <w:rsid w:val="00642F24"/>
    <w:rsid w:val="00686E9E"/>
    <w:rsid w:val="006B3FF0"/>
    <w:rsid w:val="006D7404"/>
    <w:rsid w:val="00800C6E"/>
    <w:rsid w:val="00860F36"/>
    <w:rsid w:val="008A53AA"/>
    <w:rsid w:val="008A5FC1"/>
    <w:rsid w:val="008E7EC5"/>
    <w:rsid w:val="0091294A"/>
    <w:rsid w:val="009138DC"/>
    <w:rsid w:val="009233C5"/>
    <w:rsid w:val="009B34F4"/>
    <w:rsid w:val="009B5AAA"/>
    <w:rsid w:val="00A07764"/>
    <w:rsid w:val="00A30D01"/>
    <w:rsid w:val="00A47EAB"/>
    <w:rsid w:val="00A9130B"/>
    <w:rsid w:val="00AA32C2"/>
    <w:rsid w:val="00B7591E"/>
    <w:rsid w:val="00BB1466"/>
    <w:rsid w:val="00C04710"/>
    <w:rsid w:val="00C2507E"/>
    <w:rsid w:val="00C56575"/>
    <w:rsid w:val="00C63500"/>
    <w:rsid w:val="00C858BB"/>
    <w:rsid w:val="00C86A66"/>
    <w:rsid w:val="00CD5B25"/>
    <w:rsid w:val="00D4751F"/>
    <w:rsid w:val="00DA0F18"/>
    <w:rsid w:val="00DA123E"/>
    <w:rsid w:val="00E156D5"/>
    <w:rsid w:val="00E42EC5"/>
    <w:rsid w:val="00E549BE"/>
    <w:rsid w:val="00E81C38"/>
    <w:rsid w:val="00FD222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tabs>
        <w:tab w:val="num" w:pos="720"/>
      </w:tabs>
      <w:spacing w:after="0" w:line="240" w:lineRule="auto"/>
      <w:ind w:left="720" w:hanging="720"/>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tabs>
        <w:tab w:val="left" w:pos="567"/>
        <w:tab w:val="num" w:pos="1440"/>
      </w:tabs>
      <w:spacing w:before="240" w:after="0" w:line="240" w:lineRule="auto"/>
      <w:ind w:left="1440" w:hanging="720"/>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tabs>
        <w:tab w:val="left" w:pos="567"/>
        <w:tab w:val="num" w:pos="2160"/>
      </w:tabs>
      <w:spacing w:before="240" w:after="0" w:line="240" w:lineRule="auto"/>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 w:type="table" w:styleId="TableGrid">
    <w:name w:val="Table Grid"/>
    <w:basedOn w:val="TableNormal"/>
    <w:uiPriority w:val="59"/>
    <w:rsid w:val="00B7591E"/>
    <w:pPr>
      <w:spacing w:after="0" w:line="240" w:lineRule="auto"/>
    </w:pPr>
    <w:rPr>
      <w:rFonts w:ascii="Times New Roman" w:eastAsia="MS Mincho"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tabs>
        <w:tab w:val="num" w:pos="720"/>
      </w:tabs>
      <w:spacing w:after="0" w:line="240" w:lineRule="auto"/>
      <w:ind w:left="720" w:hanging="720"/>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tabs>
        <w:tab w:val="left" w:pos="567"/>
        <w:tab w:val="num" w:pos="1440"/>
      </w:tabs>
      <w:spacing w:before="240" w:after="0" w:line="240" w:lineRule="auto"/>
      <w:ind w:left="1440" w:hanging="720"/>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tabs>
        <w:tab w:val="left" w:pos="567"/>
        <w:tab w:val="num" w:pos="2160"/>
      </w:tabs>
      <w:spacing w:before="240" w:after="0" w:line="240" w:lineRule="auto"/>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 w:type="table" w:styleId="TableGrid">
    <w:name w:val="Table Grid"/>
    <w:basedOn w:val="TableNormal"/>
    <w:uiPriority w:val="59"/>
    <w:rsid w:val="00B7591E"/>
    <w:pPr>
      <w:spacing w:after="0" w:line="240" w:lineRule="auto"/>
    </w:pPr>
    <w:rPr>
      <w:rFonts w:ascii="Times New Roman" w:eastAsia="MS Mincho"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D04E26-B84A-4D18-99A9-335FC639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10633</Words>
  <Characters>60613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cp:lastModifiedBy>
  <cp:revision>44</cp:revision>
  <dcterms:created xsi:type="dcterms:W3CDTF">2018-07-23T10:44:00Z</dcterms:created>
  <dcterms:modified xsi:type="dcterms:W3CDTF">2020-07-15T16:05:00Z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muhammadhidayatulloh10@mhs.unesa.ac.id@www.mendeley.com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