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AFC" w:rsidRPr="00CF7EBD" w:rsidRDefault="000310F5" w:rsidP="006A4780">
      <w:pPr>
        <w:spacing w:after="568"/>
        <w:jc w:val="both"/>
        <w:rPr>
          <w:rFonts w:ascii="Times New Roman" w:eastAsia="Times New Roman" w:hAnsi="Times New Roman" w:cs="Times New Roman"/>
          <w:b/>
          <w:sz w:val="34"/>
          <w:szCs w:val="34"/>
        </w:rPr>
      </w:pPr>
      <w:r w:rsidRPr="000310F5">
        <w:rPr>
          <w:rFonts w:ascii="Times New Roman" w:eastAsia="Times New Roman" w:hAnsi="Times New Roman" w:cs="Times New Roman"/>
          <w:b/>
          <w:sz w:val="34"/>
          <w:szCs w:val="34"/>
        </w:rPr>
        <w:t>The Influence of Industrial Work Practices and Workshop Infrastructure Facilities on Work Readines</w:t>
      </w:r>
      <w:r>
        <w:rPr>
          <w:rFonts w:ascii="Times New Roman" w:eastAsia="Times New Roman" w:hAnsi="Times New Roman" w:cs="Times New Roman"/>
          <w:b/>
          <w:sz w:val="34"/>
          <w:szCs w:val="34"/>
        </w:rPr>
        <w:t>s of Students in SMKN 1 Semarang</w:t>
      </w:r>
    </w:p>
    <w:p w:rsidR="00FD4AFC" w:rsidRPr="00CF7EBD" w:rsidRDefault="000310F5">
      <w:pPr>
        <w:spacing w:after="0"/>
        <w:ind w:left="1418"/>
        <w:rPr>
          <w:rFonts w:ascii="Times New Roman" w:eastAsia="Times New Roman" w:hAnsi="Times New Roman" w:cs="Times New Roman"/>
          <w:b/>
        </w:rPr>
      </w:pPr>
      <w:r w:rsidRPr="000310F5">
        <w:rPr>
          <w:rFonts w:ascii="Times New Roman" w:eastAsia="Times New Roman" w:hAnsi="Times New Roman" w:cs="Times New Roman"/>
          <w:b/>
        </w:rPr>
        <w:t>M R A Setyadi</w:t>
      </w:r>
      <w:r w:rsidR="007A6EA0" w:rsidRPr="00CF7EBD">
        <w:rPr>
          <w:rFonts w:ascii="Times New Roman" w:eastAsia="Times New Roman" w:hAnsi="Times New Roman" w:cs="Times New Roman"/>
          <w:b/>
          <w:vertAlign w:val="superscript"/>
        </w:rPr>
        <w:t>1</w:t>
      </w:r>
      <w:r w:rsidR="007A6EA0" w:rsidRPr="00CF7EBD">
        <w:rPr>
          <w:rFonts w:ascii="Times New Roman" w:eastAsia="Times New Roman" w:hAnsi="Times New Roman" w:cs="Times New Roman"/>
          <w:b/>
        </w:rPr>
        <w:t xml:space="preserve">, </w:t>
      </w:r>
      <w:r>
        <w:rPr>
          <w:rFonts w:ascii="Times New Roman" w:eastAsia="Times New Roman" w:hAnsi="Times New Roman" w:cs="Times New Roman"/>
          <w:b/>
        </w:rPr>
        <w:t>M B Triyono</w:t>
      </w:r>
      <w:r w:rsidR="007A6EA0" w:rsidRPr="00CF7EBD">
        <w:rPr>
          <w:rFonts w:ascii="Times New Roman" w:eastAsia="Times New Roman" w:hAnsi="Times New Roman" w:cs="Times New Roman"/>
          <w:b/>
          <w:vertAlign w:val="superscript"/>
        </w:rPr>
        <w:t>2</w:t>
      </w:r>
      <w:r w:rsidR="007A6EA0" w:rsidRPr="00CF7EBD">
        <w:rPr>
          <w:rFonts w:ascii="Times New Roman" w:eastAsia="Times New Roman" w:hAnsi="Times New Roman" w:cs="Times New Roman"/>
          <w:b/>
        </w:rPr>
        <w:t>, and R W Daryono</w:t>
      </w:r>
      <w:r w:rsidR="007A6EA0" w:rsidRPr="00CF7EBD">
        <w:rPr>
          <w:rFonts w:ascii="Times New Roman" w:eastAsia="Times New Roman" w:hAnsi="Times New Roman" w:cs="Times New Roman"/>
          <w:b/>
          <w:vertAlign w:val="superscript"/>
        </w:rPr>
        <w:t xml:space="preserve"> 1</w:t>
      </w:r>
    </w:p>
    <w:p w:rsidR="00FD4AFC" w:rsidRPr="00CF7EBD" w:rsidRDefault="00FD4AFC">
      <w:pPr>
        <w:spacing w:after="0"/>
        <w:ind w:left="1418"/>
        <w:rPr>
          <w:rFonts w:ascii="Times New Roman" w:eastAsia="Times New Roman" w:hAnsi="Times New Roman" w:cs="Times New Roman"/>
          <w:vertAlign w:val="superscript"/>
        </w:rPr>
      </w:pPr>
    </w:p>
    <w:p w:rsidR="007A6EA0" w:rsidRPr="00CF7EBD" w:rsidRDefault="007A6EA0" w:rsidP="00F44140">
      <w:pPr>
        <w:spacing w:after="0"/>
        <w:ind w:left="1418"/>
        <w:jc w:val="both"/>
        <w:rPr>
          <w:rFonts w:ascii="Times New Roman" w:eastAsia="Times New Roman" w:hAnsi="Times New Roman" w:cs="Times New Roman"/>
        </w:rPr>
      </w:pPr>
      <w:r w:rsidRPr="00CF7EBD">
        <w:rPr>
          <w:rFonts w:ascii="Times New Roman" w:eastAsia="Times New Roman" w:hAnsi="Times New Roman" w:cs="Times New Roman"/>
          <w:vertAlign w:val="superscript"/>
        </w:rPr>
        <w:t>1</w:t>
      </w:r>
      <w:r w:rsidRPr="00CF7EBD">
        <w:rPr>
          <w:rFonts w:ascii="Times New Roman" w:eastAsia="Times New Roman" w:hAnsi="Times New Roman" w:cs="Times New Roman"/>
        </w:rPr>
        <w:t>Graduate Program of Technological and Vocational Education, Universitas Negeri</w:t>
      </w:r>
      <w:r w:rsidR="00F44140">
        <w:rPr>
          <w:rFonts w:ascii="Times New Roman" w:eastAsia="Times New Roman" w:hAnsi="Times New Roman" w:cs="Times New Roman"/>
        </w:rPr>
        <w:t xml:space="preserve"> </w:t>
      </w:r>
      <w:r w:rsidRPr="00CF7EBD">
        <w:rPr>
          <w:rFonts w:ascii="Times New Roman" w:eastAsia="Times New Roman" w:hAnsi="Times New Roman" w:cs="Times New Roman"/>
        </w:rPr>
        <w:t>Yogyakarta, Yogyakarta, Indonesia</w:t>
      </w:r>
    </w:p>
    <w:p w:rsidR="007A6EA0" w:rsidRPr="00CF7EBD" w:rsidRDefault="007A6EA0" w:rsidP="0062116E">
      <w:pPr>
        <w:spacing w:after="0"/>
        <w:ind w:left="1418"/>
        <w:jc w:val="both"/>
        <w:rPr>
          <w:rFonts w:ascii="Times New Roman" w:eastAsia="Times New Roman" w:hAnsi="Times New Roman" w:cs="Times New Roman"/>
        </w:rPr>
      </w:pPr>
      <w:r w:rsidRPr="00CF7EBD">
        <w:rPr>
          <w:rFonts w:ascii="Times New Roman" w:eastAsia="Times New Roman" w:hAnsi="Times New Roman" w:cs="Times New Roman"/>
          <w:vertAlign w:val="superscript"/>
        </w:rPr>
        <w:t>2</w:t>
      </w:r>
      <w:r w:rsidRPr="00CF7EBD">
        <w:rPr>
          <w:rFonts w:ascii="Times New Roman" w:eastAsia="Times New Roman" w:hAnsi="Times New Roman" w:cs="Times New Roman"/>
        </w:rPr>
        <w:t xml:space="preserve">Department of </w:t>
      </w:r>
      <w:r w:rsidRPr="00CF7EBD">
        <w:rPr>
          <w:rFonts w:ascii="Times New Roman" w:eastAsia="Times New Roman" w:hAnsi="Times New Roman" w:cs="Times New Roman"/>
          <w:lang w:val="id-ID"/>
        </w:rPr>
        <w:t xml:space="preserve">Mechanical Engineering </w:t>
      </w:r>
      <w:r w:rsidRPr="00CF7EBD">
        <w:rPr>
          <w:rFonts w:ascii="Times New Roman" w:eastAsia="Times New Roman" w:hAnsi="Times New Roman" w:cs="Times New Roman"/>
        </w:rPr>
        <w:t xml:space="preserve">Education, Faculty of Engineering, </w:t>
      </w:r>
      <w:r w:rsidR="007A1DD1">
        <w:rPr>
          <w:rFonts w:ascii="Times New Roman" w:eastAsia="Times New Roman" w:hAnsi="Times New Roman" w:cs="Times New Roman"/>
        </w:rPr>
        <w:t>U</w:t>
      </w:r>
      <w:r w:rsidRPr="00CF7EBD">
        <w:rPr>
          <w:rFonts w:ascii="Times New Roman" w:eastAsia="Times New Roman" w:hAnsi="Times New Roman" w:cs="Times New Roman"/>
        </w:rPr>
        <w:t xml:space="preserve">niversitas Negeri </w:t>
      </w:r>
      <w:r w:rsidRPr="00CF7EBD">
        <w:rPr>
          <w:rFonts w:ascii="Times New Roman" w:eastAsia="Times New Roman" w:hAnsi="Times New Roman" w:cs="Times New Roman"/>
          <w:lang w:val="en-US"/>
        </w:rPr>
        <w:t>Yogyakarta</w:t>
      </w:r>
      <w:r w:rsidRPr="00CF7EBD">
        <w:rPr>
          <w:rFonts w:ascii="Times New Roman" w:eastAsia="Times New Roman" w:hAnsi="Times New Roman" w:cs="Times New Roman"/>
        </w:rPr>
        <w:t xml:space="preserve">, </w:t>
      </w:r>
      <w:r w:rsidRPr="00CF7EBD">
        <w:rPr>
          <w:rFonts w:ascii="Times New Roman" w:eastAsia="Times New Roman" w:hAnsi="Times New Roman" w:cs="Times New Roman"/>
          <w:lang w:val="en-US"/>
        </w:rPr>
        <w:t>Yogyakarta</w:t>
      </w:r>
      <w:r w:rsidRPr="00CF7EBD">
        <w:rPr>
          <w:rFonts w:ascii="Times New Roman" w:eastAsia="Times New Roman" w:hAnsi="Times New Roman" w:cs="Times New Roman"/>
        </w:rPr>
        <w:t>, Indonesia</w:t>
      </w:r>
    </w:p>
    <w:p w:rsidR="00FD4AFC" w:rsidRPr="00CF7EBD" w:rsidRDefault="00FD4AFC">
      <w:pPr>
        <w:spacing w:after="0"/>
        <w:ind w:left="1418"/>
        <w:rPr>
          <w:rFonts w:ascii="Times New Roman" w:eastAsia="Times New Roman" w:hAnsi="Times New Roman" w:cs="Times New Roman"/>
        </w:rPr>
      </w:pPr>
    </w:p>
    <w:p w:rsidR="00FD4AFC" w:rsidRPr="00CF7EBD" w:rsidRDefault="00D161D0">
      <w:pPr>
        <w:spacing w:after="568"/>
        <w:ind w:left="1418"/>
        <w:rPr>
          <w:rFonts w:ascii="Times New Roman" w:eastAsia="Times New Roman" w:hAnsi="Times New Roman" w:cs="Times New Roman"/>
        </w:rPr>
      </w:pPr>
      <w:r w:rsidRPr="00CF7EBD">
        <w:rPr>
          <w:rFonts w:ascii="Times New Roman" w:eastAsia="Times New Roman" w:hAnsi="Times New Roman" w:cs="Times New Roman"/>
        </w:rPr>
        <w:t xml:space="preserve">E-mail: </w:t>
      </w:r>
      <w:r w:rsidR="000310F5" w:rsidRPr="000310F5">
        <w:rPr>
          <w:rFonts w:ascii="Times New Roman" w:eastAsia="Times New Roman" w:hAnsi="Times New Roman" w:cs="Times New Roman"/>
        </w:rPr>
        <w:t>muhammadramadhan.2019@student.uny.ac.id</w:t>
      </w:r>
    </w:p>
    <w:p w:rsidR="00FD4AFC" w:rsidRPr="00CF7EBD" w:rsidRDefault="00D161D0">
      <w:pPr>
        <w:spacing w:after="568"/>
        <w:ind w:left="1418"/>
        <w:jc w:val="both"/>
        <w:rPr>
          <w:rFonts w:ascii="Times New Roman" w:eastAsia="Times New Roman" w:hAnsi="Times New Roman" w:cs="Times New Roman"/>
          <w:b/>
          <w:sz w:val="20"/>
          <w:szCs w:val="20"/>
        </w:rPr>
      </w:pPr>
      <w:r w:rsidRPr="00CF7EBD">
        <w:rPr>
          <w:rFonts w:ascii="Times New Roman" w:eastAsia="Times New Roman" w:hAnsi="Times New Roman" w:cs="Times New Roman"/>
          <w:b/>
          <w:sz w:val="20"/>
          <w:szCs w:val="20"/>
        </w:rPr>
        <w:t xml:space="preserve">Abstract. </w:t>
      </w:r>
      <w:r w:rsidR="000310F5" w:rsidRPr="000310F5">
        <w:rPr>
          <w:rFonts w:ascii="Times New Roman" w:eastAsia="Times New Roman" w:hAnsi="Times New Roman" w:cs="Times New Roman"/>
          <w:sz w:val="20"/>
          <w:szCs w:val="20"/>
        </w:rPr>
        <w:t xml:space="preserve">This study aims to determine the </w:t>
      </w:r>
      <w:r w:rsidR="00E33887">
        <w:rPr>
          <w:rFonts w:ascii="Times New Roman" w:eastAsia="Times New Roman" w:hAnsi="Times New Roman" w:cs="Times New Roman"/>
          <w:sz w:val="20"/>
          <w:szCs w:val="20"/>
        </w:rPr>
        <w:t>influece</w:t>
      </w:r>
      <w:r w:rsidR="000310F5" w:rsidRPr="000310F5">
        <w:rPr>
          <w:rFonts w:ascii="Times New Roman" w:eastAsia="Times New Roman" w:hAnsi="Times New Roman" w:cs="Times New Roman"/>
          <w:sz w:val="20"/>
          <w:szCs w:val="20"/>
        </w:rPr>
        <w:t xml:space="preserve"> of industrial work practice and workshop facilities on work readiness in class XI </w:t>
      </w:r>
      <w:r w:rsidR="00FC34EF" w:rsidRPr="00FC34EF">
        <w:rPr>
          <w:rFonts w:ascii="Times New Roman" w:eastAsia="Times New Roman" w:hAnsi="Times New Roman" w:cs="Times New Roman"/>
          <w:sz w:val="20"/>
          <w:szCs w:val="20"/>
        </w:rPr>
        <w:t xml:space="preserve">mechanical </w:t>
      </w:r>
      <w:r w:rsidR="000310F5" w:rsidRPr="000310F5">
        <w:rPr>
          <w:rFonts w:ascii="Times New Roman" w:eastAsia="Times New Roman" w:hAnsi="Times New Roman" w:cs="Times New Roman"/>
          <w:sz w:val="20"/>
          <w:szCs w:val="20"/>
        </w:rPr>
        <w:t xml:space="preserve">engineering. The research subjects were 101 students of class XI </w:t>
      </w:r>
      <w:r w:rsidR="00FC34EF">
        <w:rPr>
          <w:rFonts w:ascii="Times New Roman" w:eastAsia="Times New Roman" w:hAnsi="Times New Roman" w:cs="Times New Roman"/>
          <w:sz w:val="20"/>
          <w:szCs w:val="20"/>
        </w:rPr>
        <w:t>mechanical</w:t>
      </w:r>
      <w:r w:rsidR="000310F5" w:rsidRPr="000310F5">
        <w:rPr>
          <w:rFonts w:ascii="Times New Roman" w:eastAsia="Times New Roman" w:hAnsi="Times New Roman" w:cs="Times New Roman"/>
          <w:sz w:val="20"/>
          <w:szCs w:val="20"/>
        </w:rPr>
        <w:t xml:space="preserve"> engineering SMKN 1 Semarang, using the ex post facto research method using statistical analysis using the SPSS program. The results of the study are as follows: (1) Industrial work practices have a positive effect on job readiness with a significance of 0.000, a determination coefficient of 30% has an effect; (2) Workshop infrastructure has a positive influence on work readiness with a significance value of 0.000, 28.6% determi</w:t>
      </w:r>
      <w:r w:rsidR="000310F5">
        <w:rPr>
          <w:rFonts w:ascii="Times New Roman" w:eastAsia="Times New Roman" w:hAnsi="Times New Roman" w:cs="Times New Roman"/>
          <w:sz w:val="20"/>
          <w:szCs w:val="20"/>
        </w:rPr>
        <w:t>nation efficiency has an effect;</w:t>
      </w:r>
      <w:r w:rsidR="000310F5" w:rsidRPr="000310F5">
        <w:rPr>
          <w:rFonts w:ascii="Times New Roman" w:eastAsia="Times New Roman" w:hAnsi="Times New Roman" w:cs="Times New Roman"/>
          <w:sz w:val="20"/>
          <w:szCs w:val="20"/>
        </w:rPr>
        <w:t xml:space="preserve"> (3) Industrial work practices and infrastructure together have an influence on job readiness indicated by a significance value of 0.000 having a coefficient of determination 58,6% in influencing job readiness</w:t>
      </w:r>
      <w:r w:rsidR="007A6EA0" w:rsidRPr="00CF7EBD">
        <w:rPr>
          <w:rFonts w:ascii="Times New Roman" w:eastAsia="Times New Roman" w:hAnsi="Times New Roman" w:cs="Times New Roman"/>
          <w:sz w:val="20"/>
          <w:szCs w:val="20"/>
        </w:rPr>
        <w:t>.</w:t>
      </w:r>
      <w:r w:rsidRPr="00CF7EBD">
        <w:rPr>
          <w:rFonts w:ascii="Times New Roman" w:eastAsia="Times New Roman" w:hAnsi="Times New Roman" w:cs="Times New Roman"/>
          <w:sz w:val="20"/>
          <w:szCs w:val="20"/>
        </w:rPr>
        <w:t xml:space="preserve"> </w:t>
      </w:r>
    </w:p>
    <w:p w:rsidR="00FD4AFC" w:rsidRPr="00CF7EBD" w:rsidRDefault="00D161D0">
      <w:pPr>
        <w:numPr>
          <w:ilvl w:val="0"/>
          <w:numId w:val="1"/>
        </w:numPr>
        <w:pBdr>
          <w:top w:val="nil"/>
          <w:left w:val="nil"/>
          <w:bottom w:val="nil"/>
          <w:right w:val="nil"/>
          <w:between w:val="nil"/>
        </w:pBdr>
        <w:spacing w:after="240"/>
        <w:rPr>
          <w:rFonts w:ascii="Times New Roman" w:eastAsia="Times New Roman" w:hAnsi="Times New Roman" w:cs="Times New Roman"/>
          <w:b/>
        </w:rPr>
      </w:pPr>
      <w:r w:rsidRPr="00CF7EBD">
        <w:rPr>
          <w:rFonts w:ascii="Times New Roman" w:eastAsia="Times New Roman" w:hAnsi="Times New Roman" w:cs="Times New Roman"/>
          <w:b/>
        </w:rPr>
        <w:t xml:space="preserve">Introduction </w:t>
      </w:r>
    </w:p>
    <w:p w:rsidR="0029475E" w:rsidRDefault="0029475E" w:rsidP="0029475E">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29475E">
        <w:rPr>
          <w:rFonts w:ascii="Times New Roman" w:eastAsia="Times New Roman" w:hAnsi="Times New Roman" w:cs="Times New Roman"/>
        </w:rPr>
        <w:t>Industrial Work Practice is a form of professional expertise education that combines systematically and synchronously educational programs in schools and skills mastery programs obtained through direct work activities in the world of work [1, 2], aimed at providing self-development for students to work in the industry [3] and equip student competencies according to industry needs [4, 5]. Industrial work practices provide and at the same time teach students [6] about and how life in the world of work in addition to the field of testing the knowledge he has learned [7], in the world of work there are many things that must be prepared, one of which is work readiness because many students have already done it. doing an internship only gets a little information about the work they have [8] so that this will result in many vocational graduate students not being accommodated in the world of work because they are not mature in work [9]. This is not in line with the goals of vocational education to educate and produce graduates who have the competencies needed by industry [10-12].</w:t>
      </w:r>
    </w:p>
    <w:p w:rsidR="0029475E" w:rsidRPr="0029475E" w:rsidRDefault="0029475E" w:rsidP="0029475E">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29475E">
        <w:rPr>
          <w:rFonts w:ascii="Times New Roman" w:eastAsia="Times New Roman" w:hAnsi="Times New Roman" w:cs="Times New Roman"/>
        </w:rPr>
        <w:t xml:space="preserve">In implementing this industrial work practice, it is hoped that every student will be able to participate in work activities and understand work activities carried out in the business world or in the industrial world so that these students can achieve and get something good and useful for themselves and so that these students are able to show their maximum performance. what he has done while in the business or industrial world so that he is able to make himself counted in the business world or the industrial world. The industrial practice provides and at the same time teaches students about and how life in the world </w:t>
      </w:r>
      <w:r w:rsidRPr="0029475E">
        <w:rPr>
          <w:rFonts w:ascii="Times New Roman" w:eastAsia="Times New Roman" w:hAnsi="Times New Roman" w:cs="Times New Roman"/>
        </w:rPr>
        <w:lastRenderedPageBreak/>
        <w:t>of work in addition to testing the knowledge they learn through industrial practice students are expected to be able to understand how the rules and regulations in the industrial/business world, so that when they graduate they are correct really ready to work both scientifically and mentally and mentally.</w:t>
      </w:r>
    </w:p>
    <w:p w:rsidR="0029475E" w:rsidRPr="0029475E" w:rsidRDefault="0029475E" w:rsidP="0029475E">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29475E">
        <w:rPr>
          <w:rFonts w:ascii="Times New Roman" w:eastAsia="Times New Roman" w:hAnsi="Times New Roman" w:cs="Times New Roman"/>
        </w:rPr>
        <w:t>The condition of practical facilities and infrastructure in schools is one of the supporting careers of junior high school students in training skills [13]. Educational facilities are all sets of equipment, materials, and furniture that are directly used in the educational process in schools, in relation to this educational infrastructure is all basic equipment which indirectly implies the implementation of the educational process in schools, basically, all tools and equipment are supporting facilities in the learning process at school. Infrastructure facilities also need attention to improve student work readiness, the role of industry in cooperation is not only to channel graduates but can work together to help support infrastructure in schools, can be done in collaboration with the teaching factory program so as to support the rejuvenation of practical infrastructure specifically [14-15].</w:t>
      </w:r>
    </w:p>
    <w:p w:rsidR="0029475E" w:rsidRPr="0029475E" w:rsidRDefault="0029475E" w:rsidP="0029475E">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29475E">
        <w:rPr>
          <w:rFonts w:ascii="Times New Roman" w:eastAsia="Times New Roman" w:hAnsi="Times New Roman" w:cs="Times New Roman"/>
        </w:rPr>
        <w:t>In the world of work, there are so many things that must be prepared, one of which is work readiness, many students who have done industrial practice only get a little information about the jobs they have, the efforts made to find jobs and career planning are not mature so that it will result in many student graduates vocational education is not accommodated in the world of work because the industrial world requires personnel who are mature and ready to work. In this case, vocational education plays an important role in educating students so that they can become skilled, creative, and ready to work students.</w:t>
      </w:r>
      <w:r w:rsidR="004F1074">
        <w:rPr>
          <w:rFonts w:ascii="Times New Roman" w:eastAsia="Times New Roman" w:hAnsi="Times New Roman" w:cs="Times New Roman"/>
        </w:rPr>
        <w:t xml:space="preserve">  </w:t>
      </w:r>
      <w:r w:rsidRPr="0029475E">
        <w:rPr>
          <w:rFonts w:ascii="Times New Roman" w:eastAsia="Times New Roman" w:hAnsi="Times New Roman" w:cs="Times New Roman"/>
        </w:rPr>
        <w:t>Work readiness is a person's ability to complete work in accordance with the provisions without experiencing difficulties and obstacles with maximum results and according to the predetermined targets. In this condition, student work-readiness shows the harmony between physical maturity, mental maturity, and learning experience so that individuals have the ability to carry out an activity or certain behavior in a working relationship.</w:t>
      </w:r>
    </w:p>
    <w:p w:rsidR="0029475E" w:rsidRDefault="0029475E" w:rsidP="0029475E">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29475E">
        <w:rPr>
          <w:rFonts w:ascii="Times New Roman" w:eastAsia="Times New Roman" w:hAnsi="Times New Roman" w:cs="Times New Roman"/>
        </w:rPr>
        <w:t xml:space="preserve">After making preliminary observations there are students who after carrying out internships find it difficult to find work due to lack of student competence and inadequate career planning because the facilities and infrastructure are not fully supported due to many using equipment that does not comply with Standard Operational Procedures. In addition, the competence of students is not ready to carry out work in the industry, the rules that are applied in the workplace [16]. Based on these problems, research was carried out on the effect of industrial work practices and workshop infrastructure on work readiness of class XI </w:t>
      </w:r>
      <w:r w:rsidR="00FC34EF" w:rsidRPr="00FC34EF">
        <w:rPr>
          <w:rFonts w:ascii="Times New Roman" w:eastAsia="Times New Roman" w:hAnsi="Times New Roman" w:cs="Times New Roman"/>
        </w:rPr>
        <w:t xml:space="preserve">mechanical </w:t>
      </w:r>
      <w:r w:rsidR="00FC34EF" w:rsidRPr="0029475E">
        <w:rPr>
          <w:rFonts w:ascii="Times New Roman" w:eastAsia="Times New Roman" w:hAnsi="Times New Roman" w:cs="Times New Roman"/>
        </w:rPr>
        <w:t xml:space="preserve">engineering </w:t>
      </w:r>
      <w:r w:rsidRPr="0029475E">
        <w:rPr>
          <w:rFonts w:ascii="Times New Roman" w:eastAsia="Times New Roman" w:hAnsi="Times New Roman" w:cs="Times New Roman"/>
        </w:rPr>
        <w:t>at SMKN 1 Semarang.</w:t>
      </w:r>
    </w:p>
    <w:p w:rsidR="00245F85" w:rsidRPr="00CF7EBD" w:rsidRDefault="00245F8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AB7C66" w:rsidRPr="00CF7EBD" w:rsidRDefault="00C874C9" w:rsidP="00AB7C66">
      <w:pPr>
        <w:numPr>
          <w:ilvl w:val="0"/>
          <w:numId w:val="1"/>
        </w:numPr>
        <w:pBdr>
          <w:top w:val="nil"/>
          <w:left w:val="nil"/>
          <w:bottom w:val="nil"/>
          <w:right w:val="nil"/>
          <w:between w:val="nil"/>
        </w:pBdr>
        <w:spacing w:after="240"/>
        <w:rPr>
          <w:rFonts w:ascii="Times New Roman" w:eastAsia="Times New Roman" w:hAnsi="Times New Roman" w:cs="Times New Roman"/>
          <w:b/>
        </w:rPr>
      </w:pPr>
      <w:r w:rsidRPr="00CF7EBD">
        <w:rPr>
          <w:rFonts w:ascii="Times New Roman" w:eastAsia="Times New Roman" w:hAnsi="Times New Roman" w:cs="Times New Roman"/>
          <w:b/>
        </w:rPr>
        <w:t>M</w:t>
      </w:r>
      <w:r w:rsidR="00AB7C66" w:rsidRPr="00CF7EBD">
        <w:rPr>
          <w:rFonts w:ascii="Times New Roman" w:eastAsia="Times New Roman" w:hAnsi="Times New Roman" w:cs="Times New Roman"/>
          <w:b/>
        </w:rPr>
        <w:t>ethods</w:t>
      </w:r>
    </w:p>
    <w:p w:rsidR="00B750F3" w:rsidRDefault="006433AB" w:rsidP="006433A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6433AB">
        <w:rPr>
          <w:rFonts w:ascii="Times New Roman" w:eastAsia="Times New Roman" w:hAnsi="Times New Roman" w:cs="Times New Roman"/>
        </w:rPr>
        <w:t xml:space="preserve">This research is an ex post facto study using quantitative data. The research subjects consisted of 4 </w:t>
      </w:r>
      <w:r w:rsidR="00FC34EF">
        <w:rPr>
          <w:rFonts w:ascii="Times New Roman" w:eastAsia="Times New Roman" w:hAnsi="Times New Roman" w:cs="Times New Roman"/>
        </w:rPr>
        <w:t>mechanical</w:t>
      </w:r>
      <w:r w:rsidRPr="006433AB">
        <w:rPr>
          <w:rFonts w:ascii="Times New Roman" w:eastAsia="Times New Roman" w:hAnsi="Times New Roman" w:cs="Times New Roman"/>
        </w:rPr>
        <w:t xml:space="preserve"> engineering classes with a total of 101 research subjects with the </w:t>
      </w:r>
      <w:r w:rsidR="00FC34EF">
        <w:rPr>
          <w:rFonts w:ascii="Times New Roman" w:eastAsia="Times New Roman" w:hAnsi="Times New Roman" w:cs="Times New Roman"/>
        </w:rPr>
        <w:t>mechanical</w:t>
      </w:r>
      <w:r w:rsidRPr="006433AB">
        <w:rPr>
          <w:rFonts w:ascii="Times New Roman" w:eastAsia="Times New Roman" w:hAnsi="Times New Roman" w:cs="Times New Roman"/>
        </w:rPr>
        <w:t xml:space="preserve"> engineering study program at SMKN 1 Semarang.</w:t>
      </w:r>
      <w:r>
        <w:rPr>
          <w:rFonts w:ascii="Times New Roman" w:eastAsia="Times New Roman" w:hAnsi="Times New Roman" w:cs="Times New Roman"/>
        </w:rPr>
        <w:t xml:space="preserve"> </w:t>
      </w:r>
      <w:r w:rsidR="00B750F3" w:rsidRPr="00CF7EBD">
        <w:rPr>
          <w:rFonts w:ascii="Times New Roman" w:eastAsia="Times New Roman" w:hAnsi="Times New Roman" w:cs="Times New Roman"/>
        </w:rPr>
        <w:t>The respondents are shown in Table 1.</w:t>
      </w:r>
    </w:p>
    <w:p w:rsidR="006433AB" w:rsidRPr="00CF7EBD" w:rsidRDefault="006433AB" w:rsidP="006433A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AB7C66" w:rsidRPr="00CF7EBD" w:rsidRDefault="00B750F3" w:rsidP="005F21D3">
      <w:pPr>
        <w:pBdr>
          <w:top w:val="nil"/>
          <w:left w:val="nil"/>
          <w:bottom w:val="nil"/>
          <w:right w:val="nil"/>
          <w:between w:val="nil"/>
        </w:pBdr>
        <w:spacing w:after="120" w:line="240" w:lineRule="auto"/>
        <w:jc w:val="center"/>
        <w:rPr>
          <w:rFonts w:ascii="Times New Roman" w:eastAsia="Times New Roman" w:hAnsi="Times New Roman" w:cs="Times New Roman"/>
        </w:rPr>
      </w:pPr>
      <w:r w:rsidRPr="00CF7EBD">
        <w:rPr>
          <w:rFonts w:ascii="Times New Roman" w:eastAsia="Times New Roman" w:hAnsi="Times New Roman" w:cs="Times New Roman"/>
          <w:b/>
        </w:rPr>
        <w:t>Table 1.</w:t>
      </w:r>
      <w:r w:rsidRPr="00CF7EBD">
        <w:rPr>
          <w:rFonts w:ascii="Times New Roman" w:eastAsia="Times New Roman" w:hAnsi="Times New Roman" w:cs="Times New Roman"/>
        </w:rPr>
        <w:t xml:space="preserve"> List of Sample Respondents</w:t>
      </w:r>
    </w:p>
    <w:tbl>
      <w:tblPr>
        <w:tblStyle w:val="TableGrid"/>
        <w:tblW w:w="5000" w:type="pct"/>
        <w:tblLook w:val="04A0" w:firstRow="1" w:lastRow="0" w:firstColumn="1" w:lastColumn="0" w:noHBand="0" w:noVBand="1"/>
      </w:tblPr>
      <w:tblGrid>
        <w:gridCol w:w="677"/>
        <w:gridCol w:w="4477"/>
        <w:gridCol w:w="3916"/>
      </w:tblGrid>
      <w:tr w:rsidR="006433AB" w:rsidRPr="00C26CDF" w:rsidTr="006433AB">
        <w:trPr>
          <w:trHeight w:val="20"/>
        </w:trPr>
        <w:tc>
          <w:tcPr>
            <w:tcW w:w="373" w:type="pct"/>
            <w:tcBorders>
              <w:left w:val="nil"/>
              <w:bottom w:val="single" w:sz="4" w:space="0" w:color="auto"/>
              <w:right w:val="nil"/>
            </w:tcBorders>
          </w:tcPr>
          <w:p w:rsidR="006433AB" w:rsidRPr="00C26CDF" w:rsidRDefault="006433AB" w:rsidP="006433AB">
            <w:pPr>
              <w:pStyle w:val="ListParagraph"/>
              <w:ind w:left="27"/>
              <w:jc w:val="center"/>
              <w:rPr>
                <w:rFonts w:ascii="Times New Roman" w:hAnsi="Times New Roman" w:cs="Times New Roman"/>
              </w:rPr>
            </w:pPr>
            <w:r>
              <w:rPr>
                <w:rFonts w:ascii="Times New Roman" w:hAnsi="Times New Roman" w:cs="Times New Roman"/>
              </w:rPr>
              <w:t>No</w:t>
            </w:r>
          </w:p>
        </w:tc>
        <w:tc>
          <w:tcPr>
            <w:tcW w:w="2468" w:type="pct"/>
            <w:tcBorders>
              <w:left w:val="nil"/>
              <w:bottom w:val="single" w:sz="4" w:space="0" w:color="auto"/>
              <w:right w:val="nil"/>
            </w:tcBorders>
          </w:tcPr>
          <w:p w:rsidR="006433AB" w:rsidRPr="00C26CDF" w:rsidRDefault="006433AB" w:rsidP="009452F4">
            <w:pPr>
              <w:pStyle w:val="ListParagraph"/>
              <w:ind w:left="39"/>
              <w:jc w:val="center"/>
              <w:rPr>
                <w:rFonts w:ascii="Times New Roman" w:hAnsi="Times New Roman" w:cs="Times New Roman"/>
              </w:rPr>
            </w:pPr>
            <w:r>
              <w:rPr>
                <w:rFonts w:ascii="Times New Roman" w:hAnsi="Times New Roman" w:cs="Times New Roman"/>
              </w:rPr>
              <w:t>Class XII</w:t>
            </w:r>
          </w:p>
        </w:tc>
        <w:tc>
          <w:tcPr>
            <w:tcW w:w="2159" w:type="pct"/>
            <w:tcBorders>
              <w:left w:val="nil"/>
              <w:bottom w:val="single" w:sz="4" w:space="0" w:color="auto"/>
              <w:right w:val="nil"/>
            </w:tcBorders>
          </w:tcPr>
          <w:p w:rsidR="006433AB" w:rsidRPr="00C26CDF" w:rsidRDefault="006433AB" w:rsidP="009452F4">
            <w:pPr>
              <w:pStyle w:val="ListParagraph"/>
              <w:ind w:left="28"/>
              <w:jc w:val="center"/>
              <w:rPr>
                <w:rFonts w:ascii="Times New Roman" w:hAnsi="Times New Roman" w:cs="Times New Roman"/>
              </w:rPr>
            </w:pPr>
            <w:r>
              <w:rPr>
                <w:rFonts w:ascii="Times New Roman" w:hAnsi="Times New Roman" w:cs="Times New Roman"/>
              </w:rPr>
              <w:t>Repondents</w:t>
            </w:r>
          </w:p>
        </w:tc>
      </w:tr>
      <w:tr w:rsidR="006433AB" w:rsidRPr="00C26CDF" w:rsidTr="006433AB">
        <w:trPr>
          <w:trHeight w:val="20"/>
        </w:trPr>
        <w:tc>
          <w:tcPr>
            <w:tcW w:w="373" w:type="pct"/>
            <w:tcBorders>
              <w:left w:val="nil"/>
              <w:bottom w:val="nil"/>
              <w:right w:val="nil"/>
            </w:tcBorders>
          </w:tcPr>
          <w:p w:rsidR="006433AB" w:rsidRPr="00C26CDF" w:rsidRDefault="006433AB" w:rsidP="006433AB">
            <w:pPr>
              <w:pStyle w:val="ListParagraph"/>
              <w:ind w:left="27"/>
              <w:jc w:val="center"/>
              <w:rPr>
                <w:rFonts w:ascii="Times New Roman" w:hAnsi="Times New Roman" w:cs="Times New Roman"/>
              </w:rPr>
            </w:pPr>
            <w:r w:rsidRPr="00C26CDF">
              <w:rPr>
                <w:rFonts w:ascii="Times New Roman" w:hAnsi="Times New Roman" w:cs="Times New Roman"/>
              </w:rPr>
              <w:t>1.</w:t>
            </w:r>
          </w:p>
        </w:tc>
        <w:tc>
          <w:tcPr>
            <w:tcW w:w="2468" w:type="pct"/>
            <w:tcBorders>
              <w:left w:val="nil"/>
              <w:bottom w:val="nil"/>
              <w:right w:val="nil"/>
            </w:tcBorders>
          </w:tcPr>
          <w:p w:rsidR="006433AB" w:rsidRPr="00C26CDF" w:rsidRDefault="006433AB" w:rsidP="009452F4">
            <w:pPr>
              <w:pStyle w:val="ListParagraph"/>
              <w:ind w:left="39" w:right="170"/>
              <w:rPr>
                <w:rFonts w:ascii="Times New Roman" w:hAnsi="Times New Roman" w:cs="Times New Roman"/>
              </w:rPr>
            </w:pPr>
            <w:r w:rsidRPr="006433AB">
              <w:rPr>
                <w:rFonts w:ascii="Times New Roman" w:hAnsi="Times New Roman" w:cs="Times New Roman"/>
              </w:rPr>
              <w:t>Department</w:t>
            </w:r>
            <w:r>
              <w:rPr>
                <w:rFonts w:ascii="Times New Roman" w:hAnsi="Times New Roman" w:cs="Times New Roman"/>
              </w:rPr>
              <w:t xml:space="preserve"> of </w:t>
            </w:r>
            <w:r w:rsidR="00FC34EF">
              <w:rPr>
                <w:rFonts w:ascii="Times New Roman" w:hAnsi="Times New Roman" w:cs="Times New Roman"/>
              </w:rPr>
              <w:t>Mechanical</w:t>
            </w:r>
            <w:r>
              <w:rPr>
                <w:rFonts w:ascii="Times New Roman" w:hAnsi="Times New Roman" w:cs="Times New Roman"/>
              </w:rPr>
              <w:t xml:space="preserve"> Engineering A</w:t>
            </w:r>
          </w:p>
        </w:tc>
        <w:tc>
          <w:tcPr>
            <w:tcW w:w="2159" w:type="pct"/>
            <w:tcBorders>
              <w:left w:val="nil"/>
              <w:bottom w:val="nil"/>
              <w:right w:val="nil"/>
            </w:tcBorders>
          </w:tcPr>
          <w:p w:rsidR="006433AB" w:rsidRPr="00C26CDF" w:rsidRDefault="006433AB" w:rsidP="009452F4">
            <w:pPr>
              <w:pStyle w:val="ListParagraph"/>
              <w:ind w:left="28"/>
              <w:jc w:val="center"/>
              <w:rPr>
                <w:rFonts w:ascii="Times New Roman" w:hAnsi="Times New Roman" w:cs="Times New Roman"/>
              </w:rPr>
            </w:pPr>
            <w:r>
              <w:rPr>
                <w:rFonts w:ascii="Times New Roman" w:hAnsi="Times New Roman" w:cs="Times New Roman"/>
              </w:rPr>
              <w:t>26</w:t>
            </w:r>
            <w:r w:rsidRPr="00C26CDF">
              <w:rPr>
                <w:rFonts w:ascii="Times New Roman" w:hAnsi="Times New Roman" w:cs="Times New Roman"/>
              </w:rPr>
              <w:t xml:space="preserve"> </w:t>
            </w:r>
          </w:p>
        </w:tc>
      </w:tr>
      <w:tr w:rsidR="006433AB" w:rsidRPr="00C26CDF" w:rsidTr="006433AB">
        <w:trPr>
          <w:trHeight w:val="20"/>
        </w:trPr>
        <w:tc>
          <w:tcPr>
            <w:tcW w:w="373" w:type="pct"/>
            <w:tcBorders>
              <w:top w:val="nil"/>
              <w:left w:val="nil"/>
              <w:bottom w:val="nil"/>
              <w:right w:val="nil"/>
            </w:tcBorders>
          </w:tcPr>
          <w:p w:rsidR="006433AB" w:rsidRPr="00C26CDF" w:rsidRDefault="006433AB" w:rsidP="006433AB">
            <w:pPr>
              <w:pStyle w:val="ListParagraph"/>
              <w:ind w:left="27"/>
              <w:jc w:val="center"/>
              <w:rPr>
                <w:rFonts w:ascii="Times New Roman" w:hAnsi="Times New Roman" w:cs="Times New Roman"/>
              </w:rPr>
            </w:pPr>
            <w:r w:rsidRPr="00C26CDF">
              <w:rPr>
                <w:rFonts w:ascii="Times New Roman" w:hAnsi="Times New Roman" w:cs="Times New Roman"/>
              </w:rPr>
              <w:t>2.</w:t>
            </w:r>
          </w:p>
        </w:tc>
        <w:tc>
          <w:tcPr>
            <w:tcW w:w="2468" w:type="pct"/>
            <w:tcBorders>
              <w:top w:val="nil"/>
              <w:left w:val="nil"/>
              <w:bottom w:val="nil"/>
              <w:right w:val="nil"/>
            </w:tcBorders>
          </w:tcPr>
          <w:p w:rsidR="006433AB" w:rsidRPr="00C26CDF" w:rsidRDefault="006433AB" w:rsidP="006433AB">
            <w:pPr>
              <w:pStyle w:val="ListParagraph"/>
              <w:ind w:left="39" w:right="170"/>
              <w:rPr>
                <w:rFonts w:ascii="Times New Roman" w:hAnsi="Times New Roman" w:cs="Times New Roman"/>
              </w:rPr>
            </w:pPr>
            <w:r w:rsidRPr="006433AB">
              <w:rPr>
                <w:rFonts w:ascii="Times New Roman" w:hAnsi="Times New Roman" w:cs="Times New Roman"/>
              </w:rPr>
              <w:t>Department</w:t>
            </w:r>
            <w:r>
              <w:rPr>
                <w:rFonts w:ascii="Times New Roman" w:hAnsi="Times New Roman" w:cs="Times New Roman"/>
              </w:rPr>
              <w:t xml:space="preserve"> of </w:t>
            </w:r>
            <w:r w:rsidR="00FC34EF">
              <w:rPr>
                <w:rFonts w:ascii="Times New Roman" w:hAnsi="Times New Roman" w:cs="Times New Roman"/>
              </w:rPr>
              <w:t>Mechanical</w:t>
            </w:r>
            <w:r>
              <w:rPr>
                <w:rFonts w:ascii="Times New Roman" w:hAnsi="Times New Roman" w:cs="Times New Roman"/>
              </w:rPr>
              <w:t xml:space="preserve"> Engineering B</w:t>
            </w:r>
          </w:p>
        </w:tc>
        <w:tc>
          <w:tcPr>
            <w:tcW w:w="2159" w:type="pct"/>
            <w:tcBorders>
              <w:top w:val="nil"/>
              <w:left w:val="nil"/>
              <w:bottom w:val="nil"/>
              <w:right w:val="nil"/>
            </w:tcBorders>
          </w:tcPr>
          <w:p w:rsidR="006433AB" w:rsidRPr="00C26CDF" w:rsidRDefault="006433AB" w:rsidP="006433AB">
            <w:pPr>
              <w:pStyle w:val="ListParagraph"/>
              <w:ind w:left="28"/>
              <w:jc w:val="center"/>
              <w:rPr>
                <w:rFonts w:ascii="Times New Roman" w:hAnsi="Times New Roman" w:cs="Times New Roman"/>
              </w:rPr>
            </w:pPr>
            <w:r>
              <w:rPr>
                <w:rFonts w:ascii="Times New Roman" w:hAnsi="Times New Roman" w:cs="Times New Roman"/>
              </w:rPr>
              <w:t>26</w:t>
            </w:r>
            <w:r w:rsidRPr="00C26CDF">
              <w:rPr>
                <w:rFonts w:ascii="Times New Roman" w:hAnsi="Times New Roman" w:cs="Times New Roman"/>
              </w:rPr>
              <w:t xml:space="preserve"> </w:t>
            </w:r>
          </w:p>
        </w:tc>
      </w:tr>
      <w:tr w:rsidR="006433AB" w:rsidRPr="00C26CDF" w:rsidTr="006433AB">
        <w:trPr>
          <w:trHeight w:val="20"/>
        </w:trPr>
        <w:tc>
          <w:tcPr>
            <w:tcW w:w="373" w:type="pct"/>
            <w:tcBorders>
              <w:top w:val="nil"/>
              <w:left w:val="nil"/>
              <w:bottom w:val="nil"/>
              <w:right w:val="nil"/>
            </w:tcBorders>
          </w:tcPr>
          <w:p w:rsidR="006433AB" w:rsidRPr="00C26CDF" w:rsidRDefault="006433AB" w:rsidP="006433AB">
            <w:pPr>
              <w:pStyle w:val="ListParagraph"/>
              <w:ind w:left="27"/>
              <w:jc w:val="center"/>
              <w:rPr>
                <w:rFonts w:ascii="Times New Roman" w:hAnsi="Times New Roman" w:cs="Times New Roman"/>
              </w:rPr>
            </w:pPr>
            <w:r w:rsidRPr="00C26CDF">
              <w:rPr>
                <w:rFonts w:ascii="Times New Roman" w:hAnsi="Times New Roman" w:cs="Times New Roman"/>
              </w:rPr>
              <w:t>3.</w:t>
            </w:r>
          </w:p>
        </w:tc>
        <w:tc>
          <w:tcPr>
            <w:tcW w:w="2468" w:type="pct"/>
            <w:tcBorders>
              <w:top w:val="nil"/>
              <w:left w:val="nil"/>
              <w:bottom w:val="nil"/>
              <w:right w:val="nil"/>
            </w:tcBorders>
          </w:tcPr>
          <w:p w:rsidR="006433AB" w:rsidRPr="00C26CDF" w:rsidRDefault="006433AB" w:rsidP="006433AB">
            <w:pPr>
              <w:pStyle w:val="ListParagraph"/>
              <w:ind w:left="39" w:right="170"/>
              <w:rPr>
                <w:rFonts w:ascii="Times New Roman" w:hAnsi="Times New Roman" w:cs="Times New Roman"/>
              </w:rPr>
            </w:pPr>
            <w:r w:rsidRPr="006433AB">
              <w:rPr>
                <w:rFonts w:ascii="Times New Roman" w:hAnsi="Times New Roman" w:cs="Times New Roman"/>
              </w:rPr>
              <w:t>Department</w:t>
            </w:r>
            <w:r>
              <w:rPr>
                <w:rFonts w:ascii="Times New Roman" w:hAnsi="Times New Roman" w:cs="Times New Roman"/>
              </w:rPr>
              <w:t xml:space="preserve"> of </w:t>
            </w:r>
            <w:r w:rsidR="00FC34EF">
              <w:rPr>
                <w:rFonts w:ascii="Times New Roman" w:hAnsi="Times New Roman" w:cs="Times New Roman"/>
              </w:rPr>
              <w:t>Mechanical</w:t>
            </w:r>
            <w:r>
              <w:rPr>
                <w:rFonts w:ascii="Times New Roman" w:hAnsi="Times New Roman" w:cs="Times New Roman"/>
              </w:rPr>
              <w:t xml:space="preserve"> Engineering C</w:t>
            </w:r>
          </w:p>
        </w:tc>
        <w:tc>
          <w:tcPr>
            <w:tcW w:w="2159" w:type="pct"/>
            <w:tcBorders>
              <w:top w:val="nil"/>
              <w:left w:val="nil"/>
              <w:bottom w:val="nil"/>
              <w:right w:val="nil"/>
            </w:tcBorders>
          </w:tcPr>
          <w:p w:rsidR="006433AB" w:rsidRPr="00C26CDF" w:rsidRDefault="006433AB" w:rsidP="006433AB">
            <w:pPr>
              <w:pStyle w:val="ListParagraph"/>
              <w:ind w:left="28"/>
              <w:jc w:val="center"/>
              <w:rPr>
                <w:rFonts w:ascii="Times New Roman" w:hAnsi="Times New Roman" w:cs="Times New Roman"/>
              </w:rPr>
            </w:pPr>
            <w:r>
              <w:rPr>
                <w:rFonts w:ascii="Times New Roman" w:hAnsi="Times New Roman" w:cs="Times New Roman"/>
              </w:rPr>
              <w:t>26</w:t>
            </w:r>
            <w:r w:rsidRPr="00C26CDF">
              <w:rPr>
                <w:rFonts w:ascii="Times New Roman" w:hAnsi="Times New Roman" w:cs="Times New Roman"/>
              </w:rPr>
              <w:t xml:space="preserve"> </w:t>
            </w:r>
          </w:p>
        </w:tc>
      </w:tr>
      <w:tr w:rsidR="006433AB" w:rsidRPr="00C26CDF" w:rsidTr="006433AB">
        <w:trPr>
          <w:trHeight w:val="20"/>
        </w:trPr>
        <w:tc>
          <w:tcPr>
            <w:tcW w:w="373" w:type="pct"/>
            <w:tcBorders>
              <w:top w:val="nil"/>
              <w:left w:val="nil"/>
              <w:bottom w:val="nil"/>
              <w:right w:val="nil"/>
            </w:tcBorders>
          </w:tcPr>
          <w:p w:rsidR="006433AB" w:rsidRPr="00C26CDF" w:rsidRDefault="006433AB" w:rsidP="006433AB">
            <w:pPr>
              <w:pStyle w:val="ListParagraph"/>
              <w:ind w:left="27"/>
              <w:jc w:val="center"/>
              <w:rPr>
                <w:rFonts w:ascii="Times New Roman" w:hAnsi="Times New Roman" w:cs="Times New Roman"/>
              </w:rPr>
            </w:pPr>
            <w:r w:rsidRPr="00C26CDF">
              <w:rPr>
                <w:rFonts w:ascii="Times New Roman" w:hAnsi="Times New Roman" w:cs="Times New Roman"/>
              </w:rPr>
              <w:t>4.</w:t>
            </w:r>
          </w:p>
        </w:tc>
        <w:tc>
          <w:tcPr>
            <w:tcW w:w="2468" w:type="pct"/>
            <w:tcBorders>
              <w:top w:val="nil"/>
              <w:left w:val="nil"/>
              <w:bottom w:val="nil"/>
              <w:right w:val="nil"/>
            </w:tcBorders>
          </w:tcPr>
          <w:p w:rsidR="006433AB" w:rsidRPr="00C26CDF" w:rsidRDefault="006433AB" w:rsidP="006433AB">
            <w:pPr>
              <w:pStyle w:val="ListParagraph"/>
              <w:ind w:left="39" w:right="170"/>
              <w:rPr>
                <w:rFonts w:ascii="Times New Roman" w:hAnsi="Times New Roman" w:cs="Times New Roman"/>
              </w:rPr>
            </w:pPr>
            <w:r w:rsidRPr="006433AB">
              <w:rPr>
                <w:rFonts w:ascii="Times New Roman" w:hAnsi="Times New Roman" w:cs="Times New Roman"/>
              </w:rPr>
              <w:t>Department</w:t>
            </w:r>
            <w:r>
              <w:rPr>
                <w:rFonts w:ascii="Times New Roman" w:hAnsi="Times New Roman" w:cs="Times New Roman"/>
              </w:rPr>
              <w:t xml:space="preserve"> of </w:t>
            </w:r>
            <w:r w:rsidR="00FC34EF">
              <w:rPr>
                <w:rFonts w:ascii="Times New Roman" w:hAnsi="Times New Roman" w:cs="Times New Roman"/>
              </w:rPr>
              <w:t>Mechanical</w:t>
            </w:r>
            <w:r>
              <w:rPr>
                <w:rFonts w:ascii="Times New Roman" w:hAnsi="Times New Roman" w:cs="Times New Roman"/>
              </w:rPr>
              <w:t xml:space="preserve"> Engineering D</w:t>
            </w:r>
          </w:p>
        </w:tc>
        <w:tc>
          <w:tcPr>
            <w:tcW w:w="2159" w:type="pct"/>
            <w:tcBorders>
              <w:top w:val="nil"/>
              <w:left w:val="nil"/>
              <w:bottom w:val="nil"/>
              <w:right w:val="nil"/>
            </w:tcBorders>
          </w:tcPr>
          <w:p w:rsidR="006433AB" w:rsidRPr="00C26CDF" w:rsidRDefault="006433AB" w:rsidP="006433AB">
            <w:pPr>
              <w:pStyle w:val="ListParagraph"/>
              <w:ind w:left="28"/>
              <w:jc w:val="center"/>
              <w:rPr>
                <w:rFonts w:ascii="Times New Roman" w:hAnsi="Times New Roman" w:cs="Times New Roman"/>
              </w:rPr>
            </w:pPr>
            <w:r>
              <w:rPr>
                <w:rFonts w:ascii="Times New Roman" w:hAnsi="Times New Roman" w:cs="Times New Roman"/>
              </w:rPr>
              <w:t>23</w:t>
            </w:r>
            <w:r w:rsidRPr="00C26CDF">
              <w:rPr>
                <w:rFonts w:ascii="Times New Roman" w:hAnsi="Times New Roman" w:cs="Times New Roman"/>
              </w:rPr>
              <w:t xml:space="preserve"> </w:t>
            </w:r>
          </w:p>
        </w:tc>
      </w:tr>
      <w:tr w:rsidR="006433AB" w:rsidRPr="00C26CDF" w:rsidTr="006433AB">
        <w:trPr>
          <w:trHeight w:val="20"/>
        </w:trPr>
        <w:tc>
          <w:tcPr>
            <w:tcW w:w="373" w:type="pct"/>
            <w:tcBorders>
              <w:top w:val="nil"/>
              <w:left w:val="nil"/>
              <w:bottom w:val="single" w:sz="4" w:space="0" w:color="auto"/>
              <w:right w:val="nil"/>
            </w:tcBorders>
          </w:tcPr>
          <w:p w:rsidR="006433AB" w:rsidRPr="00C26CDF" w:rsidRDefault="006433AB" w:rsidP="006433AB">
            <w:pPr>
              <w:pStyle w:val="ListParagraph"/>
              <w:ind w:left="27"/>
              <w:jc w:val="center"/>
              <w:rPr>
                <w:rFonts w:ascii="Times New Roman" w:hAnsi="Times New Roman" w:cs="Times New Roman"/>
              </w:rPr>
            </w:pPr>
            <w:bookmarkStart w:id="0" w:name="_Hlk531351686"/>
          </w:p>
        </w:tc>
        <w:tc>
          <w:tcPr>
            <w:tcW w:w="2468" w:type="pct"/>
            <w:tcBorders>
              <w:top w:val="nil"/>
              <w:left w:val="nil"/>
              <w:bottom w:val="single" w:sz="4" w:space="0" w:color="auto"/>
              <w:right w:val="nil"/>
            </w:tcBorders>
          </w:tcPr>
          <w:p w:rsidR="006433AB" w:rsidRPr="00C26CDF" w:rsidRDefault="006433AB" w:rsidP="009452F4">
            <w:pPr>
              <w:pStyle w:val="ListParagraph"/>
              <w:ind w:left="39" w:right="170"/>
              <w:jc w:val="center"/>
              <w:rPr>
                <w:rFonts w:ascii="Times New Roman" w:hAnsi="Times New Roman" w:cs="Times New Roman"/>
              </w:rPr>
            </w:pPr>
            <w:r>
              <w:rPr>
                <w:rFonts w:ascii="Times New Roman" w:hAnsi="Times New Roman" w:cs="Times New Roman"/>
              </w:rPr>
              <w:t>Jumlah</w:t>
            </w:r>
          </w:p>
        </w:tc>
        <w:tc>
          <w:tcPr>
            <w:tcW w:w="2159" w:type="pct"/>
            <w:tcBorders>
              <w:top w:val="nil"/>
              <w:left w:val="nil"/>
              <w:bottom w:val="single" w:sz="4" w:space="0" w:color="auto"/>
              <w:right w:val="nil"/>
            </w:tcBorders>
          </w:tcPr>
          <w:p w:rsidR="006433AB" w:rsidRPr="00C26CDF" w:rsidRDefault="006433AB" w:rsidP="009452F4">
            <w:pPr>
              <w:pStyle w:val="ListParagraph"/>
              <w:ind w:left="28"/>
              <w:jc w:val="center"/>
              <w:rPr>
                <w:rFonts w:ascii="Times New Roman" w:hAnsi="Times New Roman" w:cs="Times New Roman"/>
              </w:rPr>
            </w:pPr>
            <w:r>
              <w:rPr>
                <w:rFonts w:ascii="Times New Roman" w:hAnsi="Times New Roman" w:cs="Times New Roman"/>
              </w:rPr>
              <w:t>101</w:t>
            </w:r>
            <w:r w:rsidRPr="00C26CDF">
              <w:rPr>
                <w:rFonts w:ascii="Times New Roman" w:hAnsi="Times New Roman" w:cs="Times New Roman"/>
              </w:rPr>
              <w:t xml:space="preserve"> </w:t>
            </w:r>
          </w:p>
        </w:tc>
      </w:tr>
      <w:bookmarkEnd w:id="0"/>
    </w:tbl>
    <w:p w:rsidR="002D1071" w:rsidRPr="00CF7EBD" w:rsidRDefault="002D1071" w:rsidP="00B750F3">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0A6245" w:rsidRDefault="006433AB" w:rsidP="006433AB">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6433AB">
        <w:rPr>
          <w:rFonts w:ascii="Times New Roman" w:eastAsia="Times New Roman" w:hAnsi="Times New Roman" w:cs="Times New Roman"/>
        </w:rPr>
        <w:t>Research instruments before use must meet the prerequisite tests for validity and reliability. To determine the validity and reliability of the instrument, a trial was conducted first. The results of these trials were used to determine the validity and reliability of the instrument [17]. This research instrument uses a questionnaire with a Likert measurement scale with four answer choices.</w:t>
      </w:r>
      <w:r w:rsidR="002D1071" w:rsidRPr="00CF7EBD">
        <w:rPr>
          <w:rFonts w:ascii="Times New Roman" w:eastAsia="Times New Roman" w:hAnsi="Times New Roman" w:cs="Times New Roman"/>
        </w:rPr>
        <w:t xml:space="preserve"> </w:t>
      </w:r>
      <w:r w:rsidR="000A6245" w:rsidRPr="000A6245">
        <w:rPr>
          <w:rFonts w:ascii="Times New Roman" w:eastAsia="Times New Roman" w:hAnsi="Times New Roman" w:cs="Times New Roman"/>
        </w:rPr>
        <w:t xml:space="preserve">The process of data </w:t>
      </w:r>
      <w:r w:rsidR="000A6245" w:rsidRPr="000A6245">
        <w:rPr>
          <w:rFonts w:ascii="Times New Roman" w:eastAsia="Times New Roman" w:hAnsi="Times New Roman" w:cs="Times New Roman"/>
        </w:rPr>
        <w:lastRenderedPageBreak/>
        <w:t>analysis in this study used quantitative descriptive analysis with percentages to provide a description of each variable obtained in this study.</w:t>
      </w:r>
      <w:r w:rsidR="000A6245">
        <w:rPr>
          <w:rFonts w:ascii="Times New Roman" w:eastAsia="Times New Roman" w:hAnsi="Times New Roman" w:cs="Times New Roman"/>
        </w:rPr>
        <w:t xml:space="preserve"> </w:t>
      </w:r>
      <w:r w:rsidRPr="006433AB">
        <w:rPr>
          <w:rFonts w:ascii="Times New Roman" w:eastAsia="Times New Roman" w:hAnsi="Times New Roman" w:cs="Times New Roman"/>
        </w:rPr>
        <w:t>Table 2 is an explanation of the questionnaire scoring categories</w:t>
      </w:r>
      <w:r>
        <w:rPr>
          <w:rFonts w:ascii="Times New Roman" w:eastAsia="Times New Roman" w:hAnsi="Times New Roman" w:cs="Times New Roman"/>
        </w:rPr>
        <w:t>.</w:t>
      </w:r>
    </w:p>
    <w:p w:rsidR="002D1071" w:rsidRDefault="000A6245" w:rsidP="006433AB">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 </w:t>
      </w:r>
    </w:p>
    <w:p w:rsidR="006433AB" w:rsidRPr="00CF7EBD" w:rsidRDefault="000A6245" w:rsidP="006433AB">
      <w:pPr>
        <w:pBdr>
          <w:top w:val="nil"/>
          <w:left w:val="nil"/>
          <w:bottom w:val="nil"/>
          <w:right w:val="nil"/>
          <w:between w:val="nil"/>
        </w:pBdr>
        <w:spacing w:after="120" w:line="240" w:lineRule="auto"/>
        <w:jc w:val="center"/>
        <w:rPr>
          <w:rFonts w:ascii="Times New Roman" w:eastAsia="Times New Roman" w:hAnsi="Times New Roman" w:cs="Times New Roman"/>
        </w:rPr>
      </w:pPr>
      <w:r w:rsidRPr="000A6245">
        <w:rPr>
          <w:rFonts w:ascii="Times New Roman" w:eastAsia="Times New Roman" w:hAnsi="Times New Roman" w:cs="Times New Roman"/>
          <w:b/>
        </w:rPr>
        <w:t>Table 2.</w:t>
      </w:r>
      <w:r w:rsidRPr="000A6245">
        <w:rPr>
          <w:rFonts w:ascii="Times New Roman" w:eastAsia="Times New Roman" w:hAnsi="Times New Roman" w:cs="Times New Roman"/>
        </w:rPr>
        <w:t xml:space="preserve"> Questionnaire scoring</w:t>
      </w:r>
    </w:p>
    <w:tbl>
      <w:tblPr>
        <w:tblStyle w:val="TableGrid"/>
        <w:tblW w:w="9109" w:type="dxa"/>
        <w:tblLook w:val="04A0" w:firstRow="1" w:lastRow="0" w:firstColumn="1" w:lastColumn="0" w:noHBand="0" w:noVBand="1"/>
      </w:tblPr>
      <w:tblGrid>
        <w:gridCol w:w="2127"/>
        <w:gridCol w:w="6237"/>
        <w:gridCol w:w="745"/>
      </w:tblGrid>
      <w:tr w:rsidR="006433AB" w:rsidRPr="00C26CDF" w:rsidTr="00D801C6">
        <w:trPr>
          <w:trHeight w:val="113"/>
          <w:tblHeader/>
        </w:trPr>
        <w:tc>
          <w:tcPr>
            <w:tcW w:w="2127" w:type="dxa"/>
            <w:tcBorders>
              <w:left w:val="nil"/>
              <w:bottom w:val="single" w:sz="4" w:space="0" w:color="auto"/>
              <w:right w:val="nil"/>
            </w:tcBorders>
          </w:tcPr>
          <w:p w:rsidR="006433AB" w:rsidRPr="00C26CDF" w:rsidRDefault="00F32F27" w:rsidP="009452F4">
            <w:pPr>
              <w:pStyle w:val="ListParagraph"/>
              <w:ind w:left="39"/>
              <w:jc w:val="center"/>
              <w:rPr>
                <w:rFonts w:ascii="Times New Roman" w:hAnsi="Times New Roman" w:cs="Times New Roman"/>
              </w:rPr>
            </w:pPr>
            <w:r w:rsidRPr="00F32F27">
              <w:rPr>
                <w:rFonts w:ascii="Times New Roman" w:hAnsi="Times New Roman" w:cs="Times New Roman"/>
              </w:rPr>
              <w:t>Classification</w:t>
            </w:r>
          </w:p>
        </w:tc>
        <w:tc>
          <w:tcPr>
            <w:tcW w:w="6237" w:type="dxa"/>
            <w:tcBorders>
              <w:left w:val="nil"/>
              <w:bottom w:val="single" w:sz="4" w:space="0" w:color="auto"/>
              <w:right w:val="nil"/>
            </w:tcBorders>
          </w:tcPr>
          <w:p w:rsidR="006433AB" w:rsidRPr="00F32F27" w:rsidRDefault="00F32F27" w:rsidP="00F32F27">
            <w:pPr>
              <w:pStyle w:val="ListParagraph"/>
              <w:ind w:left="28"/>
              <w:jc w:val="center"/>
              <w:rPr>
                <w:rFonts w:ascii="Times New Roman" w:hAnsi="Times New Roman" w:cs="Times New Roman"/>
              </w:rPr>
            </w:pPr>
            <w:r w:rsidRPr="00F32F27">
              <w:rPr>
                <w:rFonts w:ascii="Times New Roman" w:hAnsi="Times New Roman" w:cs="Times New Roman"/>
              </w:rPr>
              <w:t>Description</w:t>
            </w:r>
          </w:p>
        </w:tc>
        <w:tc>
          <w:tcPr>
            <w:tcW w:w="0" w:type="auto"/>
            <w:tcBorders>
              <w:left w:val="nil"/>
              <w:bottom w:val="single" w:sz="4" w:space="0" w:color="auto"/>
              <w:right w:val="nil"/>
            </w:tcBorders>
          </w:tcPr>
          <w:p w:rsidR="006433AB" w:rsidRPr="00C26CDF" w:rsidRDefault="00F32F27" w:rsidP="009452F4">
            <w:pPr>
              <w:pStyle w:val="ListParagraph"/>
              <w:ind w:left="28"/>
              <w:jc w:val="center"/>
              <w:rPr>
                <w:rFonts w:ascii="Times New Roman" w:hAnsi="Times New Roman" w:cs="Times New Roman"/>
              </w:rPr>
            </w:pPr>
            <w:r>
              <w:rPr>
                <w:rFonts w:ascii="Times New Roman" w:hAnsi="Times New Roman" w:cs="Times New Roman"/>
              </w:rPr>
              <w:t>Score</w:t>
            </w:r>
          </w:p>
        </w:tc>
      </w:tr>
      <w:tr w:rsidR="006433AB" w:rsidRPr="00C26CDF" w:rsidTr="00D801C6">
        <w:trPr>
          <w:trHeight w:val="113"/>
        </w:trPr>
        <w:tc>
          <w:tcPr>
            <w:tcW w:w="2127" w:type="dxa"/>
            <w:tcBorders>
              <w:left w:val="nil"/>
              <w:bottom w:val="nil"/>
              <w:right w:val="nil"/>
            </w:tcBorders>
            <w:vAlign w:val="center"/>
          </w:tcPr>
          <w:p w:rsidR="006433AB" w:rsidRPr="00C26CDF" w:rsidRDefault="006433AB" w:rsidP="009452F4">
            <w:pPr>
              <w:pStyle w:val="ListParagraph"/>
              <w:ind w:left="39" w:right="170"/>
              <w:jc w:val="center"/>
              <w:rPr>
                <w:rFonts w:ascii="Times New Roman" w:hAnsi="Times New Roman" w:cs="Times New Roman"/>
              </w:rPr>
            </w:pPr>
            <w:r w:rsidRPr="006433AB">
              <w:rPr>
                <w:rFonts w:ascii="Times New Roman" w:hAnsi="Times New Roman" w:cs="Times New Roman"/>
              </w:rPr>
              <w:t>Strongly agree</w:t>
            </w:r>
          </w:p>
        </w:tc>
        <w:tc>
          <w:tcPr>
            <w:tcW w:w="6237" w:type="dxa"/>
            <w:tcBorders>
              <w:left w:val="nil"/>
              <w:bottom w:val="nil"/>
              <w:right w:val="nil"/>
            </w:tcBorders>
            <w:vAlign w:val="center"/>
          </w:tcPr>
          <w:p w:rsidR="006433AB" w:rsidRPr="00C26CDF" w:rsidRDefault="006433AB" w:rsidP="00FD3D15">
            <w:pPr>
              <w:pStyle w:val="ListParagraph"/>
              <w:ind w:left="28"/>
              <w:rPr>
                <w:rFonts w:ascii="Times New Roman" w:hAnsi="Times New Roman" w:cs="Times New Roman"/>
              </w:rPr>
            </w:pPr>
            <w:r w:rsidRPr="006433AB">
              <w:rPr>
                <w:rFonts w:ascii="Times New Roman" w:hAnsi="Times New Roman" w:cs="Times New Roman"/>
              </w:rPr>
              <w:t>Respondents strongly agree with the question points in the questionnaire</w:t>
            </w:r>
          </w:p>
        </w:tc>
        <w:tc>
          <w:tcPr>
            <w:tcW w:w="0" w:type="auto"/>
            <w:tcBorders>
              <w:left w:val="nil"/>
              <w:bottom w:val="nil"/>
              <w:right w:val="nil"/>
            </w:tcBorders>
            <w:vAlign w:val="center"/>
          </w:tcPr>
          <w:p w:rsidR="006433AB" w:rsidRPr="00C26CDF" w:rsidRDefault="006433AB" w:rsidP="009452F4">
            <w:pPr>
              <w:pStyle w:val="ListParagraph"/>
              <w:ind w:left="28"/>
              <w:jc w:val="center"/>
              <w:rPr>
                <w:rFonts w:ascii="Times New Roman" w:hAnsi="Times New Roman" w:cs="Times New Roman"/>
              </w:rPr>
            </w:pPr>
            <w:r w:rsidRPr="00C26CDF">
              <w:rPr>
                <w:rFonts w:ascii="Times New Roman" w:hAnsi="Times New Roman" w:cs="Times New Roman"/>
              </w:rPr>
              <w:t>4</w:t>
            </w:r>
          </w:p>
        </w:tc>
      </w:tr>
      <w:tr w:rsidR="006433AB" w:rsidRPr="00C26CDF" w:rsidTr="00D801C6">
        <w:trPr>
          <w:trHeight w:val="113"/>
        </w:trPr>
        <w:tc>
          <w:tcPr>
            <w:tcW w:w="2127" w:type="dxa"/>
            <w:tcBorders>
              <w:top w:val="nil"/>
              <w:left w:val="nil"/>
              <w:bottom w:val="nil"/>
              <w:right w:val="nil"/>
            </w:tcBorders>
            <w:vAlign w:val="center"/>
          </w:tcPr>
          <w:p w:rsidR="006433AB" w:rsidRPr="00C26CDF" w:rsidRDefault="006433AB" w:rsidP="009452F4">
            <w:pPr>
              <w:pStyle w:val="ListParagraph"/>
              <w:ind w:left="39" w:right="170"/>
              <w:jc w:val="center"/>
              <w:rPr>
                <w:rFonts w:ascii="Times New Roman" w:hAnsi="Times New Roman" w:cs="Times New Roman"/>
              </w:rPr>
            </w:pPr>
            <w:r w:rsidRPr="006433AB">
              <w:rPr>
                <w:rFonts w:ascii="Times New Roman" w:hAnsi="Times New Roman" w:cs="Times New Roman"/>
              </w:rPr>
              <w:t>Agree</w:t>
            </w:r>
          </w:p>
        </w:tc>
        <w:tc>
          <w:tcPr>
            <w:tcW w:w="6237" w:type="dxa"/>
            <w:tcBorders>
              <w:top w:val="nil"/>
              <w:left w:val="nil"/>
              <w:bottom w:val="nil"/>
              <w:right w:val="nil"/>
            </w:tcBorders>
            <w:vAlign w:val="center"/>
          </w:tcPr>
          <w:p w:rsidR="006433AB" w:rsidRPr="00C26CDF" w:rsidRDefault="006433AB" w:rsidP="00FD3D15">
            <w:pPr>
              <w:pStyle w:val="ListParagraph"/>
              <w:ind w:left="28"/>
              <w:rPr>
                <w:rFonts w:ascii="Times New Roman" w:hAnsi="Times New Roman" w:cs="Times New Roman"/>
              </w:rPr>
            </w:pPr>
            <w:r w:rsidRPr="006433AB">
              <w:rPr>
                <w:rFonts w:ascii="Times New Roman" w:hAnsi="Times New Roman" w:cs="Times New Roman"/>
              </w:rPr>
              <w:t>Respondents agree with the question points on the questionnaire</w:t>
            </w:r>
          </w:p>
        </w:tc>
        <w:tc>
          <w:tcPr>
            <w:tcW w:w="0" w:type="auto"/>
            <w:tcBorders>
              <w:top w:val="nil"/>
              <w:left w:val="nil"/>
              <w:bottom w:val="nil"/>
              <w:right w:val="nil"/>
            </w:tcBorders>
            <w:vAlign w:val="center"/>
          </w:tcPr>
          <w:p w:rsidR="006433AB" w:rsidRPr="00C26CDF" w:rsidRDefault="006433AB" w:rsidP="009452F4">
            <w:pPr>
              <w:pStyle w:val="ListParagraph"/>
              <w:ind w:left="28"/>
              <w:jc w:val="center"/>
              <w:rPr>
                <w:rFonts w:ascii="Times New Roman" w:hAnsi="Times New Roman" w:cs="Times New Roman"/>
              </w:rPr>
            </w:pPr>
            <w:r w:rsidRPr="00C26CDF">
              <w:rPr>
                <w:rFonts w:ascii="Times New Roman" w:hAnsi="Times New Roman" w:cs="Times New Roman"/>
              </w:rPr>
              <w:t>3</w:t>
            </w:r>
          </w:p>
        </w:tc>
      </w:tr>
      <w:tr w:rsidR="006433AB" w:rsidRPr="00C26CDF" w:rsidTr="00D801C6">
        <w:trPr>
          <w:trHeight w:val="113"/>
        </w:trPr>
        <w:tc>
          <w:tcPr>
            <w:tcW w:w="2127" w:type="dxa"/>
            <w:tcBorders>
              <w:top w:val="nil"/>
              <w:left w:val="nil"/>
              <w:bottom w:val="nil"/>
              <w:right w:val="nil"/>
            </w:tcBorders>
            <w:vAlign w:val="center"/>
          </w:tcPr>
          <w:p w:rsidR="006433AB" w:rsidRPr="00C26CDF" w:rsidRDefault="00F32F27" w:rsidP="009452F4">
            <w:pPr>
              <w:pStyle w:val="ListParagraph"/>
              <w:ind w:left="39" w:right="170"/>
              <w:jc w:val="center"/>
              <w:rPr>
                <w:rFonts w:ascii="Times New Roman" w:hAnsi="Times New Roman" w:cs="Times New Roman"/>
              </w:rPr>
            </w:pPr>
            <w:r>
              <w:rPr>
                <w:rFonts w:ascii="Times New Roman" w:hAnsi="Times New Roman" w:cs="Times New Roman"/>
              </w:rPr>
              <w:t>Diss</w:t>
            </w:r>
            <w:r w:rsidR="006433AB" w:rsidRPr="006433AB">
              <w:rPr>
                <w:rFonts w:ascii="Times New Roman" w:hAnsi="Times New Roman" w:cs="Times New Roman"/>
              </w:rPr>
              <w:t>agree</w:t>
            </w:r>
          </w:p>
        </w:tc>
        <w:tc>
          <w:tcPr>
            <w:tcW w:w="6237" w:type="dxa"/>
            <w:tcBorders>
              <w:top w:val="nil"/>
              <w:left w:val="nil"/>
              <w:bottom w:val="nil"/>
              <w:right w:val="nil"/>
            </w:tcBorders>
            <w:vAlign w:val="center"/>
          </w:tcPr>
          <w:p w:rsidR="006433AB" w:rsidRPr="00C26CDF" w:rsidRDefault="006433AB" w:rsidP="00FD3D15">
            <w:pPr>
              <w:pStyle w:val="ListParagraph"/>
              <w:ind w:left="28"/>
              <w:rPr>
                <w:rFonts w:ascii="Times New Roman" w:hAnsi="Times New Roman" w:cs="Times New Roman"/>
              </w:rPr>
            </w:pPr>
            <w:r w:rsidRPr="006433AB">
              <w:rPr>
                <w:rFonts w:ascii="Times New Roman" w:hAnsi="Times New Roman" w:cs="Times New Roman"/>
              </w:rPr>
              <w:t>Respondents did not agree with the question points in the questionnaire</w:t>
            </w:r>
          </w:p>
        </w:tc>
        <w:tc>
          <w:tcPr>
            <w:tcW w:w="0" w:type="auto"/>
            <w:tcBorders>
              <w:top w:val="nil"/>
              <w:left w:val="nil"/>
              <w:bottom w:val="nil"/>
              <w:right w:val="nil"/>
            </w:tcBorders>
            <w:vAlign w:val="center"/>
          </w:tcPr>
          <w:p w:rsidR="006433AB" w:rsidRPr="00C26CDF" w:rsidRDefault="006433AB" w:rsidP="009452F4">
            <w:pPr>
              <w:pStyle w:val="ListParagraph"/>
              <w:ind w:left="28"/>
              <w:jc w:val="center"/>
              <w:rPr>
                <w:rFonts w:ascii="Times New Roman" w:hAnsi="Times New Roman" w:cs="Times New Roman"/>
              </w:rPr>
            </w:pPr>
            <w:r w:rsidRPr="00C26CDF">
              <w:rPr>
                <w:rFonts w:ascii="Times New Roman" w:hAnsi="Times New Roman" w:cs="Times New Roman"/>
              </w:rPr>
              <w:t>2</w:t>
            </w:r>
          </w:p>
        </w:tc>
      </w:tr>
      <w:tr w:rsidR="006433AB" w:rsidRPr="00C26CDF" w:rsidTr="00D801C6">
        <w:trPr>
          <w:trHeight w:val="113"/>
        </w:trPr>
        <w:tc>
          <w:tcPr>
            <w:tcW w:w="2127" w:type="dxa"/>
            <w:tcBorders>
              <w:top w:val="nil"/>
              <w:left w:val="nil"/>
              <w:bottom w:val="single" w:sz="4" w:space="0" w:color="auto"/>
              <w:right w:val="nil"/>
            </w:tcBorders>
            <w:vAlign w:val="center"/>
          </w:tcPr>
          <w:p w:rsidR="006433AB" w:rsidRPr="00C26CDF" w:rsidRDefault="00F32F27" w:rsidP="009452F4">
            <w:pPr>
              <w:pStyle w:val="ListParagraph"/>
              <w:ind w:left="39" w:right="170"/>
              <w:jc w:val="center"/>
              <w:rPr>
                <w:rFonts w:ascii="Times New Roman" w:hAnsi="Times New Roman" w:cs="Times New Roman"/>
              </w:rPr>
            </w:pPr>
            <w:r>
              <w:rPr>
                <w:rFonts w:ascii="Times New Roman" w:hAnsi="Times New Roman" w:cs="Times New Roman"/>
              </w:rPr>
              <w:t>Strongly diss</w:t>
            </w:r>
            <w:r w:rsidRPr="006433AB">
              <w:rPr>
                <w:rFonts w:ascii="Times New Roman" w:hAnsi="Times New Roman" w:cs="Times New Roman"/>
              </w:rPr>
              <w:t>agree</w:t>
            </w:r>
          </w:p>
        </w:tc>
        <w:tc>
          <w:tcPr>
            <w:tcW w:w="6237" w:type="dxa"/>
            <w:tcBorders>
              <w:top w:val="nil"/>
              <w:left w:val="nil"/>
              <w:bottom w:val="single" w:sz="4" w:space="0" w:color="auto"/>
              <w:right w:val="nil"/>
            </w:tcBorders>
            <w:vAlign w:val="center"/>
          </w:tcPr>
          <w:p w:rsidR="006433AB" w:rsidRPr="00C26CDF" w:rsidRDefault="00F32F27" w:rsidP="00FD3D15">
            <w:pPr>
              <w:pStyle w:val="ListParagraph"/>
              <w:ind w:left="28"/>
              <w:rPr>
                <w:rFonts w:ascii="Times New Roman" w:hAnsi="Times New Roman" w:cs="Times New Roman"/>
              </w:rPr>
            </w:pPr>
            <w:r w:rsidRPr="00F32F27">
              <w:rPr>
                <w:rFonts w:ascii="Times New Roman" w:hAnsi="Times New Roman" w:cs="Times New Roman"/>
              </w:rPr>
              <w:t>Respondents did not agree with the question points on the questionnaire</w:t>
            </w:r>
          </w:p>
        </w:tc>
        <w:tc>
          <w:tcPr>
            <w:tcW w:w="0" w:type="auto"/>
            <w:tcBorders>
              <w:top w:val="nil"/>
              <w:left w:val="nil"/>
              <w:bottom w:val="single" w:sz="4" w:space="0" w:color="auto"/>
              <w:right w:val="nil"/>
            </w:tcBorders>
            <w:vAlign w:val="center"/>
          </w:tcPr>
          <w:p w:rsidR="006433AB" w:rsidRPr="00C26CDF" w:rsidRDefault="006433AB" w:rsidP="009452F4">
            <w:pPr>
              <w:pStyle w:val="ListParagraph"/>
              <w:ind w:left="28"/>
              <w:jc w:val="center"/>
              <w:rPr>
                <w:rFonts w:ascii="Times New Roman" w:hAnsi="Times New Roman" w:cs="Times New Roman"/>
              </w:rPr>
            </w:pPr>
            <w:r w:rsidRPr="00C26CDF">
              <w:rPr>
                <w:rFonts w:ascii="Times New Roman" w:hAnsi="Times New Roman" w:cs="Times New Roman"/>
              </w:rPr>
              <w:t>1</w:t>
            </w:r>
          </w:p>
        </w:tc>
      </w:tr>
    </w:tbl>
    <w:p w:rsidR="006433AB" w:rsidRDefault="006433AB" w:rsidP="006433AB">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2D1071" w:rsidRPr="00CF7EBD" w:rsidRDefault="002D1071" w:rsidP="00EA2D9B">
      <w:pPr>
        <w:numPr>
          <w:ilvl w:val="0"/>
          <w:numId w:val="1"/>
        </w:numPr>
        <w:pBdr>
          <w:top w:val="nil"/>
          <w:left w:val="nil"/>
          <w:bottom w:val="nil"/>
          <w:right w:val="nil"/>
          <w:between w:val="nil"/>
        </w:pBdr>
        <w:spacing w:after="240"/>
        <w:rPr>
          <w:rFonts w:ascii="Times New Roman" w:eastAsia="Times New Roman" w:hAnsi="Times New Roman" w:cs="Times New Roman"/>
          <w:b/>
        </w:rPr>
      </w:pPr>
      <w:r w:rsidRPr="00CF7EBD">
        <w:rPr>
          <w:rFonts w:ascii="Times New Roman" w:eastAsia="Times New Roman" w:hAnsi="Times New Roman" w:cs="Times New Roman"/>
          <w:b/>
        </w:rPr>
        <w:t>Results and discussion</w:t>
      </w:r>
    </w:p>
    <w:p w:rsidR="00E64468" w:rsidRPr="00CF7EBD" w:rsidRDefault="00017735" w:rsidP="00E64468">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rPr>
      </w:pPr>
      <w:r w:rsidRPr="00017735">
        <w:rPr>
          <w:rFonts w:ascii="Times New Roman" w:eastAsia="Times New Roman" w:hAnsi="Times New Roman" w:cs="Times New Roman"/>
          <w:i/>
        </w:rPr>
        <w:t>3.1 Descriptive Analysis of Variable Industrial Work Practices, Facilities, and Work Readiness</w:t>
      </w:r>
    </w:p>
    <w:p w:rsidR="00EA2D9B" w:rsidRDefault="00017735"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017735">
        <w:rPr>
          <w:rFonts w:ascii="Times New Roman" w:eastAsia="Times New Roman" w:hAnsi="Times New Roman" w:cs="Times New Roman"/>
        </w:rPr>
        <w:t>To find out how the response or answer from distributing questionnaires to a number of 101 students of SMK N 1 Semarang for each variable. The data from this study consisted of two independent variables, namely the Industrial Work Practices (X</w:t>
      </w:r>
      <w:r w:rsidRPr="000D0557">
        <w:rPr>
          <w:rFonts w:ascii="Times New Roman" w:eastAsia="Times New Roman" w:hAnsi="Times New Roman" w:cs="Times New Roman"/>
          <w:vertAlign w:val="subscript"/>
        </w:rPr>
        <w:t>1</w:t>
      </w:r>
      <w:r w:rsidRPr="00017735">
        <w:rPr>
          <w:rFonts w:ascii="Times New Roman" w:eastAsia="Times New Roman" w:hAnsi="Times New Roman" w:cs="Times New Roman"/>
        </w:rPr>
        <w:t>) and Infrastructure (X</w:t>
      </w:r>
      <w:r w:rsidRPr="000D0557">
        <w:rPr>
          <w:rFonts w:ascii="Times New Roman" w:eastAsia="Times New Roman" w:hAnsi="Times New Roman" w:cs="Times New Roman"/>
          <w:vertAlign w:val="subscript"/>
        </w:rPr>
        <w:t>2</w:t>
      </w:r>
      <w:r w:rsidRPr="00017735">
        <w:rPr>
          <w:rFonts w:ascii="Times New Roman" w:eastAsia="Times New Roman" w:hAnsi="Times New Roman" w:cs="Times New Roman"/>
        </w:rPr>
        <w:t>) variables and one dependent variable, namely Work Readiness (Y). In this section, the results of the research data for each variable that have been processed will be explained or described in terms of the mean, median, mode, and standard deviation values. In addition, a frequency distribution table and a bar chart of the distribution of the score tendency will also be presented. The results of the descriptive analysis using the frequency distribution are shown in Table 3.</w:t>
      </w:r>
    </w:p>
    <w:p w:rsidR="00017735" w:rsidRDefault="00017735"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F66344" w:rsidRPr="00CF7EBD" w:rsidRDefault="00F66344" w:rsidP="00F66344">
      <w:pPr>
        <w:pBdr>
          <w:top w:val="nil"/>
          <w:left w:val="nil"/>
          <w:bottom w:val="nil"/>
          <w:right w:val="nil"/>
          <w:between w:val="nil"/>
        </w:pBdr>
        <w:spacing w:after="120" w:line="240" w:lineRule="auto"/>
        <w:jc w:val="center"/>
        <w:rPr>
          <w:rFonts w:ascii="Times New Roman" w:eastAsia="Times New Roman" w:hAnsi="Times New Roman" w:cs="Times New Roman"/>
        </w:rPr>
      </w:pPr>
      <w:r>
        <w:rPr>
          <w:rFonts w:ascii="Times New Roman" w:eastAsia="Times New Roman" w:hAnsi="Times New Roman" w:cs="Times New Roman"/>
          <w:b/>
        </w:rPr>
        <w:t>Table 3</w:t>
      </w:r>
      <w:r w:rsidRPr="000A6245">
        <w:rPr>
          <w:rFonts w:ascii="Times New Roman" w:eastAsia="Times New Roman" w:hAnsi="Times New Roman" w:cs="Times New Roman"/>
          <w:b/>
        </w:rPr>
        <w:t>.</w:t>
      </w:r>
      <w:r w:rsidRPr="000A6245">
        <w:rPr>
          <w:rFonts w:ascii="Times New Roman" w:eastAsia="Times New Roman" w:hAnsi="Times New Roman" w:cs="Times New Roman"/>
        </w:rPr>
        <w:t xml:space="preserve"> </w:t>
      </w:r>
      <w:r w:rsidRPr="00F66344">
        <w:rPr>
          <w:rFonts w:ascii="Times New Roman" w:eastAsia="Times New Roman" w:hAnsi="Times New Roman" w:cs="Times New Roman"/>
        </w:rPr>
        <w:t>Descriptive Analysis</w:t>
      </w:r>
    </w:p>
    <w:tbl>
      <w:tblPr>
        <w:tblStyle w:val="TableGrid"/>
        <w:tblW w:w="4908" w:type="pct"/>
        <w:tblLook w:val="04A0" w:firstRow="1" w:lastRow="0" w:firstColumn="1" w:lastColumn="0" w:noHBand="0" w:noVBand="1"/>
      </w:tblPr>
      <w:tblGrid>
        <w:gridCol w:w="4158"/>
        <w:gridCol w:w="98"/>
        <w:gridCol w:w="1357"/>
        <w:gridCol w:w="251"/>
        <w:gridCol w:w="1093"/>
        <w:gridCol w:w="251"/>
        <w:gridCol w:w="1642"/>
        <w:gridCol w:w="53"/>
      </w:tblGrid>
      <w:tr w:rsidR="00BA764B" w:rsidRPr="00E94B51" w:rsidTr="00BA764B">
        <w:trPr>
          <w:trHeight w:val="170"/>
          <w:tblHeader/>
        </w:trPr>
        <w:tc>
          <w:tcPr>
            <w:tcW w:w="2390" w:type="pct"/>
            <w:gridSpan w:val="2"/>
            <w:tcBorders>
              <w:left w:val="nil"/>
              <w:bottom w:val="single" w:sz="4" w:space="0" w:color="auto"/>
              <w:right w:val="nil"/>
            </w:tcBorders>
            <w:noWrap/>
            <w:hideMark/>
          </w:tcPr>
          <w:p w:rsidR="00E94B51" w:rsidRPr="00E94B51" w:rsidRDefault="00E94B51" w:rsidP="00E94B51">
            <w:pPr>
              <w:jc w:val="center"/>
              <w:rPr>
                <w:rFonts w:ascii="Times New Roman" w:hAnsi="Times New Roman" w:cs="Times New Roman"/>
              </w:rPr>
            </w:pPr>
            <w:r>
              <w:rPr>
                <w:rFonts w:ascii="Times New Roman" w:hAnsi="Times New Roman" w:cs="Times New Roman"/>
              </w:rPr>
              <w:t>Research variable</w:t>
            </w:r>
          </w:p>
        </w:tc>
        <w:tc>
          <w:tcPr>
            <w:tcW w:w="903" w:type="pct"/>
            <w:gridSpan w:val="2"/>
            <w:tcBorders>
              <w:left w:val="nil"/>
              <w:bottom w:val="single" w:sz="4" w:space="0" w:color="auto"/>
              <w:right w:val="nil"/>
            </w:tcBorders>
            <w:noWrap/>
            <w:hideMark/>
          </w:tcPr>
          <w:p w:rsidR="00E94B51" w:rsidRPr="00E94B51" w:rsidRDefault="00E94B51" w:rsidP="00BA764B">
            <w:pPr>
              <w:jc w:val="center"/>
              <w:rPr>
                <w:rFonts w:ascii="Times New Roman" w:hAnsi="Times New Roman" w:cs="Times New Roman"/>
              </w:rPr>
            </w:pPr>
            <w:r>
              <w:rPr>
                <w:rFonts w:ascii="Times New Roman" w:hAnsi="Times New Roman" w:cs="Times New Roman"/>
              </w:rPr>
              <w:t>Frequency</w:t>
            </w:r>
          </w:p>
        </w:tc>
        <w:tc>
          <w:tcPr>
            <w:tcW w:w="755" w:type="pct"/>
            <w:gridSpan w:val="2"/>
            <w:tcBorders>
              <w:left w:val="nil"/>
              <w:bottom w:val="single" w:sz="4" w:space="0" w:color="auto"/>
              <w:right w:val="nil"/>
            </w:tcBorders>
            <w:noWrap/>
            <w:hideMark/>
          </w:tcPr>
          <w:p w:rsidR="00E94B51" w:rsidRPr="00E94B51" w:rsidRDefault="00E94B51" w:rsidP="00BA764B">
            <w:pPr>
              <w:jc w:val="center"/>
              <w:rPr>
                <w:rFonts w:ascii="Times New Roman" w:hAnsi="Times New Roman" w:cs="Times New Roman"/>
              </w:rPr>
            </w:pPr>
            <w:r>
              <w:rPr>
                <w:rFonts w:ascii="Times New Roman" w:hAnsi="Times New Roman" w:cs="Times New Roman"/>
              </w:rPr>
              <w:t>Percentage</w:t>
            </w:r>
          </w:p>
        </w:tc>
        <w:tc>
          <w:tcPr>
            <w:tcW w:w="952" w:type="pct"/>
            <w:gridSpan w:val="2"/>
            <w:tcBorders>
              <w:left w:val="nil"/>
              <w:bottom w:val="single" w:sz="4" w:space="0" w:color="auto"/>
              <w:right w:val="nil"/>
            </w:tcBorders>
            <w:noWrap/>
            <w:hideMark/>
          </w:tcPr>
          <w:p w:rsidR="00E94B51" w:rsidRPr="00E94B51" w:rsidRDefault="00E94B51" w:rsidP="00BA764B">
            <w:pPr>
              <w:jc w:val="center"/>
              <w:rPr>
                <w:rFonts w:ascii="Times New Roman" w:hAnsi="Times New Roman" w:cs="Times New Roman"/>
              </w:rPr>
            </w:pPr>
            <w:r w:rsidRPr="00E94B51">
              <w:rPr>
                <w:rFonts w:ascii="Times New Roman" w:hAnsi="Times New Roman" w:cs="Times New Roman"/>
              </w:rPr>
              <w:t>Category</w:t>
            </w:r>
          </w:p>
        </w:tc>
      </w:tr>
      <w:tr w:rsidR="00BA764B" w:rsidRPr="00C26CDF" w:rsidTr="00BA764B">
        <w:trPr>
          <w:gridAfter w:val="1"/>
          <w:wAfter w:w="30" w:type="pct"/>
          <w:trHeight w:val="170"/>
        </w:trPr>
        <w:tc>
          <w:tcPr>
            <w:tcW w:w="2335" w:type="pct"/>
            <w:vMerge w:val="restart"/>
            <w:tcBorders>
              <w:left w:val="nil"/>
              <w:right w:val="nil"/>
            </w:tcBorders>
            <w:noWrap/>
            <w:vAlign w:val="center"/>
            <w:hideMark/>
          </w:tcPr>
          <w:p w:rsidR="00BA764B" w:rsidRPr="00BA764B" w:rsidRDefault="00BA764B" w:rsidP="00BA764B">
            <w:pPr>
              <w:rPr>
                <w:rFonts w:ascii="Times New Roman" w:hAnsi="Times New Roman" w:cs="Times New Roman"/>
                <w:iCs/>
              </w:rPr>
            </w:pPr>
            <w:r w:rsidRPr="00BA764B">
              <w:rPr>
                <w:rFonts w:ascii="Times New Roman" w:hAnsi="Times New Roman" w:cs="Times New Roman"/>
                <w:iCs/>
              </w:rPr>
              <w:t>Industrial Work Practices</w:t>
            </w:r>
          </w:p>
          <w:p w:rsidR="00BA764B" w:rsidRPr="00BA764B" w:rsidRDefault="00BA764B" w:rsidP="00BA764B">
            <w:pPr>
              <w:rPr>
                <w:rFonts w:ascii="Times New Roman" w:hAnsi="Times New Roman" w:cs="Times New Roman"/>
                <w:iCs/>
              </w:rPr>
            </w:pPr>
            <w:r w:rsidRPr="00BA764B">
              <w:rPr>
                <w:rFonts w:ascii="Times New Roman" w:hAnsi="Times New Roman" w:cs="Times New Roman"/>
                <w:iCs/>
              </w:rPr>
              <w:t>Infrastructure advice</w:t>
            </w:r>
          </w:p>
          <w:p w:rsidR="00E94B51" w:rsidRPr="00ED67F4" w:rsidRDefault="00BA764B" w:rsidP="009452F4">
            <w:pPr>
              <w:rPr>
                <w:rFonts w:ascii="Times New Roman" w:hAnsi="Times New Roman" w:cs="Times New Roman"/>
                <w:iCs/>
              </w:rPr>
            </w:pPr>
            <w:r w:rsidRPr="00BA764B">
              <w:rPr>
                <w:rFonts w:ascii="Times New Roman" w:hAnsi="Times New Roman" w:cs="Times New Roman"/>
                <w:iCs/>
              </w:rPr>
              <w:t xml:space="preserve">Industrial Work Practices and Infrastructure </w:t>
            </w:r>
          </w:p>
        </w:tc>
        <w:tc>
          <w:tcPr>
            <w:tcW w:w="817" w:type="pct"/>
            <w:gridSpan w:val="2"/>
            <w:tcBorders>
              <w:left w:val="nil"/>
              <w:bottom w:val="nil"/>
              <w:right w:val="nil"/>
            </w:tcBorders>
          </w:tcPr>
          <w:p w:rsidR="00E94B51" w:rsidRPr="00C26CDF" w:rsidRDefault="00E94B51" w:rsidP="00BA764B">
            <w:pPr>
              <w:ind w:left="272"/>
              <w:jc w:val="center"/>
              <w:rPr>
                <w:rFonts w:ascii="Times New Roman" w:hAnsi="Times New Roman" w:cs="Times New Roman"/>
              </w:rPr>
            </w:pPr>
            <w:r>
              <w:rPr>
                <w:rFonts w:ascii="Times New Roman" w:hAnsi="Times New Roman" w:cs="Times New Roman"/>
              </w:rPr>
              <w:t>80</w:t>
            </w:r>
          </w:p>
        </w:tc>
        <w:tc>
          <w:tcPr>
            <w:tcW w:w="755" w:type="pct"/>
            <w:gridSpan w:val="2"/>
            <w:tcBorders>
              <w:left w:val="nil"/>
              <w:bottom w:val="nil"/>
              <w:right w:val="nil"/>
            </w:tcBorders>
            <w:noWrap/>
            <w:hideMark/>
          </w:tcPr>
          <w:p w:rsidR="00E94B51" w:rsidRPr="00C26CDF" w:rsidRDefault="00E94B51" w:rsidP="00BA764B">
            <w:pPr>
              <w:ind w:left="272"/>
              <w:jc w:val="right"/>
              <w:rPr>
                <w:rFonts w:ascii="Times New Roman" w:hAnsi="Times New Roman" w:cs="Times New Roman"/>
              </w:rPr>
            </w:pPr>
            <w:r>
              <w:rPr>
                <w:rFonts w:ascii="Times New Roman" w:hAnsi="Times New Roman" w:cs="Times New Roman"/>
              </w:rPr>
              <w:t>79,2 %</w:t>
            </w:r>
          </w:p>
        </w:tc>
        <w:tc>
          <w:tcPr>
            <w:tcW w:w="1063" w:type="pct"/>
            <w:gridSpan w:val="2"/>
            <w:tcBorders>
              <w:left w:val="nil"/>
              <w:bottom w:val="nil"/>
              <w:right w:val="nil"/>
            </w:tcBorders>
            <w:noWrap/>
            <w:hideMark/>
          </w:tcPr>
          <w:p w:rsidR="00E94B51" w:rsidRPr="00C26CDF" w:rsidRDefault="00BA764B" w:rsidP="00BA764B">
            <w:pPr>
              <w:ind w:left="272"/>
              <w:jc w:val="center"/>
              <w:rPr>
                <w:rFonts w:ascii="Times New Roman" w:hAnsi="Times New Roman" w:cs="Times New Roman"/>
              </w:rPr>
            </w:pPr>
            <w:r>
              <w:rPr>
                <w:rFonts w:ascii="Times New Roman" w:hAnsi="Times New Roman" w:cs="Times New Roman"/>
              </w:rPr>
              <w:t>Very good</w:t>
            </w:r>
          </w:p>
        </w:tc>
      </w:tr>
      <w:tr w:rsidR="00BA764B" w:rsidRPr="00C26CDF" w:rsidTr="00BA764B">
        <w:trPr>
          <w:gridAfter w:val="1"/>
          <w:wAfter w:w="30" w:type="pct"/>
          <w:trHeight w:val="170"/>
        </w:trPr>
        <w:tc>
          <w:tcPr>
            <w:tcW w:w="2335" w:type="pct"/>
            <w:vMerge/>
            <w:tcBorders>
              <w:left w:val="nil"/>
              <w:right w:val="nil"/>
            </w:tcBorders>
            <w:vAlign w:val="center"/>
            <w:hideMark/>
          </w:tcPr>
          <w:p w:rsidR="00BA764B" w:rsidRPr="00C26CDF" w:rsidRDefault="00BA764B" w:rsidP="00BA764B">
            <w:pPr>
              <w:jc w:val="center"/>
              <w:rPr>
                <w:rFonts w:ascii="Times New Roman" w:hAnsi="Times New Roman" w:cs="Times New Roman"/>
                <w:i/>
                <w:iCs/>
              </w:rPr>
            </w:pPr>
          </w:p>
        </w:tc>
        <w:tc>
          <w:tcPr>
            <w:tcW w:w="817" w:type="pct"/>
            <w:gridSpan w:val="2"/>
            <w:tcBorders>
              <w:top w:val="nil"/>
              <w:left w:val="nil"/>
              <w:bottom w:val="nil"/>
              <w:right w:val="nil"/>
            </w:tcBorders>
          </w:tcPr>
          <w:p w:rsidR="00BA764B" w:rsidRPr="00C26CDF" w:rsidRDefault="00BA764B" w:rsidP="00BA764B">
            <w:pPr>
              <w:ind w:left="272"/>
              <w:jc w:val="center"/>
              <w:rPr>
                <w:rFonts w:ascii="Times New Roman" w:hAnsi="Times New Roman" w:cs="Times New Roman"/>
              </w:rPr>
            </w:pPr>
            <w:r>
              <w:rPr>
                <w:rFonts w:ascii="Times New Roman" w:hAnsi="Times New Roman" w:cs="Times New Roman"/>
              </w:rPr>
              <w:t>88</w:t>
            </w:r>
          </w:p>
        </w:tc>
        <w:tc>
          <w:tcPr>
            <w:tcW w:w="755" w:type="pct"/>
            <w:gridSpan w:val="2"/>
            <w:tcBorders>
              <w:top w:val="nil"/>
              <w:left w:val="nil"/>
              <w:bottom w:val="nil"/>
              <w:right w:val="nil"/>
            </w:tcBorders>
            <w:noWrap/>
            <w:hideMark/>
          </w:tcPr>
          <w:p w:rsidR="00BA764B" w:rsidRPr="00C26CDF" w:rsidRDefault="00BA764B" w:rsidP="00BA764B">
            <w:pPr>
              <w:ind w:left="272"/>
              <w:jc w:val="right"/>
              <w:rPr>
                <w:rFonts w:ascii="Times New Roman" w:hAnsi="Times New Roman" w:cs="Times New Roman"/>
              </w:rPr>
            </w:pPr>
            <w:r>
              <w:rPr>
                <w:rFonts w:ascii="Times New Roman" w:hAnsi="Times New Roman" w:cs="Times New Roman"/>
              </w:rPr>
              <w:t>87,1 %</w:t>
            </w:r>
          </w:p>
        </w:tc>
        <w:tc>
          <w:tcPr>
            <w:tcW w:w="1063" w:type="pct"/>
            <w:gridSpan w:val="2"/>
            <w:tcBorders>
              <w:top w:val="nil"/>
              <w:left w:val="nil"/>
              <w:bottom w:val="nil"/>
              <w:right w:val="nil"/>
            </w:tcBorders>
            <w:noWrap/>
            <w:hideMark/>
          </w:tcPr>
          <w:p w:rsidR="00BA764B" w:rsidRPr="00C26CDF" w:rsidRDefault="00BA764B" w:rsidP="00BA764B">
            <w:pPr>
              <w:ind w:left="272"/>
              <w:jc w:val="center"/>
              <w:rPr>
                <w:rFonts w:ascii="Times New Roman" w:hAnsi="Times New Roman" w:cs="Times New Roman"/>
              </w:rPr>
            </w:pPr>
            <w:r>
              <w:rPr>
                <w:rFonts w:ascii="Times New Roman" w:hAnsi="Times New Roman" w:cs="Times New Roman"/>
              </w:rPr>
              <w:t>Very good</w:t>
            </w:r>
          </w:p>
        </w:tc>
      </w:tr>
      <w:tr w:rsidR="00BA764B" w:rsidRPr="00C26CDF" w:rsidTr="00BA764B">
        <w:trPr>
          <w:gridAfter w:val="1"/>
          <w:wAfter w:w="30" w:type="pct"/>
          <w:trHeight w:val="170"/>
        </w:trPr>
        <w:tc>
          <w:tcPr>
            <w:tcW w:w="2336" w:type="pct"/>
            <w:vMerge/>
            <w:tcBorders>
              <w:left w:val="nil"/>
              <w:bottom w:val="single" w:sz="4" w:space="0" w:color="auto"/>
              <w:right w:val="nil"/>
            </w:tcBorders>
            <w:vAlign w:val="center"/>
          </w:tcPr>
          <w:p w:rsidR="00BA764B" w:rsidRPr="00C26CDF" w:rsidRDefault="00BA764B" w:rsidP="00BA764B">
            <w:pPr>
              <w:jc w:val="center"/>
              <w:rPr>
                <w:rFonts w:ascii="Times New Roman" w:hAnsi="Times New Roman" w:cs="Times New Roman"/>
                <w:i/>
                <w:iCs/>
              </w:rPr>
            </w:pPr>
          </w:p>
        </w:tc>
        <w:tc>
          <w:tcPr>
            <w:tcW w:w="817" w:type="pct"/>
            <w:gridSpan w:val="2"/>
            <w:tcBorders>
              <w:top w:val="nil"/>
              <w:left w:val="nil"/>
              <w:bottom w:val="single" w:sz="4" w:space="0" w:color="auto"/>
              <w:right w:val="nil"/>
            </w:tcBorders>
            <w:vAlign w:val="center"/>
          </w:tcPr>
          <w:p w:rsidR="00BA764B" w:rsidRPr="00C26CDF" w:rsidRDefault="00BA764B" w:rsidP="00BA764B">
            <w:pPr>
              <w:ind w:left="272"/>
              <w:jc w:val="center"/>
              <w:rPr>
                <w:rFonts w:ascii="Times New Roman" w:hAnsi="Times New Roman" w:cs="Times New Roman"/>
              </w:rPr>
            </w:pPr>
            <w:r>
              <w:rPr>
                <w:rFonts w:ascii="Times New Roman" w:hAnsi="Times New Roman" w:cs="Times New Roman"/>
              </w:rPr>
              <w:t>101</w:t>
            </w:r>
          </w:p>
        </w:tc>
        <w:tc>
          <w:tcPr>
            <w:tcW w:w="755" w:type="pct"/>
            <w:gridSpan w:val="2"/>
            <w:tcBorders>
              <w:top w:val="nil"/>
              <w:left w:val="nil"/>
              <w:bottom w:val="single" w:sz="4" w:space="0" w:color="auto"/>
              <w:right w:val="nil"/>
            </w:tcBorders>
            <w:noWrap/>
            <w:vAlign w:val="center"/>
          </w:tcPr>
          <w:p w:rsidR="00BA764B" w:rsidRPr="00C26CDF" w:rsidRDefault="00BA764B" w:rsidP="00BA764B">
            <w:pPr>
              <w:ind w:left="272"/>
              <w:jc w:val="right"/>
              <w:rPr>
                <w:rFonts w:ascii="Times New Roman" w:hAnsi="Times New Roman" w:cs="Times New Roman"/>
              </w:rPr>
            </w:pPr>
            <w:r>
              <w:rPr>
                <w:rFonts w:ascii="Times New Roman" w:hAnsi="Times New Roman" w:cs="Times New Roman"/>
              </w:rPr>
              <w:t>100 %</w:t>
            </w:r>
          </w:p>
        </w:tc>
        <w:tc>
          <w:tcPr>
            <w:tcW w:w="1063" w:type="pct"/>
            <w:gridSpan w:val="2"/>
            <w:tcBorders>
              <w:top w:val="nil"/>
              <w:left w:val="nil"/>
              <w:bottom w:val="single" w:sz="4" w:space="0" w:color="auto"/>
              <w:right w:val="nil"/>
            </w:tcBorders>
            <w:noWrap/>
          </w:tcPr>
          <w:p w:rsidR="00BA764B" w:rsidRPr="00C26CDF" w:rsidRDefault="00BA764B" w:rsidP="00BA764B">
            <w:pPr>
              <w:ind w:left="272"/>
              <w:jc w:val="center"/>
              <w:rPr>
                <w:rFonts w:ascii="Times New Roman" w:hAnsi="Times New Roman" w:cs="Times New Roman"/>
              </w:rPr>
            </w:pPr>
            <w:r>
              <w:rPr>
                <w:rFonts w:ascii="Times New Roman" w:hAnsi="Times New Roman" w:cs="Times New Roman"/>
              </w:rPr>
              <w:t>Very good</w:t>
            </w:r>
          </w:p>
        </w:tc>
      </w:tr>
    </w:tbl>
    <w:p w:rsidR="00017735" w:rsidRDefault="00017735"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F66344" w:rsidRDefault="00BA764B" w:rsidP="00BA764B">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BA764B">
        <w:rPr>
          <w:rFonts w:ascii="Times New Roman" w:eastAsia="Times New Roman" w:hAnsi="Times New Roman" w:cs="Times New Roman"/>
        </w:rPr>
        <w:t>Based on the frequency distribution data, the value of each variable is obtained. Industrial work practice is 79.2% with a very good category, infrastructure facilities are 87.1% very good category, and industrial work practices and infrastructure facilities show 100% of the summary results of frequency data distribution. Here, information can be obtained that students who have implemented industrial work practices in very good conditions, the infrastructure variable obtains data that shows the infrastructure in learning in very good condition when the industrial work practice variables with infrastructure simultaneously get information data that shows this. it is in great shape.</w:t>
      </w:r>
    </w:p>
    <w:p w:rsidR="00BA764B" w:rsidRDefault="00BA764B"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F30254" w:rsidRPr="00F30254" w:rsidRDefault="00F30254" w:rsidP="00EA2D9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3.2. </w:t>
      </w:r>
      <w:r w:rsidRPr="00F30254">
        <w:rPr>
          <w:rFonts w:ascii="Times New Roman" w:eastAsia="Times New Roman" w:hAnsi="Times New Roman" w:cs="Times New Roman"/>
          <w:i/>
        </w:rPr>
        <w:t>Hypothesis testing</w:t>
      </w:r>
    </w:p>
    <w:p w:rsidR="00F30254" w:rsidRDefault="00F30254"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F30254">
        <w:rPr>
          <w:rFonts w:ascii="Times New Roman" w:eastAsia="Times New Roman" w:hAnsi="Times New Roman" w:cs="Times New Roman"/>
        </w:rPr>
        <w:t>Hypothesis testing in this study was carried out using two methods, namely the t-test and f test. The t-test is used to test the effect of industrial work practices on job readiness, the effect of workshop infrastructure on work readiness, the effect of industrial work practices, and workshop infrastructure on work readiness based on the t value. The F test is used to test the effect of industrial work practice variables (X</w:t>
      </w:r>
      <w:r w:rsidRPr="00237F85">
        <w:rPr>
          <w:rFonts w:ascii="Times New Roman" w:eastAsia="Times New Roman" w:hAnsi="Times New Roman" w:cs="Times New Roman"/>
          <w:vertAlign w:val="subscript"/>
        </w:rPr>
        <w:t>1</w:t>
      </w:r>
      <w:r w:rsidRPr="00F30254">
        <w:rPr>
          <w:rFonts w:ascii="Times New Roman" w:eastAsia="Times New Roman" w:hAnsi="Times New Roman" w:cs="Times New Roman"/>
        </w:rPr>
        <w:t>) and workshop facilities (X</w:t>
      </w:r>
      <w:r w:rsidRPr="00237F85">
        <w:rPr>
          <w:rFonts w:ascii="Times New Roman" w:eastAsia="Times New Roman" w:hAnsi="Times New Roman" w:cs="Times New Roman"/>
          <w:vertAlign w:val="subscript"/>
        </w:rPr>
        <w:t>2</w:t>
      </w:r>
      <w:r w:rsidRPr="00F30254">
        <w:rPr>
          <w:rFonts w:ascii="Times New Roman" w:eastAsia="Times New Roman" w:hAnsi="Times New Roman" w:cs="Times New Roman"/>
        </w:rPr>
        <w:t>) on job readiness (Y). The results of the</w:t>
      </w:r>
      <w:r w:rsidR="003E7180">
        <w:rPr>
          <w:rFonts w:ascii="Times New Roman" w:eastAsia="Times New Roman" w:hAnsi="Times New Roman" w:cs="Times New Roman"/>
        </w:rPr>
        <w:t xml:space="preserve"> t test are shown in Table 4 and the </w:t>
      </w:r>
      <w:r w:rsidR="003E7180" w:rsidRPr="00494E93">
        <w:rPr>
          <w:rFonts w:ascii="Times New Roman" w:eastAsia="Times New Roman" w:hAnsi="Times New Roman" w:cs="Times New Roman"/>
        </w:rPr>
        <w:t>results of the f test of industrial work practices (X</w:t>
      </w:r>
      <w:r w:rsidR="003E7180" w:rsidRPr="00494E93">
        <w:rPr>
          <w:rFonts w:ascii="Times New Roman" w:eastAsia="Times New Roman" w:hAnsi="Times New Roman" w:cs="Times New Roman"/>
          <w:vertAlign w:val="subscript"/>
        </w:rPr>
        <w:t>1</w:t>
      </w:r>
      <w:r w:rsidR="003E7180" w:rsidRPr="00494E93">
        <w:rPr>
          <w:rFonts w:ascii="Times New Roman" w:eastAsia="Times New Roman" w:hAnsi="Times New Roman" w:cs="Times New Roman"/>
        </w:rPr>
        <w:t>) and workshop infrastructure (X</w:t>
      </w:r>
      <w:r w:rsidR="003E7180" w:rsidRPr="00494E93">
        <w:rPr>
          <w:rFonts w:ascii="Times New Roman" w:eastAsia="Times New Roman" w:hAnsi="Times New Roman" w:cs="Times New Roman"/>
          <w:vertAlign w:val="subscript"/>
        </w:rPr>
        <w:t>2</w:t>
      </w:r>
      <w:r w:rsidR="003E7180" w:rsidRPr="00494E93">
        <w:rPr>
          <w:rFonts w:ascii="Times New Roman" w:eastAsia="Times New Roman" w:hAnsi="Times New Roman" w:cs="Times New Roman"/>
        </w:rPr>
        <w:t>) on work readiness (Y)</w:t>
      </w:r>
      <w:r w:rsidR="003E7180">
        <w:rPr>
          <w:rFonts w:ascii="Times New Roman" w:eastAsia="Times New Roman" w:hAnsi="Times New Roman" w:cs="Times New Roman"/>
        </w:rPr>
        <w:t xml:space="preserve"> </w:t>
      </w:r>
      <w:r w:rsidR="0084229D">
        <w:rPr>
          <w:rFonts w:ascii="Times New Roman" w:eastAsia="Times New Roman" w:hAnsi="Times New Roman" w:cs="Times New Roman"/>
        </w:rPr>
        <w:t>is shown in Table 5.</w:t>
      </w:r>
    </w:p>
    <w:p w:rsidR="00F30254" w:rsidRDefault="00F30254"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FD3D15" w:rsidRDefault="00FD3D15"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84229D" w:rsidRDefault="0084229D"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4B523C" w:rsidRPr="00CF7EBD" w:rsidRDefault="004B523C" w:rsidP="004B523C">
      <w:pPr>
        <w:pBdr>
          <w:top w:val="nil"/>
          <w:left w:val="nil"/>
          <w:bottom w:val="nil"/>
          <w:right w:val="nil"/>
          <w:between w:val="nil"/>
        </w:pBdr>
        <w:spacing w:after="120" w:line="240" w:lineRule="auto"/>
        <w:jc w:val="center"/>
        <w:rPr>
          <w:rFonts w:ascii="Times New Roman" w:eastAsia="Times New Roman" w:hAnsi="Times New Roman" w:cs="Times New Roman"/>
        </w:rPr>
      </w:pPr>
      <w:r>
        <w:rPr>
          <w:rFonts w:ascii="Times New Roman" w:eastAsia="Times New Roman" w:hAnsi="Times New Roman" w:cs="Times New Roman"/>
          <w:b/>
        </w:rPr>
        <w:lastRenderedPageBreak/>
        <w:t>Table 4</w:t>
      </w:r>
      <w:r w:rsidRPr="000A6245">
        <w:rPr>
          <w:rFonts w:ascii="Times New Roman" w:eastAsia="Times New Roman" w:hAnsi="Times New Roman" w:cs="Times New Roman"/>
          <w:b/>
        </w:rPr>
        <w:t>.</w:t>
      </w:r>
      <w:r w:rsidRPr="000A6245">
        <w:rPr>
          <w:rFonts w:ascii="Times New Roman" w:eastAsia="Times New Roman" w:hAnsi="Times New Roman" w:cs="Times New Roman"/>
        </w:rPr>
        <w:t xml:space="preserve"> </w:t>
      </w:r>
      <w:r>
        <w:rPr>
          <w:rFonts w:ascii="Times New Roman" w:eastAsia="Times New Roman" w:hAnsi="Times New Roman" w:cs="Times New Roman"/>
        </w:rPr>
        <w:t xml:space="preserve">The </w:t>
      </w:r>
      <w:r w:rsidRPr="004B523C">
        <w:rPr>
          <w:rFonts w:ascii="Times New Roman" w:eastAsia="Times New Roman" w:hAnsi="Times New Roman" w:cs="Times New Roman"/>
        </w:rPr>
        <w:t>results of the t test</w:t>
      </w:r>
    </w:p>
    <w:tbl>
      <w:tblPr>
        <w:tblW w:w="4966" w:type="pct"/>
        <w:tblCellMar>
          <w:left w:w="0" w:type="dxa"/>
          <w:right w:w="0" w:type="dxa"/>
        </w:tblCellMar>
        <w:tblLook w:val="0000" w:firstRow="0" w:lastRow="0" w:firstColumn="0" w:lastColumn="0" w:noHBand="0" w:noVBand="0"/>
      </w:tblPr>
      <w:tblGrid>
        <w:gridCol w:w="292"/>
        <w:gridCol w:w="2969"/>
        <w:gridCol w:w="1110"/>
        <w:gridCol w:w="1187"/>
        <w:gridCol w:w="1387"/>
        <w:gridCol w:w="1034"/>
        <w:gridCol w:w="1029"/>
      </w:tblGrid>
      <w:tr w:rsidR="004B523C" w:rsidRPr="004B523C" w:rsidTr="006C5840">
        <w:trPr>
          <w:cantSplit/>
          <w:trHeight w:val="20"/>
        </w:trPr>
        <w:tc>
          <w:tcPr>
            <w:tcW w:w="1810" w:type="pct"/>
            <w:gridSpan w:val="2"/>
            <w:vMerge w:val="restart"/>
            <w:tcBorders>
              <w:top w:val="single" w:sz="8" w:space="0" w:color="auto"/>
            </w:tcBorders>
            <w:shd w:val="clear" w:color="auto" w:fill="FFFFFF"/>
            <w:vAlign w:val="center"/>
          </w:tcPr>
          <w:p w:rsidR="004B523C" w:rsidRPr="004B523C" w:rsidRDefault="004B523C" w:rsidP="004B523C">
            <w:pPr>
              <w:autoSpaceDE w:val="0"/>
              <w:autoSpaceDN w:val="0"/>
              <w:adjustRightInd w:val="0"/>
              <w:spacing w:after="0" w:line="240" w:lineRule="auto"/>
              <w:ind w:left="60" w:right="60"/>
              <w:jc w:val="center"/>
              <w:rPr>
                <w:rFonts w:ascii="Times New Roman" w:hAnsi="Times New Roman" w:cs="Times New Roman"/>
                <w:color w:val="000000"/>
              </w:rPr>
            </w:pPr>
            <w:r w:rsidRPr="004B523C">
              <w:rPr>
                <w:rFonts w:ascii="Times New Roman" w:hAnsi="Times New Roman" w:cs="Times New Roman"/>
                <w:color w:val="000000"/>
              </w:rPr>
              <w:t>Model</w:t>
            </w:r>
          </w:p>
        </w:tc>
        <w:tc>
          <w:tcPr>
            <w:tcW w:w="1275" w:type="pct"/>
            <w:gridSpan w:val="2"/>
            <w:tcBorders>
              <w:top w:val="single" w:sz="8" w:space="0" w:color="auto"/>
              <w:bottom w:val="single" w:sz="8" w:space="0" w:color="auto"/>
            </w:tcBorders>
            <w:shd w:val="clear" w:color="auto" w:fill="FFFFFF"/>
          </w:tcPr>
          <w:p w:rsidR="004B523C" w:rsidRPr="004B523C" w:rsidRDefault="004B523C" w:rsidP="004B523C">
            <w:pPr>
              <w:autoSpaceDE w:val="0"/>
              <w:autoSpaceDN w:val="0"/>
              <w:adjustRightInd w:val="0"/>
              <w:spacing w:after="0" w:line="240" w:lineRule="auto"/>
              <w:ind w:left="60" w:right="60"/>
              <w:jc w:val="center"/>
              <w:rPr>
                <w:rFonts w:ascii="Times New Roman" w:hAnsi="Times New Roman" w:cs="Times New Roman"/>
                <w:color w:val="000000"/>
              </w:rPr>
            </w:pPr>
            <w:r w:rsidRPr="004B523C">
              <w:rPr>
                <w:rFonts w:ascii="Times New Roman" w:hAnsi="Times New Roman" w:cs="Times New Roman"/>
                <w:color w:val="000000"/>
              </w:rPr>
              <w:t>Unstandardized Coefficients</w:t>
            </w:r>
          </w:p>
        </w:tc>
        <w:tc>
          <w:tcPr>
            <w:tcW w:w="770" w:type="pct"/>
            <w:tcBorders>
              <w:top w:val="single" w:sz="8" w:space="0" w:color="auto"/>
              <w:bottom w:val="single" w:sz="8" w:space="0" w:color="auto"/>
            </w:tcBorders>
            <w:shd w:val="clear" w:color="auto" w:fill="FFFFFF"/>
          </w:tcPr>
          <w:p w:rsidR="004B523C" w:rsidRPr="004B523C" w:rsidRDefault="004B523C" w:rsidP="004B523C">
            <w:pPr>
              <w:autoSpaceDE w:val="0"/>
              <w:autoSpaceDN w:val="0"/>
              <w:adjustRightInd w:val="0"/>
              <w:spacing w:after="0" w:line="240" w:lineRule="auto"/>
              <w:ind w:left="60" w:right="60"/>
              <w:jc w:val="center"/>
              <w:rPr>
                <w:rFonts w:ascii="Times New Roman" w:hAnsi="Times New Roman" w:cs="Times New Roman"/>
                <w:color w:val="000000"/>
              </w:rPr>
            </w:pPr>
            <w:r w:rsidRPr="004B523C">
              <w:rPr>
                <w:rFonts w:ascii="Times New Roman" w:hAnsi="Times New Roman" w:cs="Times New Roman"/>
                <w:color w:val="000000"/>
              </w:rPr>
              <w:t>Standardized Coefficients</w:t>
            </w:r>
          </w:p>
        </w:tc>
        <w:tc>
          <w:tcPr>
            <w:tcW w:w="574" w:type="pct"/>
            <w:vMerge w:val="restart"/>
            <w:tcBorders>
              <w:top w:val="single" w:sz="8" w:space="0" w:color="auto"/>
            </w:tcBorders>
            <w:shd w:val="clear" w:color="auto" w:fill="FFFFFF"/>
            <w:vAlign w:val="center"/>
          </w:tcPr>
          <w:p w:rsidR="004B523C" w:rsidRPr="004B523C" w:rsidRDefault="004B523C" w:rsidP="004B523C">
            <w:pPr>
              <w:autoSpaceDE w:val="0"/>
              <w:autoSpaceDN w:val="0"/>
              <w:adjustRightInd w:val="0"/>
              <w:spacing w:after="0" w:line="240" w:lineRule="auto"/>
              <w:ind w:left="60" w:right="60"/>
              <w:jc w:val="center"/>
              <w:rPr>
                <w:rFonts w:ascii="Times New Roman" w:hAnsi="Times New Roman" w:cs="Times New Roman"/>
                <w:color w:val="000000"/>
              </w:rPr>
            </w:pPr>
            <w:r w:rsidRPr="004B523C">
              <w:rPr>
                <w:rFonts w:ascii="Times New Roman" w:hAnsi="Times New Roman" w:cs="Times New Roman"/>
                <w:color w:val="000000"/>
              </w:rPr>
              <w:t>t</w:t>
            </w:r>
          </w:p>
        </w:tc>
        <w:tc>
          <w:tcPr>
            <w:tcW w:w="571" w:type="pct"/>
            <w:vMerge w:val="restart"/>
            <w:tcBorders>
              <w:top w:val="single" w:sz="8" w:space="0" w:color="auto"/>
            </w:tcBorders>
            <w:shd w:val="clear" w:color="auto" w:fill="FFFFFF"/>
            <w:vAlign w:val="center"/>
          </w:tcPr>
          <w:p w:rsidR="004B523C" w:rsidRPr="004B523C" w:rsidRDefault="004B523C" w:rsidP="004B523C">
            <w:pPr>
              <w:autoSpaceDE w:val="0"/>
              <w:autoSpaceDN w:val="0"/>
              <w:adjustRightInd w:val="0"/>
              <w:spacing w:after="0" w:line="240" w:lineRule="auto"/>
              <w:ind w:left="60" w:right="60"/>
              <w:jc w:val="center"/>
              <w:rPr>
                <w:rFonts w:ascii="Times New Roman" w:hAnsi="Times New Roman" w:cs="Times New Roman"/>
                <w:color w:val="000000"/>
              </w:rPr>
            </w:pPr>
            <w:r w:rsidRPr="004B523C">
              <w:rPr>
                <w:rFonts w:ascii="Times New Roman" w:hAnsi="Times New Roman" w:cs="Times New Roman"/>
                <w:color w:val="000000"/>
              </w:rPr>
              <w:t>Sig.</w:t>
            </w:r>
          </w:p>
        </w:tc>
      </w:tr>
      <w:tr w:rsidR="004B523C" w:rsidRPr="004B523C" w:rsidTr="006C5840">
        <w:trPr>
          <w:cantSplit/>
          <w:trHeight w:val="20"/>
        </w:trPr>
        <w:tc>
          <w:tcPr>
            <w:tcW w:w="1810" w:type="pct"/>
            <w:gridSpan w:val="2"/>
            <w:vMerge/>
            <w:tcBorders>
              <w:bottom w:val="single" w:sz="8" w:space="0" w:color="auto"/>
            </w:tcBorders>
            <w:shd w:val="clear" w:color="auto" w:fill="FFFFFF"/>
          </w:tcPr>
          <w:p w:rsidR="004B523C" w:rsidRPr="004B523C" w:rsidRDefault="004B523C" w:rsidP="004B523C">
            <w:pPr>
              <w:autoSpaceDE w:val="0"/>
              <w:autoSpaceDN w:val="0"/>
              <w:adjustRightInd w:val="0"/>
              <w:spacing w:after="0" w:line="240" w:lineRule="auto"/>
              <w:rPr>
                <w:rFonts w:ascii="Times New Roman" w:hAnsi="Times New Roman" w:cs="Times New Roman"/>
                <w:color w:val="000000"/>
              </w:rPr>
            </w:pPr>
          </w:p>
        </w:tc>
        <w:tc>
          <w:tcPr>
            <w:tcW w:w="616" w:type="pct"/>
            <w:tcBorders>
              <w:top w:val="single" w:sz="8" w:space="0" w:color="auto"/>
              <w:bottom w:val="single" w:sz="8" w:space="0" w:color="auto"/>
            </w:tcBorders>
            <w:shd w:val="clear" w:color="auto" w:fill="FFFFFF"/>
          </w:tcPr>
          <w:p w:rsidR="004B523C" w:rsidRPr="004B523C" w:rsidRDefault="004B523C" w:rsidP="004B523C">
            <w:pPr>
              <w:autoSpaceDE w:val="0"/>
              <w:autoSpaceDN w:val="0"/>
              <w:adjustRightInd w:val="0"/>
              <w:spacing w:after="0" w:line="240" w:lineRule="auto"/>
              <w:ind w:left="60" w:right="60"/>
              <w:jc w:val="center"/>
              <w:rPr>
                <w:rFonts w:ascii="Times New Roman" w:hAnsi="Times New Roman" w:cs="Times New Roman"/>
                <w:color w:val="000000"/>
              </w:rPr>
            </w:pPr>
            <w:r w:rsidRPr="004B523C">
              <w:rPr>
                <w:rFonts w:ascii="Times New Roman" w:hAnsi="Times New Roman" w:cs="Times New Roman"/>
                <w:color w:val="000000"/>
              </w:rPr>
              <w:t>B</w:t>
            </w:r>
          </w:p>
        </w:tc>
        <w:tc>
          <w:tcPr>
            <w:tcW w:w="659" w:type="pct"/>
            <w:tcBorders>
              <w:top w:val="single" w:sz="8" w:space="0" w:color="auto"/>
              <w:bottom w:val="single" w:sz="8" w:space="0" w:color="auto"/>
            </w:tcBorders>
            <w:shd w:val="clear" w:color="auto" w:fill="FFFFFF"/>
          </w:tcPr>
          <w:p w:rsidR="004B523C" w:rsidRPr="004B523C" w:rsidRDefault="004B523C" w:rsidP="004B523C">
            <w:pPr>
              <w:autoSpaceDE w:val="0"/>
              <w:autoSpaceDN w:val="0"/>
              <w:adjustRightInd w:val="0"/>
              <w:spacing w:after="0" w:line="240" w:lineRule="auto"/>
              <w:ind w:left="60" w:right="60"/>
              <w:jc w:val="center"/>
              <w:rPr>
                <w:rFonts w:ascii="Times New Roman" w:hAnsi="Times New Roman" w:cs="Times New Roman"/>
                <w:color w:val="000000"/>
              </w:rPr>
            </w:pPr>
            <w:r w:rsidRPr="004B523C">
              <w:rPr>
                <w:rFonts w:ascii="Times New Roman" w:hAnsi="Times New Roman" w:cs="Times New Roman"/>
                <w:color w:val="000000"/>
              </w:rPr>
              <w:t>Std. Error</w:t>
            </w:r>
          </w:p>
        </w:tc>
        <w:tc>
          <w:tcPr>
            <w:tcW w:w="770" w:type="pct"/>
            <w:tcBorders>
              <w:top w:val="single" w:sz="8" w:space="0" w:color="auto"/>
              <w:bottom w:val="single" w:sz="8" w:space="0" w:color="auto"/>
            </w:tcBorders>
            <w:shd w:val="clear" w:color="auto" w:fill="FFFFFF"/>
          </w:tcPr>
          <w:p w:rsidR="004B523C" w:rsidRPr="004B523C" w:rsidRDefault="004B523C" w:rsidP="004B523C">
            <w:pPr>
              <w:autoSpaceDE w:val="0"/>
              <w:autoSpaceDN w:val="0"/>
              <w:adjustRightInd w:val="0"/>
              <w:spacing w:after="0" w:line="240" w:lineRule="auto"/>
              <w:ind w:left="60" w:right="60"/>
              <w:jc w:val="center"/>
              <w:rPr>
                <w:rFonts w:ascii="Times New Roman" w:hAnsi="Times New Roman" w:cs="Times New Roman"/>
                <w:color w:val="000000"/>
              </w:rPr>
            </w:pPr>
            <w:r w:rsidRPr="004B523C">
              <w:rPr>
                <w:rFonts w:ascii="Times New Roman" w:hAnsi="Times New Roman" w:cs="Times New Roman"/>
                <w:color w:val="000000"/>
              </w:rPr>
              <w:t>Beta</w:t>
            </w:r>
          </w:p>
        </w:tc>
        <w:tc>
          <w:tcPr>
            <w:tcW w:w="574" w:type="pct"/>
            <w:vMerge/>
            <w:tcBorders>
              <w:bottom w:val="single" w:sz="8" w:space="0" w:color="auto"/>
            </w:tcBorders>
            <w:shd w:val="clear" w:color="auto" w:fill="FFFFFF"/>
          </w:tcPr>
          <w:p w:rsidR="004B523C" w:rsidRPr="004B523C" w:rsidRDefault="004B523C" w:rsidP="004B523C">
            <w:pPr>
              <w:autoSpaceDE w:val="0"/>
              <w:autoSpaceDN w:val="0"/>
              <w:adjustRightInd w:val="0"/>
              <w:spacing w:after="0" w:line="240" w:lineRule="auto"/>
              <w:rPr>
                <w:rFonts w:ascii="Times New Roman" w:hAnsi="Times New Roman" w:cs="Times New Roman"/>
                <w:color w:val="000000"/>
              </w:rPr>
            </w:pPr>
          </w:p>
        </w:tc>
        <w:tc>
          <w:tcPr>
            <w:tcW w:w="571" w:type="pct"/>
            <w:vMerge/>
            <w:tcBorders>
              <w:bottom w:val="single" w:sz="8" w:space="0" w:color="auto"/>
            </w:tcBorders>
            <w:shd w:val="clear" w:color="auto" w:fill="FFFFFF"/>
          </w:tcPr>
          <w:p w:rsidR="004B523C" w:rsidRPr="004B523C" w:rsidRDefault="004B523C" w:rsidP="004B523C">
            <w:pPr>
              <w:autoSpaceDE w:val="0"/>
              <w:autoSpaceDN w:val="0"/>
              <w:adjustRightInd w:val="0"/>
              <w:spacing w:after="0" w:line="240" w:lineRule="auto"/>
              <w:rPr>
                <w:rFonts w:ascii="Times New Roman" w:hAnsi="Times New Roman" w:cs="Times New Roman"/>
                <w:color w:val="000000"/>
              </w:rPr>
            </w:pPr>
          </w:p>
        </w:tc>
      </w:tr>
      <w:tr w:rsidR="004B523C" w:rsidRPr="004B523C" w:rsidTr="006C5840">
        <w:trPr>
          <w:cantSplit/>
          <w:trHeight w:val="20"/>
        </w:trPr>
        <w:tc>
          <w:tcPr>
            <w:tcW w:w="162" w:type="pct"/>
            <w:vMerge w:val="restart"/>
            <w:tcBorders>
              <w:top w:val="single" w:sz="8" w:space="0" w:color="auto"/>
            </w:tcBorders>
            <w:shd w:val="clear" w:color="auto" w:fill="FFFFFF"/>
            <w:vAlign w:val="center"/>
          </w:tcPr>
          <w:p w:rsidR="004B523C" w:rsidRPr="004B523C" w:rsidRDefault="006C5840" w:rsidP="004B523C">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1</w:t>
            </w:r>
          </w:p>
        </w:tc>
        <w:tc>
          <w:tcPr>
            <w:tcW w:w="1648" w:type="pct"/>
            <w:tcBorders>
              <w:top w:val="single" w:sz="8" w:space="0" w:color="auto"/>
            </w:tcBorders>
            <w:shd w:val="clear" w:color="auto" w:fill="FFFFFF"/>
            <w:vAlign w:val="center"/>
          </w:tcPr>
          <w:p w:rsidR="004B523C" w:rsidRPr="004B523C" w:rsidRDefault="004B523C" w:rsidP="004B523C">
            <w:pPr>
              <w:autoSpaceDE w:val="0"/>
              <w:autoSpaceDN w:val="0"/>
              <w:adjustRightInd w:val="0"/>
              <w:spacing w:after="0" w:line="240" w:lineRule="auto"/>
              <w:ind w:left="60" w:right="60"/>
              <w:rPr>
                <w:rFonts w:ascii="Times New Roman" w:hAnsi="Times New Roman" w:cs="Times New Roman"/>
                <w:color w:val="000000"/>
              </w:rPr>
            </w:pPr>
            <w:r w:rsidRPr="004B523C">
              <w:rPr>
                <w:rFonts w:ascii="Times New Roman" w:hAnsi="Times New Roman" w:cs="Times New Roman"/>
                <w:color w:val="000000"/>
              </w:rPr>
              <w:t>(Constant)</w:t>
            </w:r>
          </w:p>
        </w:tc>
        <w:tc>
          <w:tcPr>
            <w:tcW w:w="616" w:type="pct"/>
            <w:tcBorders>
              <w:top w:val="single" w:sz="8" w:space="0" w:color="auto"/>
            </w:tcBorders>
            <w:shd w:val="clear" w:color="auto" w:fill="FFFFFF"/>
            <w:vAlign w:val="center"/>
          </w:tcPr>
          <w:p w:rsidR="004B523C" w:rsidRPr="004B523C" w:rsidRDefault="004B523C" w:rsidP="004B523C">
            <w:pPr>
              <w:autoSpaceDE w:val="0"/>
              <w:autoSpaceDN w:val="0"/>
              <w:adjustRightInd w:val="0"/>
              <w:spacing w:after="0" w:line="240" w:lineRule="auto"/>
              <w:ind w:left="60" w:right="60"/>
              <w:jc w:val="right"/>
              <w:rPr>
                <w:rFonts w:ascii="Times New Roman" w:hAnsi="Times New Roman" w:cs="Times New Roman"/>
                <w:color w:val="000000"/>
              </w:rPr>
            </w:pPr>
            <w:r w:rsidRPr="004B523C">
              <w:rPr>
                <w:rFonts w:ascii="Times New Roman" w:hAnsi="Times New Roman" w:cs="Times New Roman"/>
                <w:color w:val="000000"/>
              </w:rPr>
              <w:t>38.665</w:t>
            </w:r>
          </w:p>
        </w:tc>
        <w:tc>
          <w:tcPr>
            <w:tcW w:w="659" w:type="pct"/>
            <w:tcBorders>
              <w:top w:val="single" w:sz="8" w:space="0" w:color="auto"/>
            </w:tcBorders>
            <w:shd w:val="clear" w:color="auto" w:fill="FFFFFF"/>
            <w:vAlign w:val="center"/>
          </w:tcPr>
          <w:p w:rsidR="004B523C" w:rsidRPr="004B523C" w:rsidRDefault="004B523C" w:rsidP="004B523C">
            <w:pPr>
              <w:autoSpaceDE w:val="0"/>
              <w:autoSpaceDN w:val="0"/>
              <w:adjustRightInd w:val="0"/>
              <w:spacing w:after="0" w:line="240" w:lineRule="auto"/>
              <w:ind w:left="60" w:right="60"/>
              <w:jc w:val="right"/>
              <w:rPr>
                <w:rFonts w:ascii="Times New Roman" w:hAnsi="Times New Roman" w:cs="Times New Roman"/>
                <w:color w:val="000000"/>
              </w:rPr>
            </w:pPr>
            <w:r w:rsidRPr="004B523C">
              <w:rPr>
                <w:rFonts w:ascii="Times New Roman" w:hAnsi="Times New Roman" w:cs="Times New Roman"/>
                <w:color w:val="000000"/>
              </w:rPr>
              <w:t>2.440</w:t>
            </w:r>
          </w:p>
        </w:tc>
        <w:tc>
          <w:tcPr>
            <w:tcW w:w="770" w:type="pct"/>
            <w:tcBorders>
              <w:top w:val="single" w:sz="8" w:space="0" w:color="auto"/>
            </w:tcBorders>
            <w:shd w:val="clear" w:color="auto" w:fill="FFFFFF"/>
          </w:tcPr>
          <w:p w:rsidR="004B523C" w:rsidRPr="004B523C" w:rsidRDefault="004B523C" w:rsidP="004B523C">
            <w:pPr>
              <w:autoSpaceDE w:val="0"/>
              <w:autoSpaceDN w:val="0"/>
              <w:adjustRightInd w:val="0"/>
              <w:spacing w:after="0" w:line="240" w:lineRule="auto"/>
              <w:rPr>
                <w:rFonts w:ascii="Times New Roman" w:hAnsi="Times New Roman" w:cs="Times New Roman"/>
              </w:rPr>
            </w:pPr>
          </w:p>
        </w:tc>
        <w:tc>
          <w:tcPr>
            <w:tcW w:w="574" w:type="pct"/>
            <w:tcBorders>
              <w:top w:val="single" w:sz="8" w:space="0" w:color="auto"/>
            </w:tcBorders>
            <w:shd w:val="clear" w:color="auto" w:fill="FFFFFF"/>
            <w:vAlign w:val="center"/>
          </w:tcPr>
          <w:p w:rsidR="004B523C" w:rsidRPr="004B523C" w:rsidRDefault="004B523C" w:rsidP="004B523C">
            <w:pPr>
              <w:autoSpaceDE w:val="0"/>
              <w:autoSpaceDN w:val="0"/>
              <w:adjustRightInd w:val="0"/>
              <w:spacing w:after="0" w:line="240" w:lineRule="auto"/>
              <w:ind w:left="60" w:right="60"/>
              <w:jc w:val="right"/>
              <w:rPr>
                <w:rFonts w:ascii="Times New Roman" w:hAnsi="Times New Roman" w:cs="Times New Roman"/>
                <w:color w:val="000000"/>
              </w:rPr>
            </w:pPr>
            <w:r w:rsidRPr="004B523C">
              <w:rPr>
                <w:rFonts w:ascii="Times New Roman" w:hAnsi="Times New Roman" w:cs="Times New Roman"/>
                <w:color w:val="000000"/>
              </w:rPr>
              <w:t>15.847</w:t>
            </w:r>
          </w:p>
        </w:tc>
        <w:tc>
          <w:tcPr>
            <w:tcW w:w="571" w:type="pct"/>
            <w:tcBorders>
              <w:top w:val="single" w:sz="8" w:space="0" w:color="auto"/>
            </w:tcBorders>
            <w:shd w:val="clear" w:color="auto" w:fill="FFFFFF"/>
            <w:vAlign w:val="center"/>
          </w:tcPr>
          <w:p w:rsidR="004B523C" w:rsidRPr="004B523C" w:rsidRDefault="004B523C" w:rsidP="004B523C">
            <w:pPr>
              <w:autoSpaceDE w:val="0"/>
              <w:autoSpaceDN w:val="0"/>
              <w:adjustRightInd w:val="0"/>
              <w:spacing w:after="0" w:line="240" w:lineRule="auto"/>
              <w:ind w:left="60" w:right="60"/>
              <w:jc w:val="right"/>
              <w:rPr>
                <w:rFonts w:ascii="Times New Roman" w:hAnsi="Times New Roman" w:cs="Times New Roman"/>
                <w:color w:val="000000"/>
              </w:rPr>
            </w:pPr>
            <w:r w:rsidRPr="004B523C">
              <w:rPr>
                <w:rFonts w:ascii="Times New Roman" w:hAnsi="Times New Roman" w:cs="Times New Roman"/>
                <w:color w:val="000000"/>
              </w:rPr>
              <w:t>.000</w:t>
            </w:r>
          </w:p>
        </w:tc>
      </w:tr>
      <w:tr w:rsidR="004B523C" w:rsidRPr="004B523C" w:rsidTr="006C5840">
        <w:trPr>
          <w:cantSplit/>
          <w:trHeight w:val="20"/>
        </w:trPr>
        <w:tc>
          <w:tcPr>
            <w:tcW w:w="162" w:type="pct"/>
            <w:vMerge/>
            <w:tcBorders>
              <w:bottom w:val="single" w:sz="8" w:space="0" w:color="auto"/>
            </w:tcBorders>
            <w:shd w:val="clear" w:color="auto" w:fill="FFFFFF"/>
            <w:vAlign w:val="center"/>
          </w:tcPr>
          <w:p w:rsidR="004B523C" w:rsidRPr="004B523C" w:rsidRDefault="004B523C" w:rsidP="004B523C">
            <w:pPr>
              <w:autoSpaceDE w:val="0"/>
              <w:autoSpaceDN w:val="0"/>
              <w:adjustRightInd w:val="0"/>
              <w:spacing w:after="0" w:line="240" w:lineRule="auto"/>
              <w:rPr>
                <w:rFonts w:ascii="Times New Roman" w:hAnsi="Times New Roman" w:cs="Times New Roman"/>
                <w:color w:val="000000"/>
              </w:rPr>
            </w:pPr>
          </w:p>
        </w:tc>
        <w:tc>
          <w:tcPr>
            <w:tcW w:w="1648" w:type="pct"/>
            <w:tcBorders>
              <w:bottom w:val="single" w:sz="8" w:space="0" w:color="auto"/>
            </w:tcBorders>
            <w:shd w:val="clear" w:color="auto" w:fill="FFFFFF"/>
            <w:vAlign w:val="center"/>
          </w:tcPr>
          <w:p w:rsidR="004B523C" w:rsidRPr="004B523C" w:rsidRDefault="006C5840" w:rsidP="004B523C">
            <w:pPr>
              <w:autoSpaceDE w:val="0"/>
              <w:autoSpaceDN w:val="0"/>
              <w:adjustRightInd w:val="0"/>
              <w:spacing w:after="0" w:line="240" w:lineRule="auto"/>
              <w:ind w:left="60" w:right="60"/>
              <w:rPr>
                <w:rFonts w:ascii="Times New Roman" w:hAnsi="Times New Roman" w:cs="Times New Roman"/>
                <w:color w:val="000000"/>
              </w:rPr>
            </w:pPr>
            <w:r w:rsidRPr="006C5840">
              <w:rPr>
                <w:rFonts w:ascii="Times New Roman" w:eastAsia="Times New Roman" w:hAnsi="Times New Roman" w:cs="Times New Roman"/>
              </w:rPr>
              <w:t>Industrial Work Practices</w:t>
            </w:r>
            <w:r>
              <w:rPr>
                <w:rFonts w:ascii="Times New Roman" w:eastAsia="Times New Roman" w:hAnsi="Times New Roman" w:cs="Times New Roman"/>
              </w:rPr>
              <w:t xml:space="preserve"> (X</w:t>
            </w:r>
            <w:r w:rsidRPr="006C5840">
              <w:rPr>
                <w:rFonts w:ascii="Times New Roman" w:eastAsia="Times New Roman" w:hAnsi="Times New Roman" w:cs="Times New Roman"/>
                <w:vertAlign w:val="subscript"/>
              </w:rPr>
              <w:t>1</w:t>
            </w:r>
            <w:r>
              <w:rPr>
                <w:rFonts w:ascii="Times New Roman" w:eastAsia="Times New Roman" w:hAnsi="Times New Roman" w:cs="Times New Roman"/>
              </w:rPr>
              <w:t>)</w:t>
            </w:r>
          </w:p>
        </w:tc>
        <w:tc>
          <w:tcPr>
            <w:tcW w:w="616" w:type="pct"/>
            <w:tcBorders>
              <w:bottom w:val="single" w:sz="8" w:space="0" w:color="auto"/>
            </w:tcBorders>
            <w:shd w:val="clear" w:color="auto" w:fill="FFFFFF"/>
            <w:vAlign w:val="center"/>
          </w:tcPr>
          <w:p w:rsidR="004B523C" w:rsidRPr="004B523C" w:rsidRDefault="004B523C" w:rsidP="004B523C">
            <w:pPr>
              <w:autoSpaceDE w:val="0"/>
              <w:autoSpaceDN w:val="0"/>
              <w:adjustRightInd w:val="0"/>
              <w:spacing w:after="0" w:line="240" w:lineRule="auto"/>
              <w:ind w:left="60" w:right="60"/>
              <w:jc w:val="right"/>
              <w:rPr>
                <w:rFonts w:ascii="Times New Roman" w:hAnsi="Times New Roman" w:cs="Times New Roman"/>
                <w:color w:val="000000"/>
              </w:rPr>
            </w:pPr>
            <w:r w:rsidRPr="004B523C">
              <w:rPr>
                <w:rFonts w:ascii="Times New Roman" w:hAnsi="Times New Roman" w:cs="Times New Roman"/>
                <w:color w:val="000000"/>
              </w:rPr>
              <w:t>.305</w:t>
            </w:r>
          </w:p>
        </w:tc>
        <w:tc>
          <w:tcPr>
            <w:tcW w:w="659" w:type="pct"/>
            <w:tcBorders>
              <w:bottom w:val="single" w:sz="8" w:space="0" w:color="auto"/>
            </w:tcBorders>
            <w:shd w:val="clear" w:color="auto" w:fill="FFFFFF"/>
            <w:vAlign w:val="center"/>
          </w:tcPr>
          <w:p w:rsidR="004B523C" w:rsidRPr="004B523C" w:rsidRDefault="004B523C" w:rsidP="004B523C">
            <w:pPr>
              <w:autoSpaceDE w:val="0"/>
              <w:autoSpaceDN w:val="0"/>
              <w:adjustRightInd w:val="0"/>
              <w:spacing w:after="0" w:line="240" w:lineRule="auto"/>
              <w:ind w:left="60" w:right="60"/>
              <w:jc w:val="right"/>
              <w:rPr>
                <w:rFonts w:ascii="Times New Roman" w:hAnsi="Times New Roman" w:cs="Times New Roman"/>
                <w:color w:val="000000"/>
              </w:rPr>
            </w:pPr>
            <w:r w:rsidRPr="004B523C">
              <w:rPr>
                <w:rFonts w:ascii="Times New Roman" w:hAnsi="Times New Roman" w:cs="Times New Roman"/>
                <w:color w:val="000000"/>
              </w:rPr>
              <w:t>.046</w:t>
            </w:r>
          </w:p>
        </w:tc>
        <w:tc>
          <w:tcPr>
            <w:tcW w:w="770" w:type="pct"/>
            <w:tcBorders>
              <w:bottom w:val="single" w:sz="8" w:space="0" w:color="auto"/>
            </w:tcBorders>
            <w:shd w:val="clear" w:color="auto" w:fill="FFFFFF"/>
            <w:vAlign w:val="center"/>
          </w:tcPr>
          <w:p w:rsidR="004B523C" w:rsidRPr="004B523C" w:rsidRDefault="004B523C" w:rsidP="004B523C">
            <w:pPr>
              <w:autoSpaceDE w:val="0"/>
              <w:autoSpaceDN w:val="0"/>
              <w:adjustRightInd w:val="0"/>
              <w:spacing w:after="0" w:line="240" w:lineRule="auto"/>
              <w:ind w:left="60" w:right="60"/>
              <w:jc w:val="right"/>
              <w:rPr>
                <w:rFonts w:ascii="Times New Roman" w:hAnsi="Times New Roman" w:cs="Times New Roman"/>
                <w:color w:val="000000"/>
              </w:rPr>
            </w:pPr>
            <w:r w:rsidRPr="004B523C">
              <w:rPr>
                <w:rFonts w:ascii="Times New Roman" w:hAnsi="Times New Roman" w:cs="Times New Roman"/>
                <w:color w:val="000000"/>
              </w:rPr>
              <w:t>.554</w:t>
            </w:r>
          </w:p>
        </w:tc>
        <w:tc>
          <w:tcPr>
            <w:tcW w:w="574" w:type="pct"/>
            <w:tcBorders>
              <w:bottom w:val="single" w:sz="8" w:space="0" w:color="auto"/>
            </w:tcBorders>
            <w:shd w:val="clear" w:color="auto" w:fill="FFFFFF"/>
            <w:vAlign w:val="center"/>
          </w:tcPr>
          <w:p w:rsidR="004B523C" w:rsidRPr="004B523C" w:rsidRDefault="004B523C" w:rsidP="004B523C">
            <w:pPr>
              <w:autoSpaceDE w:val="0"/>
              <w:autoSpaceDN w:val="0"/>
              <w:adjustRightInd w:val="0"/>
              <w:spacing w:after="0" w:line="240" w:lineRule="auto"/>
              <w:ind w:left="60" w:right="60"/>
              <w:jc w:val="right"/>
              <w:rPr>
                <w:rFonts w:ascii="Times New Roman" w:hAnsi="Times New Roman" w:cs="Times New Roman"/>
                <w:color w:val="000000"/>
              </w:rPr>
            </w:pPr>
            <w:r w:rsidRPr="004B523C">
              <w:rPr>
                <w:rFonts w:ascii="Times New Roman" w:hAnsi="Times New Roman" w:cs="Times New Roman"/>
                <w:color w:val="000000"/>
              </w:rPr>
              <w:t>6.617</w:t>
            </w:r>
          </w:p>
        </w:tc>
        <w:tc>
          <w:tcPr>
            <w:tcW w:w="571" w:type="pct"/>
            <w:tcBorders>
              <w:bottom w:val="single" w:sz="8" w:space="0" w:color="auto"/>
            </w:tcBorders>
            <w:shd w:val="clear" w:color="auto" w:fill="FFFFFF"/>
            <w:vAlign w:val="center"/>
          </w:tcPr>
          <w:p w:rsidR="004B523C" w:rsidRPr="004B523C" w:rsidRDefault="004B523C" w:rsidP="004B523C">
            <w:pPr>
              <w:autoSpaceDE w:val="0"/>
              <w:autoSpaceDN w:val="0"/>
              <w:adjustRightInd w:val="0"/>
              <w:spacing w:after="0" w:line="240" w:lineRule="auto"/>
              <w:ind w:left="60" w:right="60"/>
              <w:jc w:val="right"/>
              <w:rPr>
                <w:rFonts w:ascii="Times New Roman" w:hAnsi="Times New Roman" w:cs="Times New Roman"/>
                <w:color w:val="000000"/>
              </w:rPr>
            </w:pPr>
            <w:r w:rsidRPr="004B523C">
              <w:rPr>
                <w:rFonts w:ascii="Times New Roman" w:hAnsi="Times New Roman" w:cs="Times New Roman"/>
                <w:color w:val="000000"/>
              </w:rPr>
              <w:t>.000</w:t>
            </w:r>
          </w:p>
        </w:tc>
      </w:tr>
      <w:tr w:rsidR="004B523C" w:rsidTr="006C5840">
        <w:trPr>
          <w:cantSplit/>
        </w:trPr>
        <w:tc>
          <w:tcPr>
            <w:tcW w:w="162" w:type="pct"/>
            <w:vMerge w:val="restart"/>
            <w:tcBorders>
              <w:top w:val="single" w:sz="8" w:space="0" w:color="auto"/>
            </w:tcBorders>
            <w:shd w:val="clear" w:color="auto" w:fill="FFFFFF"/>
            <w:vAlign w:val="center"/>
          </w:tcPr>
          <w:p w:rsidR="004B523C" w:rsidRPr="004B523C" w:rsidRDefault="006C5840" w:rsidP="004B523C">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2</w:t>
            </w:r>
          </w:p>
        </w:tc>
        <w:tc>
          <w:tcPr>
            <w:tcW w:w="1648" w:type="pct"/>
            <w:tcBorders>
              <w:top w:val="single" w:sz="8" w:space="0" w:color="auto"/>
            </w:tcBorders>
            <w:shd w:val="clear" w:color="auto" w:fill="FFFFFF"/>
            <w:vAlign w:val="center"/>
          </w:tcPr>
          <w:p w:rsidR="004B523C" w:rsidRPr="004B523C" w:rsidRDefault="004B523C" w:rsidP="004B523C">
            <w:pPr>
              <w:autoSpaceDE w:val="0"/>
              <w:autoSpaceDN w:val="0"/>
              <w:adjustRightInd w:val="0"/>
              <w:spacing w:after="0" w:line="240" w:lineRule="auto"/>
              <w:ind w:left="60" w:right="60"/>
              <w:rPr>
                <w:rFonts w:ascii="Times New Roman" w:hAnsi="Times New Roman" w:cs="Times New Roman"/>
                <w:color w:val="000000"/>
              </w:rPr>
            </w:pPr>
            <w:r w:rsidRPr="004B523C">
              <w:rPr>
                <w:rFonts w:ascii="Times New Roman" w:hAnsi="Times New Roman" w:cs="Times New Roman"/>
                <w:color w:val="000000"/>
              </w:rPr>
              <w:t>(Constant)</w:t>
            </w:r>
          </w:p>
        </w:tc>
        <w:tc>
          <w:tcPr>
            <w:tcW w:w="616" w:type="pct"/>
            <w:tcBorders>
              <w:top w:val="single" w:sz="8" w:space="0" w:color="auto"/>
            </w:tcBorders>
            <w:shd w:val="clear" w:color="auto" w:fill="FFFFFF"/>
            <w:vAlign w:val="center"/>
          </w:tcPr>
          <w:p w:rsidR="004B523C" w:rsidRPr="004B523C" w:rsidRDefault="004B523C" w:rsidP="004B523C">
            <w:pPr>
              <w:autoSpaceDE w:val="0"/>
              <w:autoSpaceDN w:val="0"/>
              <w:adjustRightInd w:val="0"/>
              <w:spacing w:after="0" w:line="240" w:lineRule="auto"/>
              <w:ind w:left="60" w:right="60"/>
              <w:jc w:val="right"/>
              <w:rPr>
                <w:rFonts w:ascii="Times New Roman" w:hAnsi="Times New Roman" w:cs="Times New Roman"/>
                <w:color w:val="000000"/>
              </w:rPr>
            </w:pPr>
            <w:r w:rsidRPr="004B523C">
              <w:rPr>
                <w:rFonts w:ascii="Times New Roman" w:hAnsi="Times New Roman" w:cs="Times New Roman"/>
                <w:color w:val="000000"/>
              </w:rPr>
              <w:t>39.637</w:t>
            </w:r>
          </w:p>
        </w:tc>
        <w:tc>
          <w:tcPr>
            <w:tcW w:w="659" w:type="pct"/>
            <w:tcBorders>
              <w:top w:val="single" w:sz="8" w:space="0" w:color="auto"/>
            </w:tcBorders>
            <w:shd w:val="clear" w:color="auto" w:fill="FFFFFF"/>
            <w:vAlign w:val="center"/>
          </w:tcPr>
          <w:p w:rsidR="004B523C" w:rsidRPr="004B523C" w:rsidRDefault="004B523C" w:rsidP="004B523C">
            <w:pPr>
              <w:autoSpaceDE w:val="0"/>
              <w:autoSpaceDN w:val="0"/>
              <w:adjustRightInd w:val="0"/>
              <w:spacing w:after="0" w:line="240" w:lineRule="auto"/>
              <w:ind w:left="60" w:right="60"/>
              <w:jc w:val="right"/>
              <w:rPr>
                <w:rFonts w:ascii="Times New Roman" w:hAnsi="Times New Roman" w:cs="Times New Roman"/>
                <w:color w:val="000000"/>
              </w:rPr>
            </w:pPr>
            <w:r w:rsidRPr="004B523C">
              <w:rPr>
                <w:rFonts w:ascii="Times New Roman" w:hAnsi="Times New Roman" w:cs="Times New Roman"/>
                <w:color w:val="000000"/>
              </w:rPr>
              <w:t>2.367</w:t>
            </w:r>
          </w:p>
        </w:tc>
        <w:tc>
          <w:tcPr>
            <w:tcW w:w="770" w:type="pct"/>
            <w:tcBorders>
              <w:top w:val="single" w:sz="8" w:space="0" w:color="auto"/>
            </w:tcBorders>
            <w:shd w:val="clear" w:color="auto" w:fill="FFFFFF"/>
          </w:tcPr>
          <w:p w:rsidR="004B523C" w:rsidRPr="004B523C" w:rsidRDefault="004B523C" w:rsidP="004B523C">
            <w:pPr>
              <w:autoSpaceDE w:val="0"/>
              <w:autoSpaceDN w:val="0"/>
              <w:adjustRightInd w:val="0"/>
              <w:spacing w:after="0" w:line="240" w:lineRule="auto"/>
              <w:rPr>
                <w:rFonts w:ascii="Times New Roman" w:hAnsi="Times New Roman" w:cs="Times New Roman"/>
                <w:color w:val="000000"/>
              </w:rPr>
            </w:pPr>
          </w:p>
        </w:tc>
        <w:tc>
          <w:tcPr>
            <w:tcW w:w="574" w:type="pct"/>
            <w:tcBorders>
              <w:top w:val="single" w:sz="8" w:space="0" w:color="auto"/>
            </w:tcBorders>
            <w:shd w:val="clear" w:color="auto" w:fill="FFFFFF"/>
            <w:vAlign w:val="center"/>
          </w:tcPr>
          <w:p w:rsidR="004B523C" w:rsidRPr="004B523C" w:rsidRDefault="004B523C" w:rsidP="004B523C">
            <w:pPr>
              <w:autoSpaceDE w:val="0"/>
              <w:autoSpaceDN w:val="0"/>
              <w:adjustRightInd w:val="0"/>
              <w:spacing w:after="0" w:line="240" w:lineRule="auto"/>
              <w:ind w:left="60" w:right="60"/>
              <w:jc w:val="right"/>
              <w:rPr>
                <w:rFonts w:ascii="Times New Roman" w:hAnsi="Times New Roman" w:cs="Times New Roman"/>
                <w:color w:val="000000"/>
              </w:rPr>
            </w:pPr>
            <w:r w:rsidRPr="004B523C">
              <w:rPr>
                <w:rFonts w:ascii="Times New Roman" w:hAnsi="Times New Roman" w:cs="Times New Roman"/>
                <w:color w:val="000000"/>
              </w:rPr>
              <w:t>16.744</w:t>
            </w:r>
          </w:p>
        </w:tc>
        <w:tc>
          <w:tcPr>
            <w:tcW w:w="571" w:type="pct"/>
            <w:tcBorders>
              <w:top w:val="single" w:sz="8" w:space="0" w:color="auto"/>
            </w:tcBorders>
            <w:shd w:val="clear" w:color="auto" w:fill="FFFFFF"/>
            <w:vAlign w:val="center"/>
          </w:tcPr>
          <w:p w:rsidR="004B523C" w:rsidRPr="004B523C" w:rsidRDefault="004B523C" w:rsidP="004B523C">
            <w:pPr>
              <w:autoSpaceDE w:val="0"/>
              <w:autoSpaceDN w:val="0"/>
              <w:adjustRightInd w:val="0"/>
              <w:spacing w:after="0" w:line="240" w:lineRule="auto"/>
              <w:ind w:left="60" w:right="60"/>
              <w:jc w:val="right"/>
              <w:rPr>
                <w:rFonts w:ascii="Times New Roman" w:hAnsi="Times New Roman" w:cs="Times New Roman"/>
                <w:color w:val="000000"/>
              </w:rPr>
            </w:pPr>
            <w:r w:rsidRPr="004B523C">
              <w:rPr>
                <w:rFonts w:ascii="Times New Roman" w:hAnsi="Times New Roman" w:cs="Times New Roman"/>
                <w:color w:val="000000"/>
              </w:rPr>
              <w:t>.000</w:t>
            </w:r>
          </w:p>
        </w:tc>
      </w:tr>
      <w:tr w:rsidR="004B523C" w:rsidTr="006C5840">
        <w:trPr>
          <w:cantSplit/>
        </w:trPr>
        <w:tc>
          <w:tcPr>
            <w:tcW w:w="162" w:type="pct"/>
            <w:vMerge/>
            <w:tcBorders>
              <w:bottom w:val="single" w:sz="8" w:space="0" w:color="000000"/>
            </w:tcBorders>
            <w:shd w:val="clear" w:color="auto" w:fill="FFFFFF"/>
            <w:vAlign w:val="center"/>
          </w:tcPr>
          <w:p w:rsidR="004B523C" w:rsidRPr="004B523C" w:rsidRDefault="004B523C" w:rsidP="004B523C">
            <w:pPr>
              <w:autoSpaceDE w:val="0"/>
              <w:autoSpaceDN w:val="0"/>
              <w:adjustRightInd w:val="0"/>
              <w:spacing w:after="0" w:line="240" w:lineRule="auto"/>
              <w:ind w:left="60" w:right="60"/>
              <w:rPr>
                <w:rFonts w:ascii="Times New Roman" w:hAnsi="Times New Roman" w:cs="Times New Roman"/>
                <w:color w:val="000000"/>
              </w:rPr>
            </w:pPr>
          </w:p>
        </w:tc>
        <w:tc>
          <w:tcPr>
            <w:tcW w:w="1648" w:type="pct"/>
            <w:tcBorders>
              <w:bottom w:val="single" w:sz="8" w:space="0" w:color="auto"/>
            </w:tcBorders>
            <w:shd w:val="clear" w:color="auto" w:fill="FFFFFF"/>
            <w:vAlign w:val="center"/>
          </w:tcPr>
          <w:p w:rsidR="004B523C" w:rsidRPr="004B523C" w:rsidRDefault="006C5840" w:rsidP="004B523C">
            <w:pPr>
              <w:autoSpaceDE w:val="0"/>
              <w:autoSpaceDN w:val="0"/>
              <w:adjustRightInd w:val="0"/>
              <w:spacing w:after="0" w:line="240" w:lineRule="auto"/>
              <w:ind w:left="60" w:right="60"/>
              <w:rPr>
                <w:rFonts w:ascii="Times New Roman" w:hAnsi="Times New Roman" w:cs="Times New Roman"/>
                <w:color w:val="000000"/>
              </w:rPr>
            </w:pPr>
            <w:r>
              <w:rPr>
                <w:rFonts w:ascii="Times New Roman" w:hAnsi="Times New Roman" w:cs="Times New Roman"/>
                <w:color w:val="000000"/>
              </w:rPr>
              <w:t>Workshop F</w:t>
            </w:r>
            <w:r w:rsidRPr="006C5840">
              <w:rPr>
                <w:rFonts w:ascii="Times New Roman" w:hAnsi="Times New Roman" w:cs="Times New Roman"/>
                <w:color w:val="000000"/>
              </w:rPr>
              <w:t>acilities (X</w:t>
            </w:r>
            <w:r w:rsidRPr="006C5840">
              <w:rPr>
                <w:rFonts w:ascii="Times New Roman" w:hAnsi="Times New Roman" w:cs="Times New Roman"/>
                <w:color w:val="000000"/>
                <w:vertAlign w:val="subscript"/>
              </w:rPr>
              <w:t>2</w:t>
            </w:r>
            <w:r w:rsidRPr="006C5840">
              <w:rPr>
                <w:rFonts w:ascii="Times New Roman" w:hAnsi="Times New Roman" w:cs="Times New Roman"/>
                <w:color w:val="000000"/>
              </w:rPr>
              <w:t>)</w:t>
            </w:r>
          </w:p>
        </w:tc>
        <w:tc>
          <w:tcPr>
            <w:tcW w:w="616" w:type="pct"/>
            <w:tcBorders>
              <w:bottom w:val="single" w:sz="8" w:space="0" w:color="auto"/>
            </w:tcBorders>
            <w:shd w:val="clear" w:color="auto" w:fill="FFFFFF"/>
            <w:vAlign w:val="center"/>
          </w:tcPr>
          <w:p w:rsidR="004B523C" w:rsidRPr="004B523C" w:rsidRDefault="004B523C" w:rsidP="004B523C">
            <w:pPr>
              <w:autoSpaceDE w:val="0"/>
              <w:autoSpaceDN w:val="0"/>
              <w:adjustRightInd w:val="0"/>
              <w:spacing w:after="0" w:line="240" w:lineRule="auto"/>
              <w:ind w:left="60" w:right="60"/>
              <w:jc w:val="right"/>
              <w:rPr>
                <w:rFonts w:ascii="Times New Roman" w:hAnsi="Times New Roman" w:cs="Times New Roman"/>
                <w:color w:val="000000"/>
              </w:rPr>
            </w:pPr>
            <w:r w:rsidRPr="004B523C">
              <w:rPr>
                <w:rFonts w:ascii="Times New Roman" w:hAnsi="Times New Roman" w:cs="Times New Roman"/>
                <w:color w:val="000000"/>
              </w:rPr>
              <w:t>.283</w:t>
            </w:r>
          </w:p>
        </w:tc>
        <w:tc>
          <w:tcPr>
            <w:tcW w:w="659" w:type="pct"/>
            <w:tcBorders>
              <w:bottom w:val="single" w:sz="8" w:space="0" w:color="auto"/>
            </w:tcBorders>
            <w:shd w:val="clear" w:color="auto" w:fill="FFFFFF"/>
            <w:vAlign w:val="center"/>
          </w:tcPr>
          <w:p w:rsidR="004B523C" w:rsidRPr="004B523C" w:rsidRDefault="004B523C" w:rsidP="004B523C">
            <w:pPr>
              <w:autoSpaceDE w:val="0"/>
              <w:autoSpaceDN w:val="0"/>
              <w:adjustRightInd w:val="0"/>
              <w:spacing w:after="0" w:line="240" w:lineRule="auto"/>
              <w:ind w:left="60" w:right="60"/>
              <w:jc w:val="right"/>
              <w:rPr>
                <w:rFonts w:ascii="Times New Roman" w:hAnsi="Times New Roman" w:cs="Times New Roman"/>
                <w:color w:val="000000"/>
              </w:rPr>
            </w:pPr>
            <w:r w:rsidRPr="004B523C">
              <w:rPr>
                <w:rFonts w:ascii="Times New Roman" w:hAnsi="Times New Roman" w:cs="Times New Roman"/>
                <w:color w:val="000000"/>
              </w:rPr>
              <w:t>.044</w:t>
            </w:r>
          </w:p>
        </w:tc>
        <w:tc>
          <w:tcPr>
            <w:tcW w:w="770" w:type="pct"/>
            <w:tcBorders>
              <w:bottom w:val="single" w:sz="8" w:space="0" w:color="auto"/>
            </w:tcBorders>
            <w:shd w:val="clear" w:color="auto" w:fill="FFFFFF"/>
            <w:vAlign w:val="center"/>
          </w:tcPr>
          <w:p w:rsidR="004B523C" w:rsidRPr="004B523C" w:rsidRDefault="004B523C" w:rsidP="004B523C">
            <w:pPr>
              <w:autoSpaceDE w:val="0"/>
              <w:autoSpaceDN w:val="0"/>
              <w:adjustRightInd w:val="0"/>
              <w:spacing w:after="0" w:line="240" w:lineRule="auto"/>
              <w:ind w:left="60" w:right="60"/>
              <w:jc w:val="right"/>
              <w:rPr>
                <w:rFonts w:ascii="Times New Roman" w:hAnsi="Times New Roman" w:cs="Times New Roman"/>
                <w:color w:val="000000"/>
              </w:rPr>
            </w:pPr>
            <w:r w:rsidRPr="004B523C">
              <w:rPr>
                <w:rFonts w:ascii="Times New Roman" w:hAnsi="Times New Roman" w:cs="Times New Roman"/>
                <w:color w:val="000000"/>
              </w:rPr>
              <w:t>.542</w:t>
            </w:r>
          </w:p>
        </w:tc>
        <w:tc>
          <w:tcPr>
            <w:tcW w:w="574" w:type="pct"/>
            <w:tcBorders>
              <w:bottom w:val="single" w:sz="8" w:space="0" w:color="auto"/>
            </w:tcBorders>
            <w:shd w:val="clear" w:color="auto" w:fill="FFFFFF"/>
            <w:vAlign w:val="center"/>
          </w:tcPr>
          <w:p w:rsidR="004B523C" w:rsidRPr="004B523C" w:rsidRDefault="004B523C" w:rsidP="004B523C">
            <w:pPr>
              <w:autoSpaceDE w:val="0"/>
              <w:autoSpaceDN w:val="0"/>
              <w:adjustRightInd w:val="0"/>
              <w:spacing w:after="0" w:line="240" w:lineRule="auto"/>
              <w:ind w:left="60" w:right="60"/>
              <w:jc w:val="right"/>
              <w:rPr>
                <w:rFonts w:ascii="Times New Roman" w:hAnsi="Times New Roman" w:cs="Times New Roman"/>
                <w:color w:val="000000"/>
              </w:rPr>
            </w:pPr>
            <w:r w:rsidRPr="004B523C">
              <w:rPr>
                <w:rFonts w:ascii="Times New Roman" w:hAnsi="Times New Roman" w:cs="Times New Roman"/>
                <w:color w:val="000000"/>
              </w:rPr>
              <w:t>6.411</w:t>
            </w:r>
          </w:p>
        </w:tc>
        <w:tc>
          <w:tcPr>
            <w:tcW w:w="571" w:type="pct"/>
            <w:tcBorders>
              <w:bottom w:val="single" w:sz="8" w:space="0" w:color="auto"/>
            </w:tcBorders>
            <w:shd w:val="clear" w:color="auto" w:fill="FFFFFF"/>
            <w:vAlign w:val="center"/>
          </w:tcPr>
          <w:p w:rsidR="004B523C" w:rsidRPr="004B523C" w:rsidRDefault="004B523C" w:rsidP="004B523C">
            <w:pPr>
              <w:autoSpaceDE w:val="0"/>
              <w:autoSpaceDN w:val="0"/>
              <w:adjustRightInd w:val="0"/>
              <w:spacing w:after="0" w:line="240" w:lineRule="auto"/>
              <w:ind w:left="60" w:right="60"/>
              <w:jc w:val="right"/>
              <w:rPr>
                <w:rFonts w:ascii="Times New Roman" w:hAnsi="Times New Roman" w:cs="Times New Roman"/>
                <w:color w:val="000000"/>
              </w:rPr>
            </w:pPr>
            <w:r w:rsidRPr="004B523C">
              <w:rPr>
                <w:rFonts w:ascii="Times New Roman" w:hAnsi="Times New Roman" w:cs="Times New Roman"/>
                <w:color w:val="000000"/>
              </w:rPr>
              <w:t>.000</w:t>
            </w:r>
          </w:p>
        </w:tc>
      </w:tr>
    </w:tbl>
    <w:p w:rsidR="004B523C" w:rsidRDefault="004B523C"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4B523C" w:rsidRDefault="006C5840" w:rsidP="006C5840">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6C5840">
        <w:rPr>
          <w:rFonts w:ascii="Times New Roman" w:eastAsia="Times New Roman" w:hAnsi="Times New Roman" w:cs="Times New Roman"/>
        </w:rPr>
        <w:t>The Industrial Work Practices variable (X</w:t>
      </w:r>
      <w:r w:rsidRPr="006C5840">
        <w:rPr>
          <w:rFonts w:ascii="Times New Roman" w:eastAsia="Times New Roman" w:hAnsi="Times New Roman" w:cs="Times New Roman"/>
          <w:vertAlign w:val="subscript"/>
        </w:rPr>
        <w:t>1</w:t>
      </w:r>
      <w:r w:rsidRPr="006C5840">
        <w:rPr>
          <w:rFonts w:ascii="Times New Roman" w:eastAsia="Times New Roman" w:hAnsi="Times New Roman" w:cs="Times New Roman"/>
        </w:rPr>
        <w:t>) shows the t value of 6.617 and the significance value of 0.000 &lt;0.05 with Df = N-2 of 99 so that the t table is 1.980, then t count (6.617)&gt; t table (1.980) states that Ha is accepted. So the hypothesis which states "There is an effect of industrial work practices (X</w:t>
      </w:r>
      <w:r w:rsidRPr="006C5840">
        <w:rPr>
          <w:rFonts w:ascii="Times New Roman" w:eastAsia="Times New Roman" w:hAnsi="Times New Roman" w:cs="Times New Roman"/>
          <w:vertAlign w:val="subscript"/>
        </w:rPr>
        <w:t>1</w:t>
      </w:r>
      <w:r w:rsidRPr="006C5840">
        <w:rPr>
          <w:rFonts w:ascii="Times New Roman" w:eastAsia="Times New Roman" w:hAnsi="Times New Roman" w:cs="Times New Roman"/>
        </w:rPr>
        <w:t>) on jo</w:t>
      </w:r>
      <w:r>
        <w:rPr>
          <w:rFonts w:ascii="Times New Roman" w:eastAsia="Times New Roman" w:hAnsi="Times New Roman" w:cs="Times New Roman"/>
        </w:rPr>
        <w:t xml:space="preserve">b readiness (Y) </w:t>
      </w:r>
      <w:r w:rsidRPr="006C5840">
        <w:rPr>
          <w:rFonts w:ascii="Times New Roman" w:eastAsia="Times New Roman" w:hAnsi="Times New Roman" w:cs="Times New Roman"/>
        </w:rPr>
        <w:t xml:space="preserve">at SMKN 1 Semarang" is accepted. The variable of </w:t>
      </w:r>
      <w:r w:rsidR="005927FF" w:rsidRPr="006C5840">
        <w:rPr>
          <w:rFonts w:ascii="Times New Roman" w:eastAsia="Times New Roman" w:hAnsi="Times New Roman" w:cs="Times New Roman"/>
        </w:rPr>
        <w:t>Workshop Facilities</w:t>
      </w:r>
      <w:r w:rsidRPr="006C5840">
        <w:rPr>
          <w:rFonts w:ascii="Times New Roman" w:eastAsia="Times New Roman" w:hAnsi="Times New Roman" w:cs="Times New Roman"/>
        </w:rPr>
        <w:t xml:space="preserve"> (X</w:t>
      </w:r>
      <w:r w:rsidRPr="006C5840">
        <w:rPr>
          <w:rFonts w:ascii="Times New Roman" w:eastAsia="Times New Roman" w:hAnsi="Times New Roman" w:cs="Times New Roman"/>
          <w:vertAlign w:val="subscript"/>
        </w:rPr>
        <w:t>2</w:t>
      </w:r>
      <w:r w:rsidRPr="006C5840">
        <w:rPr>
          <w:rFonts w:ascii="Times New Roman" w:eastAsia="Times New Roman" w:hAnsi="Times New Roman" w:cs="Times New Roman"/>
        </w:rPr>
        <w:t>) results of the calculation of the table above shows the t value of 6.411 and the significance value of 0.000 &lt;0.05 with Df = N-2 of 99 so that t table is 1.980, then t count (6.411)&gt; t table (1.980) is stated that Ha accepted. So the hypothesis which states "There is an effect of workshop infrastructure (X</w:t>
      </w:r>
      <w:r w:rsidRPr="006C5840">
        <w:rPr>
          <w:rFonts w:ascii="Times New Roman" w:eastAsia="Times New Roman" w:hAnsi="Times New Roman" w:cs="Times New Roman"/>
          <w:vertAlign w:val="subscript"/>
        </w:rPr>
        <w:t>2</w:t>
      </w:r>
      <w:r w:rsidRPr="006C5840">
        <w:rPr>
          <w:rFonts w:ascii="Times New Roman" w:eastAsia="Times New Roman" w:hAnsi="Times New Roman" w:cs="Times New Roman"/>
        </w:rPr>
        <w:t>) on work readiness (Y) class XI TKR at SMKN 1 Semarang" is accepted.</w:t>
      </w:r>
      <w:r w:rsidR="007508AD">
        <w:rPr>
          <w:rFonts w:ascii="Times New Roman" w:eastAsia="Times New Roman" w:hAnsi="Times New Roman" w:cs="Times New Roman"/>
        </w:rPr>
        <w:t xml:space="preserve"> </w:t>
      </w:r>
      <w:r w:rsidR="00494E93">
        <w:rPr>
          <w:rFonts w:ascii="Times New Roman" w:eastAsia="Times New Roman" w:hAnsi="Times New Roman" w:cs="Times New Roman"/>
        </w:rPr>
        <w:t xml:space="preserve">The </w:t>
      </w:r>
      <w:r w:rsidR="00494E93" w:rsidRPr="00494E93">
        <w:rPr>
          <w:rFonts w:ascii="Times New Roman" w:eastAsia="Times New Roman" w:hAnsi="Times New Roman" w:cs="Times New Roman"/>
        </w:rPr>
        <w:t>results of the f test of industrial work practices (X</w:t>
      </w:r>
      <w:r w:rsidR="00494E93" w:rsidRPr="00494E93">
        <w:rPr>
          <w:rFonts w:ascii="Times New Roman" w:eastAsia="Times New Roman" w:hAnsi="Times New Roman" w:cs="Times New Roman"/>
          <w:vertAlign w:val="subscript"/>
        </w:rPr>
        <w:t>1</w:t>
      </w:r>
      <w:r w:rsidR="00494E93" w:rsidRPr="00494E93">
        <w:rPr>
          <w:rFonts w:ascii="Times New Roman" w:eastAsia="Times New Roman" w:hAnsi="Times New Roman" w:cs="Times New Roman"/>
        </w:rPr>
        <w:t>) and workshop infrastructure (X</w:t>
      </w:r>
      <w:r w:rsidR="00494E93" w:rsidRPr="00494E93">
        <w:rPr>
          <w:rFonts w:ascii="Times New Roman" w:eastAsia="Times New Roman" w:hAnsi="Times New Roman" w:cs="Times New Roman"/>
          <w:vertAlign w:val="subscript"/>
        </w:rPr>
        <w:t>2</w:t>
      </w:r>
      <w:r w:rsidR="00494E93" w:rsidRPr="00494E93">
        <w:rPr>
          <w:rFonts w:ascii="Times New Roman" w:eastAsia="Times New Roman" w:hAnsi="Times New Roman" w:cs="Times New Roman"/>
        </w:rPr>
        <w:t>) on work readiness (Y)</w:t>
      </w:r>
      <w:r w:rsidR="00494E93">
        <w:rPr>
          <w:rFonts w:ascii="Times New Roman" w:eastAsia="Times New Roman" w:hAnsi="Times New Roman" w:cs="Times New Roman"/>
        </w:rPr>
        <w:t xml:space="preserve"> </w:t>
      </w:r>
      <w:r w:rsidR="007508AD" w:rsidRPr="00F30254">
        <w:rPr>
          <w:rFonts w:ascii="Times New Roman" w:eastAsia="Times New Roman" w:hAnsi="Times New Roman" w:cs="Times New Roman"/>
        </w:rPr>
        <w:t>is shown in Table 5.</w:t>
      </w:r>
    </w:p>
    <w:p w:rsidR="006C5840" w:rsidRDefault="006C5840"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494E93" w:rsidRDefault="00494E93" w:rsidP="00494E93">
      <w:pPr>
        <w:pBdr>
          <w:top w:val="nil"/>
          <w:left w:val="nil"/>
          <w:bottom w:val="nil"/>
          <w:right w:val="nil"/>
          <w:between w:val="nil"/>
        </w:pBdr>
        <w:spacing w:after="120" w:line="240" w:lineRule="auto"/>
        <w:jc w:val="center"/>
        <w:rPr>
          <w:rFonts w:ascii="Times New Roman" w:eastAsia="Times New Roman" w:hAnsi="Times New Roman" w:cs="Times New Roman"/>
        </w:rPr>
      </w:pPr>
      <w:r w:rsidRPr="00494E93">
        <w:rPr>
          <w:rFonts w:ascii="Times New Roman" w:eastAsia="Times New Roman" w:hAnsi="Times New Roman" w:cs="Times New Roman"/>
          <w:b/>
        </w:rPr>
        <w:t>Table 5</w:t>
      </w:r>
      <w:r w:rsidRPr="00494E93">
        <w:rPr>
          <w:rFonts w:ascii="Times New Roman" w:eastAsia="Times New Roman" w:hAnsi="Times New Roman" w:cs="Times New Roman"/>
        </w:rPr>
        <w:t>.</w:t>
      </w:r>
      <w:r>
        <w:rPr>
          <w:rFonts w:ascii="Times New Roman" w:eastAsia="Times New Roman" w:hAnsi="Times New Roman" w:cs="Times New Roman"/>
        </w:rPr>
        <w:t xml:space="preserve"> The </w:t>
      </w:r>
      <w:r w:rsidRPr="00494E93">
        <w:rPr>
          <w:rFonts w:ascii="Times New Roman" w:eastAsia="Times New Roman" w:hAnsi="Times New Roman" w:cs="Times New Roman"/>
        </w:rPr>
        <w:t>results of the f test of industrial work practices (X</w:t>
      </w:r>
      <w:r w:rsidRPr="00494E93">
        <w:rPr>
          <w:rFonts w:ascii="Times New Roman" w:eastAsia="Times New Roman" w:hAnsi="Times New Roman" w:cs="Times New Roman"/>
          <w:vertAlign w:val="subscript"/>
        </w:rPr>
        <w:t>1</w:t>
      </w:r>
      <w:r w:rsidRPr="00494E93">
        <w:rPr>
          <w:rFonts w:ascii="Times New Roman" w:eastAsia="Times New Roman" w:hAnsi="Times New Roman" w:cs="Times New Roman"/>
        </w:rPr>
        <w:t>) and workshop infrastructure (X</w:t>
      </w:r>
      <w:r w:rsidRPr="00494E93">
        <w:rPr>
          <w:rFonts w:ascii="Times New Roman" w:eastAsia="Times New Roman" w:hAnsi="Times New Roman" w:cs="Times New Roman"/>
          <w:vertAlign w:val="subscript"/>
        </w:rPr>
        <w:t>2</w:t>
      </w:r>
      <w:r w:rsidRPr="00494E93">
        <w:rPr>
          <w:rFonts w:ascii="Times New Roman" w:eastAsia="Times New Roman" w:hAnsi="Times New Roman" w:cs="Times New Roman"/>
        </w:rPr>
        <w:t>) on work readiness (Y)</w:t>
      </w:r>
    </w:p>
    <w:tbl>
      <w:tblPr>
        <w:tblW w:w="5000" w:type="pct"/>
        <w:tblCellMar>
          <w:left w:w="0" w:type="dxa"/>
          <w:right w:w="0" w:type="dxa"/>
        </w:tblCellMar>
        <w:tblLook w:val="0000" w:firstRow="0" w:lastRow="0" w:firstColumn="0" w:lastColumn="0" w:noHBand="0" w:noVBand="0"/>
      </w:tblPr>
      <w:tblGrid>
        <w:gridCol w:w="356"/>
        <w:gridCol w:w="1694"/>
        <w:gridCol w:w="2335"/>
        <w:gridCol w:w="695"/>
        <w:gridCol w:w="1986"/>
        <w:gridCol w:w="1119"/>
        <w:gridCol w:w="885"/>
      </w:tblGrid>
      <w:tr w:rsidR="00FF5EB3" w:rsidRPr="00FF5EB3" w:rsidTr="00494E93">
        <w:trPr>
          <w:cantSplit/>
          <w:trHeight w:val="20"/>
        </w:trPr>
        <w:tc>
          <w:tcPr>
            <w:tcW w:w="1130" w:type="pct"/>
            <w:gridSpan w:val="2"/>
            <w:tcBorders>
              <w:top w:val="single" w:sz="8" w:space="0" w:color="000000"/>
              <w:bottom w:val="single" w:sz="8" w:space="0" w:color="000000"/>
            </w:tcBorders>
            <w:shd w:val="clear" w:color="auto" w:fill="FFFFFF"/>
            <w:vAlign w:val="center"/>
          </w:tcPr>
          <w:p w:rsidR="00FF5EB3" w:rsidRPr="00FF5EB3" w:rsidRDefault="00FF5EB3" w:rsidP="00494E93">
            <w:pPr>
              <w:autoSpaceDE w:val="0"/>
              <w:autoSpaceDN w:val="0"/>
              <w:adjustRightInd w:val="0"/>
              <w:spacing w:after="0" w:line="240" w:lineRule="auto"/>
              <w:ind w:left="60" w:right="60"/>
              <w:jc w:val="center"/>
              <w:rPr>
                <w:rFonts w:ascii="Times New Roman" w:hAnsi="Times New Roman" w:cs="Times New Roman"/>
                <w:color w:val="000000"/>
              </w:rPr>
            </w:pPr>
            <w:r w:rsidRPr="00FF5EB3">
              <w:rPr>
                <w:rFonts w:ascii="Times New Roman" w:hAnsi="Times New Roman" w:cs="Times New Roman"/>
                <w:color w:val="000000"/>
              </w:rPr>
              <w:t>Model</w:t>
            </w:r>
          </w:p>
        </w:tc>
        <w:tc>
          <w:tcPr>
            <w:tcW w:w="1287" w:type="pct"/>
            <w:tcBorders>
              <w:top w:val="single" w:sz="8" w:space="0" w:color="000000"/>
              <w:bottom w:val="single" w:sz="8" w:space="0" w:color="000000"/>
            </w:tcBorders>
            <w:shd w:val="clear" w:color="auto" w:fill="FFFFFF"/>
            <w:vAlign w:val="center"/>
          </w:tcPr>
          <w:p w:rsidR="00FF5EB3" w:rsidRPr="00FF5EB3" w:rsidRDefault="00FF5EB3" w:rsidP="00494E93">
            <w:pPr>
              <w:autoSpaceDE w:val="0"/>
              <w:autoSpaceDN w:val="0"/>
              <w:adjustRightInd w:val="0"/>
              <w:spacing w:after="0" w:line="240" w:lineRule="auto"/>
              <w:ind w:left="60" w:right="60"/>
              <w:jc w:val="center"/>
              <w:rPr>
                <w:rFonts w:ascii="Times New Roman" w:hAnsi="Times New Roman" w:cs="Times New Roman"/>
                <w:color w:val="000000"/>
              </w:rPr>
            </w:pPr>
            <w:r w:rsidRPr="00FF5EB3">
              <w:rPr>
                <w:rFonts w:ascii="Times New Roman" w:hAnsi="Times New Roman" w:cs="Times New Roman"/>
                <w:color w:val="000000"/>
              </w:rPr>
              <w:t>Sum of Squares</w:t>
            </w:r>
          </w:p>
        </w:tc>
        <w:tc>
          <w:tcPr>
            <w:tcW w:w="383" w:type="pct"/>
            <w:tcBorders>
              <w:top w:val="single" w:sz="8" w:space="0" w:color="000000"/>
              <w:bottom w:val="single" w:sz="8" w:space="0" w:color="000000"/>
            </w:tcBorders>
            <w:shd w:val="clear" w:color="auto" w:fill="FFFFFF"/>
            <w:vAlign w:val="center"/>
          </w:tcPr>
          <w:p w:rsidR="00FF5EB3" w:rsidRPr="00FF5EB3" w:rsidRDefault="00FF5EB3" w:rsidP="00494E93">
            <w:pPr>
              <w:autoSpaceDE w:val="0"/>
              <w:autoSpaceDN w:val="0"/>
              <w:adjustRightInd w:val="0"/>
              <w:spacing w:after="0" w:line="240" w:lineRule="auto"/>
              <w:ind w:left="60" w:right="60"/>
              <w:jc w:val="center"/>
              <w:rPr>
                <w:rFonts w:ascii="Times New Roman" w:hAnsi="Times New Roman" w:cs="Times New Roman"/>
                <w:color w:val="000000"/>
              </w:rPr>
            </w:pPr>
            <w:r w:rsidRPr="00FF5EB3">
              <w:rPr>
                <w:rFonts w:ascii="Times New Roman" w:hAnsi="Times New Roman" w:cs="Times New Roman"/>
                <w:color w:val="000000"/>
              </w:rPr>
              <w:t>df</w:t>
            </w:r>
          </w:p>
        </w:tc>
        <w:tc>
          <w:tcPr>
            <w:tcW w:w="1095" w:type="pct"/>
            <w:tcBorders>
              <w:top w:val="single" w:sz="8" w:space="0" w:color="000000"/>
              <w:bottom w:val="single" w:sz="8" w:space="0" w:color="000000"/>
            </w:tcBorders>
            <w:shd w:val="clear" w:color="auto" w:fill="FFFFFF"/>
            <w:vAlign w:val="center"/>
          </w:tcPr>
          <w:p w:rsidR="00FF5EB3" w:rsidRPr="00FF5EB3" w:rsidRDefault="00FF5EB3" w:rsidP="00494E93">
            <w:pPr>
              <w:autoSpaceDE w:val="0"/>
              <w:autoSpaceDN w:val="0"/>
              <w:adjustRightInd w:val="0"/>
              <w:spacing w:after="0" w:line="240" w:lineRule="auto"/>
              <w:ind w:left="60" w:right="60"/>
              <w:jc w:val="center"/>
              <w:rPr>
                <w:rFonts w:ascii="Times New Roman" w:hAnsi="Times New Roman" w:cs="Times New Roman"/>
                <w:color w:val="000000"/>
              </w:rPr>
            </w:pPr>
            <w:r w:rsidRPr="00FF5EB3">
              <w:rPr>
                <w:rFonts w:ascii="Times New Roman" w:hAnsi="Times New Roman" w:cs="Times New Roman"/>
                <w:color w:val="000000"/>
              </w:rPr>
              <w:t>Mean Square</w:t>
            </w:r>
          </w:p>
        </w:tc>
        <w:tc>
          <w:tcPr>
            <w:tcW w:w="617" w:type="pct"/>
            <w:tcBorders>
              <w:top w:val="single" w:sz="8" w:space="0" w:color="000000"/>
              <w:bottom w:val="single" w:sz="8" w:space="0" w:color="000000"/>
            </w:tcBorders>
            <w:shd w:val="clear" w:color="auto" w:fill="FFFFFF"/>
            <w:vAlign w:val="center"/>
          </w:tcPr>
          <w:p w:rsidR="00FF5EB3" w:rsidRPr="00FF5EB3" w:rsidRDefault="00FF5EB3" w:rsidP="00494E93">
            <w:pPr>
              <w:autoSpaceDE w:val="0"/>
              <w:autoSpaceDN w:val="0"/>
              <w:adjustRightInd w:val="0"/>
              <w:spacing w:after="0" w:line="240" w:lineRule="auto"/>
              <w:ind w:left="60" w:right="60"/>
              <w:jc w:val="center"/>
              <w:rPr>
                <w:rFonts w:ascii="Times New Roman" w:hAnsi="Times New Roman" w:cs="Times New Roman"/>
                <w:color w:val="000000"/>
              </w:rPr>
            </w:pPr>
            <w:r w:rsidRPr="00FF5EB3">
              <w:rPr>
                <w:rFonts w:ascii="Times New Roman" w:hAnsi="Times New Roman" w:cs="Times New Roman"/>
                <w:color w:val="000000"/>
              </w:rPr>
              <w:t>F</w:t>
            </w:r>
          </w:p>
        </w:tc>
        <w:tc>
          <w:tcPr>
            <w:tcW w:w="489" w:type="pct"/>
            <w:tcBorders>
              <w:top w:val="single" w:sz="8" w:space="0" w:color="000000"/>
              <w:bottom w:val="single" w:sz="8" w:space="0" w:color="000000"/>
            </w:tcBorders>
            <w:shd w:val="clear" w:color="auto" w:fill="FFFFFF"/>
            <w:vAlign w:val="center"/>
          </w:tcPr>
          <w:p w:rsidR="00FF5EB3" w:rsidRPr="00FF5EB3" w:rsidRDefault="00FF5EB3" w:rsidP="00494E93">
            <w:pPr>
              <w:autoSpaceDE w:val="0"/>
              <w:autoSpaceDN w:val="0"/>
              <w:adjustRightInd w:val="0"/>
              <w:spacing w:after="0" w:line="240" w:lineRule="auto"/>
              <w:ind w:left="60" w:right="60"/>
              <w:jc w:val="center"/>
              <w:rPr>
                <w:rFonts w:ascii="Times New Roman" w:hAnsi="Times New Roman" w:cs="Times New Roman"/>
                <w:color w:val="000000"/>
              </w:rPr>
            </w:pPr>
            <w:r w:rsidRPr="00FF5EB3">
              <w:rPr>
                <w:rFonts w:ascii="Times New Roman" w:hAnsi="Times New Roman" w:cs="Times New Roman"/>
                <w:color w:val="000000"/>
              </w:rPr>
              <w:t>Sig.</w:t>
            </w:r>
          </w:p>
        </w:tc>
      </w:tr>
      <w:tr w:rsidR="00494E93" w:rsidRPr="00FF5EB3" w:rsidTr="00494E93">
        <w:trPr>
          <w:cantSplit/>
          <w:trHeight w:val="20"/>
        </w:trPr>
        <w:tc>
          <w:tcPr>
            <w:tcW w:w="196" w:type="pct"/>
            <w:vMerge w:val="restart"/>
            <w:tcBorders>
              <w:top w:val="single" w:sz="8" w:space="0" w:color="000000"/>
            </w:tcBorders>
            <w:shd w:val="clear" w:color="auto" w:fill="FFFFFF"/>
            <w:vAlign w:val="center"/>
          </w:tcPr>
          <w:p w:rsidR="00FF5EB3" w:rsidRPr="00FF5EB3" w:rsidRDefault="00FF5EB3" w:rsidP="00494E93">
            <w:pPr>
              <w:autoSpaceDE w:val="0"/>
              <w:autoSpaceDN w:val="0"/>
              <w:adjustRightInd w:val="0"/>
              <w:spacing w:after="0" w:line="240" w:lineRule="auto"/>
              <w:ind w:left="60" w:right="60"/>
              <w:jc w:val="center"/>
              <w:rPr>
                <w:rFonts w:ascii="Times New Roman" w:hAnsi="Times New Roman" w:cs="Times New Roman"/>
                <w:color w:val="000000"/>
              </w:rPr>
            </w:pPr>
            <w:r w:rsidRPr="00FF5EB3">
              <w:rPr>
                <w:rFonts w:ascii="Times New Roman" w:hAnsi="Times New Roman" w:cs="Times New Roman"/>
                <w:color w:val="000000"/>
              </w:rPr>
              <w:t>1</w:t>
            </w:r>
          </w:p>
        </w:tc>
        <w:tc>
          <w:tcPr>
            <w:tcW w:w="934" w:type="pct"/>
            <w:tcBorders>
              <w:top w:val="single" w:sz="8" w:space="0" w:color="000000"/>
            </w:tcBorders>
            <w:shd w:val="clear" w:color="auto" w:fill="FFFFFF"/>
            <w:vAlign w:val="center"/>
          </w:tcPr>
          <w:p w:rsidR="00FF5EB3" w:rsidRPr="00FF5EB3" w:rsidRDefault="00FF5EB3" w:rsidP="00494E93">
            <w:pPr>
              <w:autoSpaceDE w:val="0"/>
              <w:autoSpaceDN w:val="0"/>
              <w:adjustRightInd w:val="0"/>
              <w:spacing w:after="0" w:line="240" w:lineRule="auto"/>
              <w:ind w:left="60" w:right="60"/>
              <w:rPr>
                <w:rFonts w:ascii="Times New Roman" w:hAnsi="Times New Roman" w:cs="Times New Roman"/>
                <w:color w:val="000000"/>
              </w:rPr>
            </w:pPr>
            <w:r w:rsidRPr="00FF5EB3">
              <w:rPr>
                <w:rFonts w:ascii="Times New Roman" w:hAnsi="Times New Roman" w:cs="Times New Roman"/>
                <w:color w:val="000000"/>
              </w:rPr>
              <w:t>Regression</w:t>
            </w:r>
          </w:p>
        </w:tc>
        <w:tc>
          <w:tcPr>
            <w:tcW w:w="1287" w:type="pct"/>
            <w:tcBorders>
              <w:top w:val="single" w:sz="8" w:space="0" w:color="000000"/>
            </w:tcBorders>
            <w:shd w:val="clear" w:color="auto" w:fill="FFFFFF"/>
            <w:vAlign w:val="center"/>
          </w:tcPr>
          <w:p w:rsidR="00FF5EB3" w:rsidRPr="00FF5EB3" w:rsidRDefault="00FF5EB3" w:rsidP="00494E93">
            <w:pPr>
              <w:autoSpaceDE w:val="0"/>
              <w:autoSpaceDN w:val="0"/>
              <w:adjustRightInd w:val="0"/>
              <w:spacing w:after="0" w:line="240" w:lineRule="auto"/>
              <w:ind w:left="60" w:right="60"/>
              <w:jc w:val="center"/>
              <w:rPr>
                <w:rFonts w:ascii="Times New Roman" w:hAnsi="Times New Roman" w:cs="Times New Roman"/>
                <w:color w:val="000000"/>
              </w:rPr>
            </w:pPr>
            <w:r w:rsidRPr="00FF5EB3">
              <w:rPr>
                <w:rFonts w:ascii="Times New Roman" w:hAnsi="Times New Roman" w:cs="Times New Roman"/>
                <w:color w:val="000000"/>
              </w:rPr>
              <w:t>395.340</w:t>
            </w:r>
          </w:p>
        </w:tc>
        <w:tc>
          <w:tcPr>
            <w:tcW w:w="383" w:type="pct"/>
            <w:tcBorders>
              <w:top w:val="single" w:sz="8" w:space="0" w:color="000000"/>
            </w:tcBorders>
            <w:shd w:val="clear" w:color="auto" w:fill="FFFFFF"/>
            <w:vAlign w:val="center"/>
          </w:tcPr>
          <w:p w:rsidR="00FF5EB3" w:rsidRPr="00FF5EB3" w:rsidRDefault="00FF5EB3" w:rsidP="00494E93">
            <w:pPr>
              <w:autoSpaceDE w:val="0"/>
              <w:autoSpaceDN w:val="0"/>
              <w:adjustRightInd w:val="0"/>
              <w:spacing w:after="0" w:line="240" w:lineRule="auto"/>
              <w:ind w:left="60" w:right="60"/>
              <w:jc w:val="center"/>
              <w:rPr>
                <w:rFonts w:ascii="Times New Roman" w:hAnsi="Times New Roman" w:cs="Times New Roman"/>
                <w:color w:val="000000"/>
              </w:rPr>
            </w:pPr>
            <w:r w:rsidRPr="00FF5EB3">
              <w:rPr>
                <w:rFonts w:ascii="Times New Roman" w:hAnsi="Times New Roman" w:cs="Times New Roman"/>
                <w:color w:val="000000"/>
              </w:rPr>
              <w:t>2</w:t>
            </w:r>
          </w:p>
        </w:tc>
        <w:tc>
          <w:tcPr>
            <w:tcW w:w="1095" w:type="pct"/>
            <w:tcBorders>
              <w:top w:val="single" w:sz="8" w:space="0" w:color="000000"/>
            </w:tcBorders>
            <w:shd w:val="clear" w:color="auto" w:fill="FFFFFF"/>
            <w:vAlign w:val="center"/>
          </w:tcPr>
          <w:p w:rsidR="00FF5EB3" w:rsidRPr="00FF5EB3" w:rsidRDefault="00FF5EB3" w:rsidP="00494E93">
            <w:pPr>
              <w:autoSpaceDE w:val="0"/>
              <w:autoSpaceDN w:val="0"/>
              <w:adjustRightInd w:val="0"/>
              <w:spacing w:after="0" w:line="240" w:lineRule="auto"/>
              <w:ind w:left="60" w:right="60"/>
              <w:jc w:val="center"/>
              <w:rPr>
                <w:rFonts w:ascii="Times New Roman" w:hAnsi="Times New Roman" w:cs="Times New Roman"/>
                <w:color w:val="000000"/>
              </w:rPr>
            </w:pPr>
            <w:r w:rsidRPr="00FF5EB3">
              <w:rPr>
                <w:rFonts w:ascii="Times New Roman" w:hAnsi="Times New Roman" w:cs="Times New Roman"/>
                <w:color w:val="000000"/>
              </w:rPr>
              <w:t>197.670</w:t>
            </w:r>
          </w:p>
        </w:tc>
        <w:tc>
          <w:tcPr>
            <w:tcW w:w="617" w:type="pct"/>
            <w:tcBorders>
              <w:top w:val="single" w:sz="8" w:space="0" w:color="000000"/>
            </w:tcBorders>
            <w:shd w:val="clear" w:color="auto" w:fill="FFFFFF"/>
            <w:vAlign w:val="center"/>
          </w:tcPr>
          <w:p w:rsidR="00FF5EB3" w:rsidRPr="00FF5EB3" w:rsidRDefault="00FF5EB3" w:rsidP="00494E93">
            <w:pPr>
              <w:autoSpaceDE w:val="0"/>
              <w:autoSpaceDN w:val="0"/>
              <w:adjustRightInd w:val="0"/>
              <w:spacing w:after="0" w:line="240" w:lineRule="auto"/>
              <w:ind w:left="60" w:right="60"/>
              <w:jc w:val="center"/>
              <w:rPr>
                <w:rFonts w:ascii="Times New Roman" w:hAnsi="Times New Roman" w:cs="Times New Roman"/>
                <w:color w:val="000000"/>
              </w:rPr>
            </w:pPr>
            <w:r w:rsidRPr="00FF5EB3">
              <w:rPr>
                <w:rFonts w:ascii="Times New Roman" w:hAnsi="Times New Roman" w:cs="Times New Roman"/>
                <w:color w:val="000000"/>
              </w:rPr>
              <w:t>59.066</w:t>
            </w:r>
          </w:p>
        </w:tc>
        <w:tc>
          <w:tcPr>
            <w:tcW w:w="489" w:type="pct"/>
            <w:tcBorders>
              <w:top w:val="single" w:sz="8" w:space="0" w:color="000000"/>
            </w:tcBorders>
            <w:shd w:val="clear" w:color="auto" w:fill="FFFFFF"/>
            <w:vAlign w:val="center"/>
          </w:tcPr>
          <w:p w:rsidR="00FF5EB3" w:rsidRPr="00FF5EB3" w:rsidRDefault="00FF5EB3" w:rsidP="00494E93">
            <w:pPr>
              <w:autoSpaceDE w:val="0"/>
              <w:autoSpaceDN w:val="0"/>
              <w:adjustRightInd w:val="0"/>
              <w:spacing w:after="0" w:line="240" w:lineRule="auto"/>
              <w:ind w:left="60" w:right="60"/>
              <w:jc w:val="center"/>
              <w:rPr>
                <w:rFonts w:ascii="Times New Roman" w:hAnsi="Times New Roman" w:cs="Times New Roman"/>
                <w:color w:val="000000"/>
              </w:rPr>
            </w:pPr>
            <w:r w:rsidRPr="00FF5EB3">
              <w:rPr>
                <w:rFonts w:ascii="Times New Roman" w:hAnsi="Times New Roman" w:cs="Times New Roman"/>
                <w:color w:val="000000"/>
              </w:rPr>
              <w:t>.000</w:t>
            </w:r>
            <w:r w:rsidRPr="00FF5EB3">
              <w:rPr>
                <w:rFonts w:ascii="Times New Roman" w:hAnsi="Times New Roman" w:cs="Times New Roman"/>
                <w:color w:val="000000"/>
                <w:vertAlign w:val="superscript"/>
              </w:rPr>
              <w:t>b</w:t>
            </w:r>
          </w:p>
        </w:tc>
      </w:tr>
      <w:tr w:rsidR="00FF5EB3" w:rsidRPr="00FF5EB3" w:rsidTr="00494E93">
        <w:trPr>
          <w:cantSplit/>
          <w:trHeight w:val="20"/>
        </w:trPr>
        <w:tc>
          <w:tcPr>
            <w:tcW w:w="196" w:type="pct"/>
            <w:vMerge/>
            <w:shd w:val="clear" w:color="auto" w:fill="FFFFFF"/>
            <w:vAlign w:val="center"/>
          </w:tcPr>
          <w:p w:rsidR="00FF5EB3" w:rsidRPr="00FF5EB3" w:rsidRDefault="00FF5EB3" w:rsidP="00494E93">
            <w:pPr>
              <w:autoSpaceDE w:val="0"/>
              <w:autoSpaceDN w:val="0"/>
              <w:adjustRightInd w:val="0"/>
              <w:spacing w:after="0" w:line="240" w:lineRule="auto"/>
              <w:jc w:val="center"/>
              <w:rPr>
                <w:rFonts w:ascii="Times New Roman" w:hAnsi="Times New Roman" w:cs="Times New Roman"/>
                <w:color w:val="000000"/>
              </w:rPr>
            </w:pPr>
          </w:p>
        </w:tc>
        <w:tc>
          <w:tcPr>
            <w:tcW w:w="934" w:type="pct"/>
            <w:shd w:val="clear" w:color="auto" w:fill="FFFFFF"/>
            <w:vAlign w:val="center"/>
          </w:tcPr>
          <w:p w:rsidR="00FF5EB3" w:rsidRPr="00FF5EB3" w:rsidRDefault="00FF5EB3" w:rsidP="00494E93">
            <w:pPr>
              <w:autoSpaceDE w:val="0"/>
              <w:autoSpaceDN w:val="0"/>
              <w:adjustRightInd w:val="0"/>
              <w:spacing w:after="0" w:line="240" w:lineRule="auto"/>
              <w:ind w:left="60" w:right="60"/>
              <w:rPr>
                <w:rFonts w:ascii="Times New Roman" w:hAnsi="Times New Roman" w:cs="Times New Roman"/>
                <w:color w:val="000000"/>
              </w:rPr>
            </w:pPr>
            <w:r w:rsidRPr="00FF5EB3">
              <w:rPr>
                <w:rFonts w:ascii="Times New Roman" w:hAnsi="Times New Roman" w:cs="Times New Roman"/>
                <w:color w:val="000000"/>
              </w:rPr>
              <w:t>Residual</w:t>
            </w:r>
          </w:p>
        </w:tc>
        <w:tc>
          <w:tcPr>
            <w:tcW w:w="1287" w:type="pct"/>
            <w:shd w:val="clear" w:color="auto" w:fill="FFFFFF"/>
            <w:vAlign w:val="center"/>
          </w:tcPr>
          <w:p w:rsidR="00FF5EB3" w:rsidRPr="00FF5EB3" w:rsidRDefault="00FF5EB3" w:rsidP="00494E93">
            <w:pPr>
              <w:autoSpaceDE w:val="0"/>
              <w:autoSpaceDN w:val="0"/>
              <w:adjustRightInd w:val="0"/>
              <w:spacing w:after="0" w:line="240" w:lineRule="auto"/>
              <w:ind w:left="60" w:right="60"/>
              <w:jc w:val="center"/>
              <w:rPr>
                <w:rFonts w:ascii="Times New Roman" w:hAnsi="Times New Roman" w:cs="Times New Roman"/>
                <w:color w:val="000000"/>
              </w:rPr>
            </w:pPr>
            <w:r w:rsidRPr="00FF5EB3">
              <w:rPr>
                <w:rFonts w:ascii="Times New Roman" w:hAnsi="Times New Roman" w:cs="Times New Roman"/>
                <w:color w:val="000000"/>
              </w:rPr>
              <w:t>327.967</w:t>
            </w:r>
          </w:p>
        </w:tc>
        <w:tc>
          <w:tcPr>
            <w:tcW w:w="383" w:type="pct"/>
            <w:shd w:val="clear" w:color="auto" w:fill="FFFFFF"/>
            <w:vAlign w:val="center"/>
          </w:tcPr>
          <w:p w:rsidR="00FF5EB3" w:rsidRPr="00FF5EB3" w:rsidRDefault="00FF5EB3" w:rsidP="00494E93">
            <w:pPr>
              <w:autoSpaceDE w:val="0"/>
              <w:autoSpaceDN w:val="0"/>
              <w:adjustRightInd w:val="0"/>
              <w:spacing w:after="0" w:line="240" w:lineRule="auto"/>
              <w:ind w:left="60" w:right="60"/>
              <w:jc w:val="center"/>
              <w:rPr>
                <w:rFonts w:ascii="Times New Roman" w:hAnsi="Times New Roman" w:cs="Times New Roman"/>
                <w:color w:val="000000"/>
              </w:rPr>
            </w:pPr>
            <w:r w:rsidRPr="00FF5EB3">
              <w:rPr>
                <w:rFonts w:ascii="Times New Roman" w:hAnsi="Times New Roman" w:cs="Times New Roman"/>
                <w:color w:val="000000"/>
              </w:rPr>
              <w:t>98</w:t>
            </w:r>
          </w:p>
        </w:tc>
        <w:tc>
          <w:tcPr>
            <w:tcW w:w="1095" w:type="pct"/>
            <w:shd w:val="clear" w:color="auto" w:fill="FFFFFF"/>
            <w:vAlign w:val="center"/>
          </w:tcPr>
          <w:p w:rsidR="00FF5EB3" w:rsidRPr="00FF5EB3" w:rsidRDefault="00FF5EB3" w:rsidP="00494E93">
            <w:pPr>
              <w:autoSpaceDE w:val="0"/>
              <w:autoSpaceDN w:val="0"/>
              <w:adjustRightInd w:val="0"/>
              <w:spacing w:after="0" w:line="240" w:lineRule="auto"/>
              <w:ind w:left="60" w:right="60"/>
              <w:jc w:val="center"/>
              <w:rPr>
                <w:rFonts w:ascii="Times New Roman" w:hAnsi="Times New Roman" w:cs="Times New Roman"/>
                <w:color w:val="000000"/>
              </w:rPr>
            </w:pPr>
            <w:r w:rsidRPr="00FF5EB3">
              <w:rPr>
                <w:rFonts w:ascii="Times New Roman" w:hAnsi="Times New Roman" w:cs="Times New Roman"/>
                <w:color w:val="000000"/>
              </w:rPr>
              <w:t>3.347</w:t>
            </w:r>
          </w:p>
        </w:tc>
        <w:tc>
          <w:tcPr>
            <w:tcW w:w="617" w:type="pct"/>
            <w:shd w:val="clear" w:color="auto" w:fill="FFFFFF"/>
            <w:vAlign w:val="center"/>
          </w:tcPr>
          <w:p w:rsidR="00FF5EB3" w:rsidRPr="00FF5EB3" w:rsidRDefault="00FF5EB3" w:rsidP="00494E93">
            <w:pPr>
              <w:autoSpaceDE w:val="0"/>
              <w:autoSpaceDN w:val="0"/>
              <w:adjustRightInd w:val="0"/>
              <w:spacing w:after="0" w:line="240" w:lineRule="auto"/>
              <w:jc w:val="center"/>
              <w:rPr>
                <w:rFonts w:ascii="Times New Roman" w:hAnsi="Times New Roman" w:cs="Times New Roman"/>
              </w:rPr>
            </w:pPr>
          </w:p>
        </w:tc>
        <w:tc>
          <w:tcPr>
            <w:tcW w:w="489" w:type="pct"/>
            <w:shd w:val="clear" w:color="auto" w:fill="FFFFFF"/>
            <w:vAlign w:val="center"/>
          </w:tcPr>
          <w:p w:rsidR="00FF5EB3" w:rsidRPr="00FF5EB3" w:rsidRDefault="00FF5EB3" w:rsidP="00494E93">
            <w:pPr>
              <w:autoSpaceDE w:val="0"/>
              <w:autoSpaceDN w:val="0"/>
              <w:adjustRightInd w:val="0"/>
              <w:spacing w:after="0" w:line="240" w:lineRule="auto"/>
              <w:jc w:val="center"/>
              <w:rPr>
                <w:rFonts w:ascii="Times New Roman" w:hAnsi="Times New Roman" w:cs="Times New Roman"/>
              </w:rPr>
            </w:pPr>
          </w:p>
        </w:tc>
      </w:tr>
      <w:tr w:rsidR="00494E93" w:rsidRPr="00FF5EB3" w:rsidTr="00494E93">
        <w:trPr>
          <w:cantSplit/>
          <w:trHeight w:val="20"/>
        </w:trPr>
        <w:tc>
          <w:tcPr>
            <w:tcW w:w="196" w:type="pct"/>
            <w:vMerge/>
            <w:tcBorders>
              <w:bottom w:val="single" w:sz="8" w:space="0" w:color="000000"/>
            </w:tcBorders>
            <w:shd w:val="clear" w:color="auto" w:fill="FFFFFF"/>
            <w:vAlign w:val="center"/>
          </w:tcPr>
          <w:p w:rsidR="00FF5EB3" w:rsidRPr="00FF5EB3" w:rsidRDefault="00FF5EB3" w:rsidP="00494E93">
            <w:pPr>
              <w:autoSpaceDE w:val="0"/>
              <w:autoSpaceDN w:val="0"/>
              <w:adjustRightInd w:val="0"/>
              <w:spacing w:after="0" w:line="240" w:lineRule="auto"/>
              <w:jc w:val="center"/>
              <w:rPr>
                <w:rFonts w:ascii="Times New Roman" w:hAnsi="Times New Roman" w:cs="Times New Roman"/>
              </w:rPr>
            </w:pPr>
          </w:p>
        </w:tc>
        <w:tc>
          <w:tcPr>
            <w:tcW w:w="934" w:type="pct"/>
            <w:tcBorders>
              <w:bottom w:val="single" w:sz="8" w:space="0" w:color="000000"/>
            </w:tcBorders>
            <w:shd w:val="clear" w:color="auto" w:fill="FFFFFF"/>
            <w:vAlign w:val="center"/>
          </w:tcPr>
          <w:p w:rsidR="00FF5EB3" w:rsidRPr="00FF5EB3" w:rsidRDefault="00FF5EB3" w:rsidP="00494E93">
            <w:pPr>
              <w:autoSpaceDE w:val="0"/>
              <w:autoSpaceDN w:val="0"/>
              <w:adjustRightInd w:val="0"/>
              <w:spacing w:after="0" w:line="240" w:lineRule="auto"/>
              <w:ind w:left="60" w:right="60"/>
              <w:rPr>
                <w:rFonts w:ascii="Times New Roman" w:hAnsi="Times New Roman" w:cs="Times New Roman"/>
                <w:color w:val="000000"/>
              </w:rPr>
            </w:pPr>
            <w:r w:rsidRPr="00FF5EB3">
              <w:rPr>
                <w:rFonts w:ascii="Times New Roman" w:hAnsi="Times New Roman" w:cs="Times New Roman"/>
                <w:color w:val="000000"/>
              </w:rPr>
              <w:t>Total</w:t>
            </w:r>
          </w:p>
        </w:tc>
        <w:tc>
          <w:tcPr>
            <w:tcW w:w="1287" w:type="pct"/>
            <w:tcBorders>
              <w:bottom w:val="single" w:sz="8" w:space="0" w:color="000000"/>
            </w:tcBorders>
            <w:shd w:val="clear" w:color="auto" w:fill="FFFFFF"/>
            <w:vAlign w:val="center"/>
          </w:tcPr>
          <w:p w:rsidR="00FF5EB3" w:rsidRPr="00FF5EB3" w:rsidRDefault="00FF5EB3" w:rsidP="00494E93">
            <w:pPr>
              <w:autoSpaceDE w:val="0"/>
              <w:autoSpaceDN w:val="0"/>
              <w:adjustRightInd w:val="0"/>
              <w:spacing w:after="0" w:line="240" w:lineRule="auto"/>
              <w:ind w:left="60" w:right="60"/>
              <w:jc w:val="center"/>
              <w:rPr>
                <w:rFonts w:ascii="Times New Roman" w:hAnsi="Times New Roman" w:cs="Times New Roman"/>
                <w:color w:val="000000"/>
              </w:rPr>
            </w:pPr>
            <w:r w:rsidRPr="00FF5EB3">
              <w:rPr>
                <w:rFonts w:ascii="Times New Roman" w:hAnsi="Times New Roman" w:cs="Times New Roman"/>
                <w:color w:val="000000"/>
              </w:rPr>
              <w:t>723.307</w:t>
            </w:r>
          </w:p>
        </w:tc>
        <w:tc>
          <w:tcPr>
            <w:tcW w:w="383" w:type="pct"/>
            <w:tcBorders>
              <w:bottom w:val="single" w:sz="8" w:space="0" w:color="000000"/>
            </w:tcBorders>
            <w:shd w:val="clear" w:color="auto" w:fill="FFFFFF"/>
            <w:vAlign w:val="center"/>
          </w:tcPr>
          <w:p w:rsidR="00FF5EB3" w:rsidRPr="00FF5EB3" w:rsidRDefault="00FF5EB3" w:rsidP="00494E93">
            <w:pPr>
              <w:autoSpaceDE w:val="0"/>
              <w:autoSpaceDN w:val="0"/>
              <w:adjustRightInd w:val="0"/>
              <w:spacing w:after="0" w:line="240" w:lineRule="auto"/>
              <w:ind w:left="60" w:right="60"/>
              <w:jc w:val="center"/>
              <w:rPr>
                <w:rFonts w:ascii="Times New Roman" w:hAnsi="Times New Roman" w:cs="Times New Roman"/>
                <w:color w:val="000000"/>
              </w:rPr>
            </w:pPr>
            <w:r w:rsidRPr="00FF5EB3">
              <w:rPr>
                <w:rFonts w:ascii="Times New Roman" w:hAnsi="Times New Roman" w:cs="Times New Roman"/>
                <w:color w:val="000000"/>
              </w:rPr>
              <w:t>100</w:t>
            </w:r>
          </w:p>
        </w:tc>
        <w:tc>
          <w:tcPr>
            <w:tcW w:w="1095" w:type="pct"/>
            <w:tcBorders>
              <w:bottom w:val="single" w:sz="8" w:space="0" w:color="000000"/>
            </w:tcBorders>
            <w:shd w:val="clear" w:color="auto" w:fill="FFFFFF"/>
            <w:vAlign w:val="center"/>
          </w:tcPr>
          <w:p w:rsidR="00FF5EB3" w:rsidRPr="00FF5EB3" w:rsidRDefault="00FF5EB3" w:rsidP="00494E93">
            <w:pPr>
              <w:autoSpaceDE w:val="0"/>
              <w:autoSpaceDN w:val="0"/>
              <w:adjustRightInd w:val="0"/>
              <w:spacing w:after="0" w:line="240" w:lineRule="auto"/>
              <w:jc w:val="center"/>
              <w:rPr>
                <w:rFonts w:ascii="Times New Roman" w:hAnsi="Times New Roman" w:cs="Times New Roman"/>
              </w:rPr>
            </w:pPr>
          </w:p>
        </w:tc>
        <w:tc>
          <w:tcPr>
            <w:tcW w:w="617" w:type="pct"/>
            <w:tcBorders>
              <w:bottom w:val="single" w:sz="8" w:space="0" w:color="000000"/>
            </w:tcBorders>
            <w:shd w:val="clear" w:color="auto" w:fill="FFFFFF"/>
            <w:vAlign w:val="center"/>
          </w:tcPr>
          <w:p w:rsidR="00FF5EB3" w:rsidRPr="00FF5EB3" w:rsidRDefault="00FF5EB3" w:rsidP="00494E93">
            <w:pPr>
              <w:autoSpaceDE w:val="0"/>
              <w:autoSpaceDN w:val="0"/>
              <w:adjustRightInd w:val="0"/>
              <w:spacing w:after="0" w:line="240" w:lineRule="auto"/>
              <w:jc w:val="center"/>
              <w:rPr>
                <w:rFonts w:ascii="Times New Roman" w:hAnsi="Times New Roman" w:cs="Times New Roman"/>
              </w:rPr>
            </w:pPr>
          </w:p>
        </w:tc>
        <w:tc>
          <w:tcPr>
            <w:tcW w:w="489" w:type="pct"/>
            <w:shd w:val="clear" w:color="auto" w:fill="FFFFFF"/>
            <w:vAlign w:val="center"/>
          </w:tcPr>
          <w:p w:rsidR="00FF5EB3" w:rsidRPr="00FF5EB3" w:rsidRDefault="00FF5EB3" w:rsidP="00494E93">
            <w:pPr>
              <w:autoSpaceDE w:val="0"/>
              <w:autoSpaceDN w:val="0"/>
              <w:adjustRightInd w:val="0"/>
              <w:spacing w:after="0" w:line="240" w:lineRule="auto"/>
              <w:jc w:val="center"/>
              <w:rPr>
                <w:rFonts w:ascii="Times New Roman" w:hAnsi="Times New Roman" w:cs="Times New Roman"/>
              </w:rPr>
            </w:pPr>
          </w:p>
        </w:tc>
      </w:tr>
      <w:tr w:rsidR="00FF5EB3" w:rsidRPr="00FF5EB3" w:rsidTr="00494E93">
        <w:trPr>
          <w:cantSplit/>
          <w:trHeight w:val="20"/>
        </w:trPr>
        <w:tc>
          <w:tcPr>
            <w:tcW w:w="5000" w:type="pct"/>
            <w:gridSpan w:val="7"/>
            <w:tcBorders>
              <w:top w:val="single" w:sz="8" w:space="0" w:color="000000"/>
            </w:tcBorders>
            <w:shd w:val="clear" w:color="auto" w:fill="FFFFFF"/>
            <w:vAlign w:val="center"/>
          </w:tcPr>
          <w:p w:rsidR="00FF5EB3" w:rsidRPr="00FF5EB3" w:rsidRDefault="00FF5EB3" w:rsidP="00494E93">
            <w:pPr>
              <w:autoSpaceDE w:val="0"/>
              <w:autoSpaceDN w:val="0"/>
              <w:adjustRightInd w:val="0"/>
              <w:spacing w:after="0" w:line="240" w:lineRule="auto"/>
              <w:ind w:left="60" w:right="60"/>
              <w:rPr>
                <w:rFonts w:ascii="Times New Roman" w:hAnsi="Times New Roman" w:cs="Times New Roman"/>
                <w:i/>
                <w:color w:val="000000"/>
                <w:sz w:val="18"/>
              </w:rPr>
            </w:pPr>
            <w:r w:rsidRPr="00FF5EB3">
              <w:rPr>
                <w:rFonts w:ascii="Times New Roman" w:hAnsi="Times New Roman" w:cs="Times New Roman"/>
                <w:i/>
                <w:color w:val="000000"/>
                <w:sz w:val="18"/>
              </w:rPr>
              <w:t>a. De</w:t>
            </w:r>
            <w:r w:rsidR="005927FF">
              <w:rPr>
                <w:rFonts w:ascii="Times New Roman" w:hAnsi="Times New Roman" w:cs="Times New Roman"/>
                <w:i/>
                <w:color w:val="000000"/>
                <w:sz w:val="18"/>
              </w:rPr>
              <w:t xml:space="preserve">pendent Variable: </w:t>
            </w:r>
            <w:r w:rsidR="005927FF" w:rsidRPr="005927FF">
              <w:rPr>
                <w:rFonts w:ascii="Times New Roman" w:hAnsi="Times New Roman" w:cs="Times New Roman"/>
                <w:i/>
                <w:color w:val="000000"/>
                <w:sz w:val="18"/>
              </w:rPr>
              <w:t>working readiness</w:t>
            </w:r>
          </w:p>
        </w:tc>
      </w:tr>
      <w:tr w:rsidR="00FF5EB3" w:rsidRPr="00FF5EB3" w:rsidTr="00494E93">
        <w:trPr>
          <w:cantSplit/>
          <w:trHeight w:val="20"/>
        </w:trPr>
        <w:tc>
          <w:tcPr>
            <w:tcW w:w="5000" w:type="pct"/>
            <w:gridSpan w:val="7"/>
            <w:shd w:val="clear" w:color="auto" w:fill="FFFFFF"/>
            <w:vAlign w:val="center"/>
          </w:tcPr>
          <w:p w:rsidR="00FF5EB3" w:rsidRPr="00FF5EB3" w:rsidRDefault="00FF5EB3" w:rsidP="00494E93">
            <w:pPr>
              <w:autoSpaceDE w:val="0"/>
              <w:autoSpaceDN w:val="0"/>
              <w:adjustRightInd w:val="0"/>
              <w:spacing w:after="0" w:line="240" w:lineRule="auto"/>
              <w:ind w:left="60" w:right="60"/>
              <w:rPr>
                <w:rFonts w:ascii="Times New Roman" w:hAnsi="Times New Roman" w:cs="Times New Roman"/>
                <w:i/>
                <w:color w:val="000000"/>
                <w:sz w:val="18"/>
              </w:rPr>
            </w:pPr>
            <w:r w:rsidRPr="00FF5EB3">
              <w:rPr>
                <w:rFonts w:ascii="Times New Roman" w:hAnsi="Times New Roman" w:cs="Times New Roman"/>
                <w:i/>
                <w:color w:val="000000"/>
                <w:sz w:val="18"/>
              </w:rPr>
              <w:t xml:space="preserve">b. Predictors: (Constant), </w:t>
            </w:r>
            <w:r w:rsidR="005927FF" w:rsidRPr="005927FF">
              <w:rPr>
                <w:rFonts w:ascii="Times New Roman" w:hAnsi="Times New Roman" w:cs="Times New Roman"/>
                <w:i/>
                <w:color w:val="000000"/>
                <w:sz w:val="18"/>
              </w:rPr>
              <w:t>Industria</w:t>
            </w:r>
            <w:r w:rsidR="005927FF">
              <w:rPr>
                <w:rFonts w:ascii="Times New Roman" w:hAnsi="Times New Roman" w:cs="Times New Roman"/>
                <w:i/>
                <w:color w:val="000000"/>
                <w:sz w:val="18"/>
              </w:rPr>
              <w:t>l Work Practices variable (X</w:t>
            </w:r>
            <w:r w:rsidR="005927FF" w:rsidRPr="005927FF">
              <w:rPr>
                <w:rFonts w:ascii="Times New Roman" w:hAnsi="Times New Roman" w:cs="Times New Roman"/>
                <w:i/>
                <w:color w:val="000000"/>
                <w:sz w:val="18"/>
                <w:vertAlign w:val="subscript"/>
              </w:rPr>
              <w:t>1</w:t>
            </w:r>
            <w:r w:rsidR="005927FF">
              <w:rPr>
                <w:rFonts w:ascii="Times New Roman" w:hAnsi="Times New Roman" w:cs="Times New Roman"/>
                <w:i/>
                <w:color w:val="000000"/>
                <w:sz w:val="18"/>
              </w:rPr>
              <w:t xml:space="preserve">), </w:t>
            </w:r>
            <w:r w:rsidR="005927FF" w:rsidRPr="005927FF">
              <w:rPr>
                <w:rFonts w:ascii="Times New Roman" w:hAnsi="Times New Roman" w:cs="Times New Roman"/>
                <w:i/>
                <w:color w:val="000000"/>
                <w:sz w:val="18"/>
              </w:rPr>
              <w:t>Workshop Facilities (X</w:t>
            </w:r>
            <w:r w:rsidR="005927FF" w:rsidRPr="005927FF">
              <w:rPr>
                <w:rFonts w:ascii="Times New Roman" w:hAnsi="Times New Roman" w:cs="Times New Roman"/>
                <w:i/>
                <w:color w:val="000000"/>
                <w:sz w:val="18"/>
                <w:vertAlign w:val="subscript"/>
              </w:rPr>
              <w:t>2</w:t>
            </w:r>
            <w:r w:rsidR="005927FF" w:rsidRPr="005927FF">
              <w:rPr>
                <w:rFonts w:ascii="Times New Roman" w:hAnsi="Times New Roman" w:cs="Times New Roman"/>
                <w:i/>
                <w:color w:val="000000"/>
                <w:sz w:val="18"/>
              </w:rPr>
              <w:t>)</w:t>
            </w:r>
          </w:p>
        </w:tc>
      </w:tr>
    </w:tbl>
    <w:p w:rsidR="007508AD" w:rsidRDefault="007508AD"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7508AD" w:rsidRDefault="00D25640" w:rsidP="00D25640">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D25640">
        <w:rPr>
          <w:rFonts w:ascii="Times New Roman" w:eastAsia="Times New Roman" w:hAnsi="Times New Roman" w:cs="Times New Roman"/>
        </w:rPr>
        <w:t>Based on the calculation table above, it shows that F-count = 59.066, and the significance value of F is 0.000 &lt;0.05. By using DF1 = 2 and DF = 98 (101-2-1) the F table value is 3.09. From these results the F-count value is 59.066&gt; the F table value is 3.09. This result shows that F-count is significant so that Ha can be accepted. Based on these results, the hypothesis Ha3 states "There is an effect of industrial work practices (X</w:t>
      </w:r>
      <w:r w:rsidRPr="00A82962">
        <w:rPr>
          <w:rFonts w:ascii="Times New Roman" w:eastAsia="Times New Roman" w:hAnsi="Times New Roman" w:cs="Times New Roman"/>
          <w:vertAlign w:val="subscript"/>
        </w:rPr>
        <w:t>1</w:t>
      </w:r>
      <w:r w:rsidRPr="00D25640">
        <w:rPr>
          <w:rFonts w:ascii="Times New Roman" w:eastAsia="Times New Roman" w:hAnsi="Times New Roman" w:cs="Times New Roman"/>
        </w:rPr>
        <w:t>) and workshop facilities (X</w:t>
      </w:r>
      <w:r w:rsidRPr="00A82962">
        <w:rPr>
          <w:rFonts w:ascii="Times New Roman" w:eastAsia="Times New Roman" w:hAnsi="Times New Roman" w:cs="Times New Roman"/>
          <w:vertAlign w:val="subscript"/>
        </w:rPr>
        <w:t>2</w:t>
      </w:r>
      <w:r w:rsidRPr="00D25640">
        <w:rPr>
          <w:rFonts w:ascii="Times New Roman" w:eastAsia="Times New Roman" w:hAnsi="Times New Roman" w:cs="Times New Roman"/>
        </w:rPr>
        <w:t>) on work readiness (Y) of XI TKR students at SMKN 1 Semarang".</w:t>
      </w:r>
      <w:r w:rsidR="00E96E82">
        <w:rPr>
          <w:rFonts w:ascii="Times New Roman" w:eastAsia="Times New Roman" w:hAnsi="Times New Roman" w:cs="Times New Roman"/>
        </w:rPr>
        <w:t xml:space="preserve"> </w:t>
      </w:r>
      <w:r w:rsidR="00E96E82" w:rsidRPr="00E96E82">
        <w:rPr>
          <w:rFonts w:ascii="Times New Roman" w:eastAsia="Times New Roman" w:hAnsi="Times New Roman" w:cs="Times New Roman"/>
        </w:rPr>
        <w:t xml:space="preserve">Based on the results of the determination test, it is obtained Adjusted R Square of 0.537, this shows that the variable influence of industrial work practices and workshop facilities equally affects the work readiness variable by 58.6% and the remaining 46.3% is influenced by other variables not examined in </w:t>
      </w:r>
      <w:r w:rsidR="00BF08D2">
        <w:rPr>
          <w:rFonts w:ascii="Times New Roman" w:eastAsia="Times New Roman" w:hAnsi="Times New Roman" w:cs="Times New Roman"/>
        </w:rPr>
        <w:t>this</w:t>
      </w:r>
      <w:r w:rsidR="00E96E82" w:rsidRPr="00E96E82">
        <w:rPr>
          <w:rFonts w:ascii="Times New Roman" w:eastAsia="Times New Roman" w:hAnsi="Times New Roman" w:cs="Times New Roman"/>
        </w:rPr>
        <w:t xml:space="preserve"> study</w:t>
      </w:r>
      <w:r w:rsidR="00BF08D2">
        <w:rPr>
          <w:rFonts w:ascii="Times New Roman" w:eastAsia="Times New Roman" w:hAnsi="Times New Roman" w:cs="Times New Roman"/>
        </w:rPr>
        <w:t>.</w:t>
      </w:r>
    </w:p>
    <w:p w:rsidR="007508AD" w:rsidRDefault="007508AD" w:rsidP="002B44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bookmarkStart w:id="1" w:name="_GoBack"/>
      <w:bookmarkEnd w:id="1"/>
    </w:p>
    <w:p w:rsidR="00CD2182" w:rsidRPr="00CF7EBD" w:rsidRDefault="00CD2182" w:rsidP="00CD218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rPr>
      </w:pPr>
      <w:r w:rsidRPr="00CF7EBD">
        <w:rPr>
          <w:rFonts w:ascii="Times New Roman" w:eastAsia="Times New Roman" w:hAnsi="Times New Roman" w:cs="Times New Roman"/>
          <w:i/>
        </w:rPr>
        <w:t>3.3. Discussion</w:t>
      </w:r>
    </w:p>
    <w:p w:rsidR="007321EB" w:rsidRDefault="00E96E82" w:rsidP="00E96E8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E96E82">
        <w:rPr>
          <w:rFonts w:ascii="Times New Roman" w:eastAsia="Times New Roman" w:hAnsi="Times New Roman" w:cs="Times New Roman"/>
        </w:rPr>
        <w:t>Based on the results of the analysis conducted by researchers regarding the effect of industrial work practices (X</w:t>
      </w:r>
      <w:r w:rsidRPr="00DD3A2F">
        <w:rPr>
          <w:rFonts w:ascii="Times New Roman" w:eastAsia="Times New Roman" w:hAnsi="Times New Roman" w:cs="Times New Roman"/>
          <w:vertAlign w:val="subscript"/>
        </w:rPr>
        <w:t>1</w:t>
      </w:r>
      <w:r w:rsidRPr="00E96E82">
        <w:rPr>
          <w:rFonts w:ascii="Times New Roman" w:eastAsia="Times New Roman" w:hAnsi="Times New Roman" w:cs="Times New Roman"/>
        </w:rPr>
        <w:t>), students of class XI showed that from 101 respondents it was known that 80 respondents (79.2%) had a very good category, 20 respondents (19.8%) had a good category, 1 respondent (1.0%) was in a bad category and 0 respondents (0%) had a bad category. The results of the analysis conducted by the researcher regarding the workshop facilities (X</w:t>
      </w:r>
      <w:r w:rsidRPr="00DD3A2F">
        <w:rPr>
          <w:rFonts w:ascii="Times New Roman" w:eastAsia="Times New Roman" w:hAnsi="Times New Roman" w:cs="Times New Roman"/>
          <w:vertAlign w:val="subscript"/>
        </w:rPr>
        <w:t>2</w:t>
      </w:r>
      <w:r w:rsidRPr="00E96E82">
        <w:rPr>
          <w:rFonts w:ascii="Times New Roman" w:eastAsia="Times New Roman" w:hAnsi="Times New Roman" w:cs="Times New Roman"/>
        </w:rPr>
        <w:t xml:space="preserve">), the students of class XI showed that from 101 respondents it was known that 88 respondents (87.1%) had a very good category, 12 respondents (11.9%) had a good category, 1 respondent (1.0%) was in a poor category and 0 respondents (0%) had a bad category. The results of the analysis conducted by researchers regarding job readiness (Y) of class XI students showed that from 101 respondents it was known that 101 respondents </w:t>
      </w:r>
      <w:r>
        <w:rPr>
          <w:rFonts w:ascii="Times New Roman" w:eastAsia="Times New Roman" w:hAnsi="Times New Roman" w:cs="Times New Roman"/>
        </w:rPr>
        <w:t>(100%) had a very good category.</w:t>
      </w:r>
    </w:p>
    <w:p w:rsidR="00E96E82" w:rsidRPr="00E96E82" w:rsidRDefault="00E96E82" w:rsidP="00E96E82">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E96E82">
        <w:rPr>
          <w:rFonts w:ascii="Times New Roman" w:eastAsia="Times New Roman" w:hAnsi="Times New Roman" w:cs="Times New Roman"/>
        </w:rPr>
        <w:lastRenderedPageBreak/>
        <w:t>The results of the hypothesis test (t-test) show that the effect of industrial work practices and workshop infrastructure on work readiness of class XI TKR SMKN 1 Semarang students because industrial work practices have a calculation result that shows the value of t count (6.617)&gt; t table (1.980) is stated that Ha accepted. So that the conclusion of the hypothesis states "there is a positive influence on industrial work practices (X</w:t>
      </w:r>
      <w:r w:rsidRPr="00DD3A2F">
        <w:rPr>
          <w:rFonts w:ascii="Times New Roman" w:eastAsia="Times New Roman" w:hAnsi="Times New Roman" w:cs="Times New Roman"/>
          <w:vertAlign w:val="subscript"/>
        </w:rPr>
        <w:t>1</w:t>
      </w:r>
      <w:r w:rsidRPr="00E96E82">
        <w:rPr>
          <w:rFonts w:ascii="Times New Roman" w:eastAsia="Times New Roman" w:hAnsi="Times New Roman" w:cs="Times New Roman"/>
        </w:rPr>
        <w:t>) on job readiness (Y) in class XI TKR at SMKN 1 Semarang". Meanwhile, workshop facilities have a calculation result that shows the value of t count (6.411)&gt; t table (1.980), it is stated that Ha is accepted. So that the conclusion of the hypothesis states "there is a positive effect of workshop infrastructure (X</w:t>
      </w:r>
      <w:r w:rsidRPr="00DD3A2F">
        <w:rPr>
          <w:rFonts w:ascii="Times New Roman" w:eastAsia="Times New Roman" w:hAnsi="Times New Roman" w:cs="Times New Roman"/>
          <w:vertAlign w:val="subscript"/>
        </w:rPr>
        <w:t>2</w:t>
      </w:r>
      <w:r w:rsidRPr="00E96E82">
        <w:rPr>
          <w:rFonts w:ascii="Times New Roman" w:eastAsia="Times New Roman" w:hAnsi="Times New Roman" w:cs="Times New Roman"/>
        </w:rPr>
        <w:t>) on work readiness (Y) class XI TKR at SMKN 1 Semarang". So it can be concluded that the t-test states that there is an effect of industrial work practices on work readiness and workshop infrastructure on work readiness of class XI TKR SMKN 1 Semarang students.</w:t>
      </w:r>
    </w:p>
    <w:p w:rsidR="00E96E82" w:rsidRDefault="00E96E82" w:rsidP="00E96E82">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E96E82">
        <w:rPr>
          <w:rFonts w:ascii="Times New Roman" w:eastAsia="Times New Roman" w:hAnsi="Times New Roman" w:cs="Times New Roman"/>
        </w:rPr>
        <w:t>The simultaneous hypothesis test results show that there is an effect simultaneously because the ANOVA test or F test shows that the Fcount value is 59.066&gt; the Ftable value of 3.09. This result shows that Fcount is significant so that Ha can be accepted. Based on these results, the hypothesis Ha states "there is a positive effect of industrial work practices (X</w:t>
      </w:r>
      <w:r w:rsidRPr="00DD3A2F">
        <w:rPr>
          <w:rFonts w:ascii="Times New Roman" w:eastAsia="Times New Roman" w:hAnsi="Times New Roman" w:cs="Times New Roman"/>
          <w:vertAlign w:val="subscript"/>
        </w:rPr>
        <w:t>1</w:t>
      </w:r>
      <w:r w:rsidRPr="00E96E82">
        <w:rPr>
          <w:rFonts w:ascii="Times New Roman" w:eastAsia="Times New Roman" w:hAnsi="Times New Roman" w:cs="Times New Roman"/>
        </w:rPr>
        <w:t>) and workshop facilities (X</w:t>
      </w:r>
      <w:r w:rsidR="00DD3A2F" w:rsidRPr="00DD3A2F">
        <w:rPr>
          <w:rFonts w:ascii="Times New Roman" w:eastAsia="Times New Roman" w:hAnsi="Times New Roman" w:cs="Times New Roman"/>
          <w:vertAlign w:val="subscript"/>
        </w:rPr>
        <w:t>2</w:t>
      </w:r>
      <w:r w:rsidR="00DD3A2F">
        <w:rPr>
          <w:rFonts w:ascii="Times New Roman" w:eastAsia="Times New Roman" w:hAnsi="Times New Roman" w:cs="Times New Roman"/>
        </w:rPr>
        <w:t xml:space="preserve">) on work readiness (Y) </w:t>
      </w:r>
      <w:r w:rsidRPr="00E96E82">
        <w:rPr>
          <w:rFonts w:ascii="Times New Roman" w:eastAsia="Times New Roman" w:hAnsi="Times New Roman" w:cs="Times New Roman"/>
        </w:rPr>
        <w:t>TKR students at SMKN 1 Semarang" is accepted. While the determination hypothesis test which states that the work-readiness variable is influenced by the industrial work practice variable and the workshop infrastructure variable is calculated using the SPSS for Windows Release 20.0 program, it is known that the adjusted R Square value is 0.586, this shows that the variable influence of industrial work practices and workshop infrastructure is the same. -sama affects the work readiness variable by 58.6% and the remaining 41.4% is influenced by other variables not examined in this study.</w:t>
      </w:r>
    </w:p>
    <w:p w:rsidR="00496488" w:rsidRPr="00527DDA" w:rsidRDefault="00527DDA" w:rsidP="0049648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527DDA">
        <w:rPr>
          <w:rFonts w:ascii="Times New Roman" w:eastAsia="Times New Roman" w:hAnsi="Times New Roman" w:cs="Times New Roman"/>
        </w:rPr>
        <w:t>The results of this study are consistent with the results of research by Rofiq [18] which aims to determine the effect of work knowledge and industrial practice experience on learning motivation with the results of the study showing no positive and significant influence between work knowledge and learning motivation, between students' industrial practice experience and motivation to learn. Further research by Saputro [19] aims to determine the effect of industrial work practices and student work-readiness competencies of SMKN 1Sedayu students with the results of the research showing that industrial work practice achievement is high (77.8%), student competence is high (79.6%) and students' job readiness is also in the high category (79.4%). Industrial work practice has a positive and significant effect on student work-readiness. Student competence has a positive and significant effect on student work readiness and industrial work practices and student competence has a positive and significant effect on student work readiness.</w:t>
      </w:r>
    </w:p>
    <w:p w:rsidR="00527DDA" w:rsidRPr="00496488" w:rsidRDefault="00527DDA" w:rsidP="0049648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color w:val="FF0000"/>
        </w:rPr>
      </w:pPr>
    </w:p>
    <w:p w:rsidR="00F13BDE" w:rsidRPr="00CF7EBD" w:rsidRDefault="00F13BDE" w:rsidP="00F13BDE">
      <w:pPr>
        <w:numPr>
          <w:ilvl w:val="0"/>
          <w:numId w:val="1"/>
        </w:numPr>
        <w:pBdr>
          <w:top w:val="nil"/>
          <w:left w:val="nil"/>
          <w:bottom w:val="nil"/>
          <w:right w:val="nil"/>
          <w:between w:val="nil"/>
        </w:pBdr>
        <w:spacing w:after="240"/>
        <w:rPr>
          <w:rFonts w:ascii="Times New Roman" w:eastAsia="Times New Roman" w:hAnsi="Times New Roman" w:cs="Times New Roman"/>
          <w:b/>
        </w:rPr>
      </w:pPr>
      <w:r w:rsidRPr="00CF7EBD">
        <w:rPr>
          <w:rFonts w:ascii="Times New Roman" w:eastAsia="Times New Roman" w:hAnsi="Times New Roman" w:cs="Times New Roman"/>
          <w:b/>
        </w:rPr>
        <w:t>Conclusion</w:t>
      </w:r>
    </w:p>
    <w:p w:rsidR="00A85E1F" w:rsidRPr="00A85E1F" w:rsidRDefault="00A85E1F" w:rsidP="00A85E1F">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A85E1F">
        <w:rPr>
          <w:rFonts w:ascii="Times New Roman" w:eastAsia="Times New Roman" w:hAnsi="Times New Roman" w:cs="Times New Roman"/>
        </w:rPr>
        <w:t>Based on the results of the research and discussion above, it can be concluded that the experience of industrial work practices and infrastructure partially and simultaneously affects the work readiness level of class XI students at SMK Negeri 1 Semarang. Therefore, the school in increasing cooperation with industry in preparing students to carry out industrial work practices will be more organized and the need for collaboration with industry.</w:t>
      </w:r>
    </w:p>
    <w:p w:rsidR="00A85E1F" w:rsidRDefault="00A85E1F" w:rsidP="00DD3A2F">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A85E1F">
        <w:rPr>
          <w:rFonts w:ascii="Times New Roman" w:eastAsia="Times New Roman" w:hAnsi="Times New Roman" w:cs="Times New Roman"/>
        </w:rPr>
        <w:t>To support success at SMKN 1 Semarang in all its activities, the authors put forward some suggestions that might be useful for schools, namely industrial work practices at SMKN 1 Semarang are good enough to increase work readiness, but it would be nice for industrial work practices to be improved so that students are more mature to motivate readiness to work after graduating from school. Workshop infrastructure at SMKN 1 Semarang is good enough to improve work readiness, but for better workshop facilities, especially measuring instruments, need to be replaced and improved in quality so that students can learn more about measuring tools so that work readiness can also be improved even more. Work readiness at SMKN 1 Semarang is very good, so the school must be able to maintain student work-readiness until the next academic year. It is hoped that teachers can guide students even better and are expected to accompany and teachers can become friends for their students so that students are more comfortable in carrying out the learning process and students can capture lessons more optimally.</w:t>
      </w:r>
    </w:p>
    <w:p w:rsidR="00E74FF6" w:rsidRPr="00CF7EBD" w:rsidRDefault="00E74FF6" w:rsidP="00607FD2">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FD4AFC" w:rsidRPr="00CF7EBD" w:rsidRDefault="00D161D0">
      <w:pPr>
        <w:numPr>
          <w:ilvl w:val="0"/>
          <w:numId w:val="1"/>
        </w:numPr>
        <w:pBdr>
          <w:top w:val="nil"/>
          <w:left w:val="nil"/>
          <w:bottom w:val="nil"/>
          <w:right w:val="nil"/>
          <w:between w:val="nil"/>
        </w:pBdr>
        <w:spacing w:after="240"/>
        <w:rPr>
          <w:rFonts w:ascii="Times New Roman" w:eastAsia="Times New Roman" w:hAnsi="Times New Roman" w:cs="Times New Roman"/>
          <w:b/>
        </w:rPr>
      </w:pPr>
      <w:r w:rsidRPr="00CF7EBD">
        <w:rPr>
          <w:rFonts w:ascii="Times New Roman" w:eastAsia="Times New Roman" w:hAnsi="Times New Roman" w:cs="Times New Roman"/>
          <w:b/>
        </w:rPr>
        <w:lastRenderedPageBreak/>
        <w:t xml:space="preserve">References </w:t>
      </w:r>
    </w:p>
    <w:p w:rsidR="002C5AB2" w:rsidRDefault="002C5AB2" w:rsidP="002C5AB2">
      <w:pPr>
        <w:pBdr>
          <w:between w:val="nil"/>
        </w:pBdr>
        <w:tabs>
          <w:tab w:val="left" w:pos="851"/>
        </w:tabs>
        <w:spacing w:after="0" w:line="240" w:lineRule="auto"/>
        <w:ind w:left="570" w:hanging="570"/>
        <w:jc w:val="both"/>
        <w:rPr>
          <w:rFonts w:ascii="Times New Roman" w:hAnsi="Times New Roman" w:cs="Times New Roman"/>
          <w:color w:val="000000"/>
        </w:rPr>
      </w:pPr>
      <w:r w:rsidRPr="00CF7EBD">
        <w:rPr>
          <w:rFonts w:ascii="Times New Roman" w:eastAsia="Times New Roman" w:hAnsi="Times New Roman" w:cs="Times New Roman"/>
        </w:rPr>
        <w:t>[</w:t>
      </w:r>
      <w:r>
        <w:rPr>
          <w:rFonts w:ascii="Times New Roman" w:eastAsia="Times New Roman" w:hAnsi="Times New Roman" w:cs="Times New Roman"/>
        </w:rPr>
        <w:t>1</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BB4A54" w:rsidRPr="00965C69">
        <w:rPr>
          <w:rFonts w:ascii="Times New Roman" w:hAnsi="Times New Roman" w:cs="Times New Roman"/>
          <w:color w:val="000000"/>
        </w:rPr>
        <w:t xml:space="preserve">Triyono M B, Trianingsih L, </w:t>
      </w:r>
      <w:r w:rsidR="00BB4A54" w:rsidRPr="00965C69">
        <w:rPr>
          <w:rFonts w:ascii="Times New Roman" w:hAnsi="Times New Roman" w:cs="Times New Roman"/>
        </w:rPr>
        <w:t>and</w:t>
      </w:r>
      <w:r w:rsidR="00BB4A54" w:rsidRPr="00965C69">
        <w:rPr>
          <w:rFonts w:ascii="Times New Roman" w:hAnsi="Times New Roman" w:cs="Times New Roman"/>
          <w:lang w:val="id-ID"/>
        </w:rPr>
        <w:t xml:space="preserve"> </w:t>
      </w:r>
      <w:r w:rsidR="00BB4A54" w:rsidRPr="00965C69">
        <w:rPr>
          <w:rFonts w:ascii="Times New Roman" w:hAnsi="Times New Roman" w:cs="Times New Roman"/>
          <w:color w:val="000000"/>
        </w:rPr>
        <w:t>Nurhadi D 2018 Students’ employa</w:t>
      </w:r>
      <w:r w:rsidR="00182A00">
        <w:rPr>
          <w:rFonts w:ascii="Times New Roman" w:hAnsi="Times New Roman" w:cs="Times New Roman"/>
          <w:color w:val="000000"/>
        </w:rPr>
        <w:t xml:space="preserve">bility skills for </w:t>
      </w:r>
      <w:r w:rsidR="00BB4A54">
        <w:rPr>
          <w:rFonts w:ascii="Times New Roman" w:hAnsi="Times New Roman" w:cs="Times New Roman"/>
          <w:color w:val="000000"/>
        </w:rPr>
        <w:t xml:space="preserve">constructio </w:t>
      </w:r>
      <w:r>
        <w:rPr>
          <w:rFonts w:ascii="Times New Roman" w:hAnsi="Times New Roman" w:cs="Times New Roman"/>
          <w:color w:val="000000"/>
        </w:rPr>
        <w:tab/>
      </w:r>
      <w:r w:rsidR="00BB4A54" w:rsidRPr="00965C69">
        <w:rPr>
          <w:rFonts w:ascii="Times New Roman" w:hAnsi="Times New Roman" w:cs="Times New Roman"/>
          <w:color w:val="000000"/>
        </w:rPr>
        <w:t xml:space="preserve">drawing engineering in Indonesia </w:t>
      </w:r>
      <w:r w:rsidR="00BB4A54" w:rsidRPr="00965C69">
        <w:rPr>
          <w:rFonts w:ascii="Times New Roman" w:hAnsi="Times New Roman" w:cs="Times New Roman"/>
          <w:i/>
          <w:color w:val="000000"/>
        </w:rPr>
        <w:t>World T</w:t>
      </w:r>
      <w:r>
        <w:rPr>
          <w:rFonts w:ascii="Times New Roman" w:hAnsi="Times New Roman" w:cs="Times New Roman"/>
          <w:i/>
          <w:color w:val="000000"/>
        </w:rPr>
        <w:t xml:space="preserve">ransactions on Engineering and </w:t>
      </w:r>
      <w:r w:rsidR="00BB4A54" w:rsidRPr="00965C69">
        <w:rPr>
          <w:rFonts w:ascii="Times New Roman" w:hAnsi="Times New Roman" w:cs="Times New Roman"/>
          <w:i/>
          <w:color w:val="000000"/>
        </w:rPr>
        <w:t xml:space="preserve">Technology </w:t>
      </w:r>
      <w:r>
        <w:rPr>
          <w:rFonts w:ascii="Times New Roman" w:hAnsi="Times New Roman" w:cs="Times New Roman"/>
          <w:i/>
          <w:color w:val="000000"/>
        </w:rPr>
        <w:tab/>
      </w:r>
      <w:r>
        <w:rPr>
          <w:rFonts w:ascii="Times New Roman" w:hAnsi="Times New Roman" w:cs="Times New Roman"/>
          <w:i/>
          <w:color w:val="000000"/>
        </w:rPr>
        <w:tab/>
      </w:r>
      <w:r w:rsidR="00BB4A54" w:rsidRPr="00965C69">
        <w:rPr>
          <w:rFonts w:ascii="Times New Roman" w:hAnsi="Times New Roman" w:cs="Times New Roman"/>
          <w:i/>
          <w:color w:val="000000"/>
        </w:rPr>
        <w:t xml:space="preserve">Education (16) </w:t>
      </w:r>
      <w:r w:rsidR="00BB4A54" w:rsidRPr="00965C69">
        <w:rPr>
          <w:rFonts w:ascii="Times New Roman" w:hAnsi="Times New Roman" w:cs="Times New Roman"/>
          <w:color w:val="000000"/>
        </w:rPr>
        <w:t>1 p 29-35</w:t>
      </w:r>
      <w:r>
        <w:rPr>
          <w:rFonts w:ascii="Times New Roman" w:hAnsi="Times New Roman" w:cs="Times New Roman"/>
          <w:color w:val="000000"/>
        </w:rPr>
        <w:tab/>
      </w:r>
      <w:r w:rsidRPr="002C5AB2">
        <w:t xml:space="preserve"> </w:t>
      </w:r>
      <w:r>
        <w:tab/>
      </w:r>
      <w:hyperlink r:id="rId7" w:history="1">
        <w:r w:rsidRPr="0015522D">
          <w:rPr>
            <w:rStyle w:val="Hyperlink"/>
            <w:rFonts w:ascii="Times New Roman" w:hAnsi="Times New Roman" w:cs="Times New Roman"/>
          </w:rPr>
          <w:t>http://www.wiete.com.au/journals/WTE&amp;TE/Pages/TOC_V16N1.html</w:t>
        </w:r>
      </w:hyperlink>
    </w:p>
    <w:p w:rsidR="00182A00" w:rsidRDefault="002C5AB2" w:rsidP="00182A00">
      <w:pPr>
        <w:pBdr>
          <w:between w:val="nil"/>
        </w:pBdr>
        <w:tabs>
          <w:tab w:val="left" w:pos="851"/>
        </w:tabs>
        <w:spacing w:after="0" w:line="240" w:lineRule="auto"/>
        <w:ind w:left="567" w:hanging="567"/>
        <w:jc w:val="both"/>
        <w:rPr>
          <w:rFonts w:ascii="Times New Roman" w:eastAsia="Times New Roman" w:hAnsi="Times New Roman" w:cs="Times New Roman"/>
        </w:rPr>
      </w:pPr>
      <w:r w:rsidRPr="00CF7EBD">
        <w:rPr>
          <w:rFonts w:ascii="Times New Roman" w:eastAsia="Times New Roman" w:hAnsi="Times New Roman" w:cs="Times New Roman"/>
        </w:rPr>
        <w:t>[</w:t>
      </w:r>
      <w:r>
        <w:rPr>
          <w:rFonts w:ascii="Times New Roman" w:eastAsia="Times New Roman" w:hAnsi="Times New Roman" w:cs="Times New Roman"/>
        </w:rPr>
        <w:t>2</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BB4A54" w:rsidRPr="00965C69">
        <w:rPr>
          <w:rFonts w:ascii="Times New Roman" w:hAnsi="Times New Roman" w:cs="Times New Roman"/>
        </w:rPr>
        <w:t xml:space="preserve">Sukardi T, Fitrah A, Syauqi K, and Paryanto 2020 Industrial working culture in learning practice </w:t>
      </w:r>
      <w:r>
        <w:rPr>
          <w:rFonts w:ascii="Times New Roman" w:hAnsi="Times New Roman" w:cs="Times New Roman"/>
        </w:rPr>
        <w:tab/>
      </w:r>
      <w:r w:rsidR="00BB4A54" w:rsidRPr="00965C69">
        <w:rPr>
          <w:rFonts w:ascii="Times New Roman" w:hAnsi="Times New Roman" w:cs="Times New Roman"/>
        </w:rPr>
        <w:t xml:space="preserve">at vocational high school </w:t>
      </w:r>
      <w:r w:rsidR="00BB4A54" w:rsidRPr="00965C69">
        <w:rPr>
          <w:rFonts w:ascii="Times New Roman" w:hAnsi="Times New Roman" w:cs="Times New Roman"/>
          <w:i/>
        </w:rPr>
        <w:t xml:space="preserve">Journal of </w:t>
      </w:r>
      <w:r w:rsidR="00BB4A54" w:rsidRPr="00965C69">
        <w:rPr>
          <w:rFonts w:ascii="Times New Roman" w:hAnsi="Times New Roman" w:cs="Times New Roman"/>
          <w:i/>
        </w:rPr>
        <w:tab/>
        <w:t xml:space="preserve">Physics: Conference Series, </w:t>
      </w:r>
      <w:r w:rsidR="00BB4A54" w:rsidRPr="00965C69">
        <w:rPr>
          <w:rFonts w:ascii="Times New Roman" w:hAnsi="Times New Roman" w:cs="Times New Roman"/>
        </w:rPr>
        <w:t xml:space="preserve">1446 (012010) </w:t>
      </w:r>
      <w:r>
        <w:rPr>
          <w:rFonts w:ascii="Times New Roman" w:hAnsi="Times New Roman" w:cs="Times New Roman"/>
        </w:rPr>
        <w:tab/>
      </w:r>
      <w:hyperlink r:id="rId8" w:history="1">
        <w:r w:rsidR="00182A00" w:rsidRPr="0015522D">
          <w:rPr>
            <w:rStyle w:val="Hyperlink"/>
            <w:rFonts w:ascii="Times New Roman" w:hAnsi="Times New Roman" w:cs="Times New Roman"/>
          </w:rPr>
          <w:t>https://doi.org/10.1088/1742-6596/1446/1/012010</w:t>
        </w:r>
      </w:hyperlink>
    </w:p>
    <w:p w:rsidR="00182A00" w:rsidRDefault="002C5AB2" w:rsidP="00182A00">
      <w:pPr>
        <w:pBdr>
          <w:between w:val="nil"/>
        </w:pBdr>
        <w:tabs>
          <w:tab w:val="left" w:pos="851"/>
        </w:tabs>
        <w:spacing w:after="0" w:line="240" w:lineRule="auto"/>
        <w:ind w:left="567" w:hanging="567"/>
        <w:jc w:val="both"/>
        <w:rPr>
          <w:rFonts w:ascii="Times New Roman" w:eastAsia="Times New Roman" w:hAnsi="Times New Roman" w:cs="Times New Roman"/>
          <w:lang w:val="id-ID"/>
        </w:rPr>
      </w:pPr>
      <w:r w:rsidRPr="00CF7EBD">
        <w:rPr>
          <w:rFonts w:ascii="Times New Roman" w:eastAsia="Times New Roman" w:hAnsi="Times New Roman" w:cs="Times New Roman"/>
        </w:rPr>
        <w:t>[</w:t>
      </w:r>
      <w:r>
        <w:rPr>
          <w:rFonts w:ascii="Times New Roman" w:eastAsia="Times New Roman" w:hAnsi="Times New Roman" w:cs="Times New Roman"/>
        </w:rPr>
        <w:t>3</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BB4A54">
        <w:rPr>
          <w:rStyle w:val="fontstyle01"/>
          <w:rFonts w:ascii="Times New Roman" w:hAnsi="Times New Roman" w:cs="Times New Roman"/>
        </w:rPr>
        <w:t xml:space="preserve">Oviawe J I, Uwameiye R, and Uddin P S O 2017 </w:t>
      </w:r>
      <w:r w:rsidR="00BB4A54" w:rsidRPr="00965C69">
        <w:rPr>
          <w:rStyle w:val="fontstyle01"/>
          <w:rFonts w:ascii="Times New Roman" w:hAnsi="Times New Roman" w:cs="Times New Roman"/>
          <w:sz w:val="22"/>
          <w:szCs w:val="22"/>
        </w:rPr>
        <w:t xml:space="preserve">Bridging skill gap to meet technical, </w:t>
      </w:r>
      <w:r>
        <w:rPr>
          <w:rStyle w:val="fontstyle01"/>
          <w:rFonts w:ascii="Times New Roman" w:hAnsi="Times New Roman" w:cs="Times New Roman"/>
          <w:sz w:val="22"/>
          <w:szCs w:val="22"/>
        </w:rPr>
        <w:tab/>
      </w:r>
      <w:r w:rsidR="00BB4A54" w:rsidRPr="00965C69">
        <w:rPr>
          <w:rStyle w:val="fontstyle01"/>
          <w:rFonts w:ascii="Times New Roman" w:hAnsi="Times New Roman" w:cs="Times New Roman"/>
          <w:sz w:val="22"/>
          <w:szCs w:val="22"/>
        </w:rPr>
        <w:t>vocational education and</w:t>
      </w:r>
      <w:r w:rsidR="00BB4A54" w:rsidRPr="00965C69">
        <w:rPr>
          <w:rFonts w:ascii="Times New Roman" w:hAnsi="Times New Roman" w:cs="Times New Roman"/>
          <w:color w:val="000000"/>
        </w:rPr>
        <w:t xml:space="preserve"> </w:t>
      </w:r>
      <w:r w:rsidR="00BB4A54" w:rsidRPr="00965C69">
        <w:rPr>
          <w:rStyle w:val="fontstyle01"/>
          <w:rFonts w:ascii="Times New Roman" w:hAnsi="Times New Roman" w:cs="Times New Roman"/>
          <w:sz w:val="22"/>
          <w:szCs w:val="22"/>
        </w:rPr>
        <w:t>training school-workplace col</w:t>
      </w:r>
      <w:r w:rsidR="00BB4A54">
        <w:rPr>
          <w:rStyle w:val="fontstyle01"/>
          <w:rFonts w:ascii="Times New Roman" w:hAnsi="Times New Roman" w:cs="Times New Roman"/>
        </w:rPr>
        <w:t xml:space="preserve">laboration in the 21st century </w:t>
      </w:r>
      <w:r>
        <w:rPr>
          <w:rStyle w:val="fontstyle01"/>
          <w:rFonts w:ascii="Times New Roman" w:hAnsi="Times New Roman" w:cs="Times New Roman"/>
        </w:rPr>
        <w:tab/>
      </w:r>
      <w:r w:rsidR="00BB4A54">
        <w:rPr>
          <w:rStyle w:val="fontstyle21"/>
          <w:rFonts w:ascii="Times New Roman" w:hAnsi="Times New Roman" w:cs="Times New Roman"/>
        </w:rPr>
        <w:t>International Journal of Vocational Education  and Training Researc</w:t>
      </w:r>
      <w:r w:rsidR="00BB4A54" w:rsidRPr="00E37381">
        <w:rPr>
          <w:rStyle w:val="fontstyle21"/>
          <w:rFonts w:ascii="Times New Roman" w:hAnsi="Times New Roman" w:cs="Times New Roman"/>
        </w:rPr>
        <w:t>h</w:t>
      </w:r>
      <w:r w:rsidR="00BB4A54" w:rsidRPr="00E37381">
        <w:rPr>
          <w:rStyle w:val="fontstyle01"/>
          <w:rFonts w:ascii="Times New Roman" w:hAnsi="Times New Roman" w:cs="Times New Roman"/>
        </w:rPr>
        <w:t xml:space="preserve"> 3</w:t>
      </w:r>
      <w:r w:rsidR="00BB4A54">
        <w:rPr>
          <w:rStyle w:val="fontstyle01"/>
          <w:rFonts w:ascii="Times New Roman" w:hAnsi="Times New Roman" w:cs="Times New Roman"/>
        </w:rPr>
        <w:t>(</w:t>
      </w:r>
      <w:r w:rsidR="00BB4A54" w:rsidRPr="00965C69">
        <w:rPr>
          <w:rStyle w:val="fontstyle31"/>
          <w:rFonts w:ascii="Times New Roman" w:hAnsi="Times New Roman" w:cs="Times New Roman"/>
          <w:sz w:val="22"/>
          <w:szCs w:val="22"/>
        </w:rPr>
        <w:t>1</w:t>
      </w:r>
      <w:r w:rsidR="00BB4A54">
        <w:rPr>
          <w:rStyle w:val="fontstyle31"/>
          <w:rFonts w:ascii="Times New Roman" w:hAnsi="Times New Roman" w:cs="Times New Roman"/>
          <w:sz w:val="22"/>
          <w:szCs w:val="22"/>
        </w:rPr>
        <w:t>)</w:t>
      </w:r>
      <w:r w:rsidR="00BB4A54" w:rsidRPr="00965C69">
        <w:rPr>
          <w:rFonts w:ascii="Times New Roman" w:hAnsi="Times New Roman" w:cs="Times New Roman"/>
          <w:color w:val="000000"/>
        </w:rPr>
        <w:t xml:space="preserve"> </w:t>
      </w:r>
      <w:r w:rsidR="00BB4A54">
        <w:rPr>
          <w:rFonts w:ascii="Times New Roman" w:hAnsi="Times New Roman" w:cs="Times New Roman"/>
          <w:color w:val="000000"/>
        </w:rPr>
        <w:t xml:space="preserve">pp </w:t>
      </w:r>
      <w:r w:rsidR="00BB4A54">
        <w:rPr>
          <w:rStyle w:val="fontstyle01"/>
          <w:rFonts w:ascii="Times New Roman" w:hAnsi="Times New Roman" w:cs="Times New Roman"/>
        </w:rPr>
        <w:t>7-14</w:t>
      </w:r>
      <w:r>
        <w:rPr>
          <w:rStyle w:val="fontstyle01"/>
          <w:rFonts w:ascii="Times New Roman" w:hAnsi="Times New Roman" w:cs="Times New Roman"/>
        </w:rPr>
        <w:tab/>
      </w:r>
      <w:hyperlink r:id="rId9" w:history="1">
        <w:r w:rsidR="00182A00" w:rsidRPr="0015522D">
          <w:rPr>
            <w:rStyle w:val="Hyperlink"/>
            <w:rFonts w:ascii="Times New Roman" w:eastAsia="Times New Roman" w:hAnsi="Times New Roman" w:cs="Times New Roman"/>
            <w:lang w:val="id-ID"/>
          </w:rPr>
          <w:t>https://doi.org/10.11648/j.ijvetr.20170301.12</w:t>
        </w:r>
      </w:hyperlink>
    </w:p>
    <w:p w:rsidR="00182A00" w:rsidRDefault="002C5AB2" w:rsidP="00182A00">
      <w:pPr>
        <w:pBdr>
          <w:between w:val="nil"/>
        </w:pBdr>
        <w:tabs>
          <w:tab w:val="left" w:pos="851"/>
        </w:tabs>
        <w:spacing w:after="0" w:line="240" w:lineRule="auto"/>
        <w:ind w:left="567" w:hanging="567"/>
        <w:jc w:val="both"/>
        <w:rPr>
          <w:rFonts w:ascii="Times New Roman" w:eastAsia="Times New Roman" w:hAnsi="Times New Roman" w:cs="Times New Roman"/>
        </w:rPr>
      </w:pPr>
      <w:r w:rsidRPr="00CF7EBD">
        <w:rPr>
          <w:rFonts w:ascii="Times New Roman" w:eastAsia="Times New Roman" w:hAnsi="Times New Roman" w:cs="Times New Roman"/>
        </w:rPr>
        <w:t>[</w:t>
      </w:r>
      <w:r>
        <w:rPr>
          <w:rFonts w:ascii="Times New Roman" w:eastAsia="Times New Roman" w:hAnsi="Times New Roman" w:cs="Times New Roman"/>
        </w:rPr>
        <w:t>4</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BB4A54">
        <w:rPr>
          <w:rFonts w:ascii="Times New Roman" w:eastAsia="Times New Roman" w:hAnsi="Times New Roman" w:cs="Times New Roman"/>
          <w:lang w:val="id-ID"/>
        </w:rPr>
        <w:t>Sugiyanto S, Setiawan A, Hamidah I 2020</w:t>
      </w:r>
      <w:r w:rsidR="00BB4A54" w:rsidRPr="00965C69">
        <w:rPr>
          <w:rFonts w:ascii="Times New Roman" w:eastAsia="Times New Roman" w:hAnsi="Times New Roman" w:cs="Times New Roman"/>
          <w:lang w:val="id-ID"/>
        </w:rPr>
        <w:t xml:space="preserve"> Integration of Mobile Learning and Project-Based </w:t>
      </w:r>
      <w:r>
        <w:rPr>
          <w:rFonts w:ascii="Times New Roman" w:eastAsia="Times New Roman" w:hAnsi="Times New Roman" w:cs="Times New Roman"/>
          <w:lang w:val="id-ID"/>
        </w:rPr>
        <w:tab/>
      </w:r>
      <w:r w:rsidR="00BB4A54" w:rsidRPr="00965C69">
        <w:rPr>
          <w:rFonts w:ascii="Times New Roman" w:eastAsia="Times New Roman" w:hAnsi="Times New Roman" w:cs="Times New Roman"/>
          <w:lang w:val="id-ID"/>
        </w:rPr>
        <w:t>Learning in Improvin</w:t>
      </w:r>
      <w:r w:rsidR="00BB4A54">
        <w:rPr>
          <w:rFonts w:ascii="Times New Roman" w:eastAsia="Times New Roman" w:hAnsi="Times New Roman" w:cs="Times New Roman"/>
          <w:lang w:val="id-ID"/>
        </w:rPr>
        <w:t xml:space="preserve">g Vocational School Competence </w:t>
      </w:r>
      <w:r w:rsidR="00BB4A54" w:rsidRPr="00965C69">
        <w:rPr>
          <w:rFonts w:ascii="Times New Roman" w:eastAsia="Times New Roman" w:hAnsi="Times New Roman" w:cs="Times New Roman"/>
          <w:i/>
          <w:iCs/>
          <w:lang w:val="id-ID"/>
        </w:rPr>
        <w:t xml:space="preserve">Journal of Technical Education and </w:t>
      </w:r>
      <w:r>
        <w:rPr>
          <w:rFonts w:ascii="Times New Roman" w:eastAsia="Times New Roman" w:hAnsi="Times New Roman" w:cs="Times New Roman"/>
          <w:i/>
          <w:iCs/>
          <w:lang w:val="id-ID"/>
        </w:rPr>
        <w:tab/>
      </w:r>
      <w:r w:rsidR="00BB4A54" w:rsidRPr="00965C69">
        <w:rPr>
          <w:rFonts w:ascii="Times New Roman" w:eastAsia="Times New Roman" w:hAnsi="Times New Roman" w:cs="Times New Roman"/>
          <w:i/>
          <w:iCs/>
          <w:lang w:val="id-ID"/>
        </w:rPr>
        <w:t>Training</w:t>
      </w:r>
      <w:r w:rsidR="00BB4A54">
        <w:rPr>
          <w:rFonts w:ascii="Times New Roman" w:eastAsia="Times New Roman" w:hAnsi="Times New Roman" w:cs="Times New Roman"/>
          <w:lang w:val="id-ID"/>
        </w:rPr>
        <w:t xml:space="preserve"> </w:t>
      </w:r>
      <w:r w:rsidR="00BB4A54" w:rsidRPr="00965C69">
        <w:rPr>
          <w:rFonts w:ascii="Times New Roman" w:eastAsia="Times New Roman" w:hAnsi="Times New Roman" w:cs="Times New Roman"/>
          <w:i/>
          <w:iCs/>
          <w:lang w:val="id-ID"/>
        </w:rPr>
        <w:t>12</w:t>
      </w:r>
      <w:r w:rsidR="00BB4A54">
        <w:rPr>
          <w:rFonts w:ascii="Times New Roman" w:eastAsia="Times New Roman" w:hAnsi="Times New Roman" w:cs="Times New Roman"/>
          <w:lang w:val="id-ID"/>
        </w:rPr>
        <w:t>(2)</w:t>
      </w:r>
      <w:r w:rsidR="00BB4A54" w:rsidRPr="00965C69">
        <w:rPr>
          <w:rFonts w:ascii="Times New Roman" w:eastAsia="Times New Roman" w:hAnsi="Times New Roman" w:cs="Times New Roman"/>
          <w:lang w:val="id-ID"/>
        </w:rPr>
        <w:t xml:space="preserve"> </w:t>
      </w:r>
      <w:r w:rsidR="00BB4A54">
        <w:rPr>
          <w:rFonts w:ascii="Times New Roman" w:eastAsia="Times New Roman" w:hAnsi="Times New Roman" w:cs="Times New Roman"/>
          <w:lang w:val="en-US"/>
        </w:rPr>
        <w:t xml:space="preserve">pp </w:t>
      </w:r>
      <w:r w:rsidR="00BB4A54">
        <w:rPr>
          <w:rFonts w:ascii="Times New Roman" w:eastAsia="Times New Roman" w:hAnsi="Times New Roman" w:cs="Times New Roman"/>
          <w:lang w:val="id-ID"/>
        </w:rPr>
        <w:t xml:space="preserve">55-68 </w:t>
      </w:r>
      <w:hyperlink r:id="rId10" w:history="1">
        <w:r w:rsidR="00182A00" w:rsidRPr="0015522D">
          <w:rPr>
            <w:rStyle w:val="Hyperlink"/>
            <w:rFonts w:ascii="Times New Roman" w:eastAsia="Times New Roman" w:hAnsi="Times New Roman" w:cs="Times New Roman"/>
            <w:lang w:val="id-ID"/>
          </w:rPr>
          <w:t>https://publisher.uthm.edu.my/ojs/index.php/JTET/article/view/5470</w:t>
        </w:r>
      </w:hyperlink>
    </w:p>
    <w:p w:rsidR="00BB4A54" w:rsidRDefault="002C5AB2" w:rsidP="00182A00">
      <w:pPr>
        <w:pBdr>
          <w:between w:val="nil"/>
        </w:pBdr>
        <w:tabs>
          <w:tab w:val="left" w:pos="851"/>
        </w:tabs>
        <w:spacing w:after="0" w:line="240" w:lineRule="auto"/>
        <w:ind w:left="567" w:hanging="567"/>
        <w:jc w:val="both"/>
        <w:rPr>
          <w:rFonts w:ascii="Times New Roman" w:eastAsia="Times New Roman" w:hAnsi="Times New Roman" w:cs="Times New Roman"/>
        </w:rPr>
      </w:pPr>
      <w:r w:rsidRPr="00CF7EBD">
        <w:rPr>
          <w:rFonts w:ascii="Times New Roman" w:eastAsia="Times New Roman" w:hAnsi="Times New Roman" w:cs="Times New Roman"/>
        </w:rPr>
        <w:t>[</w:t>
      </w:r>
      <w:r>
        <w:rPr>
          <w:rFonts w:ascii="Times New Roman" w:eastAsia="Times New Roman" w:hAnsi="Times New Roman" w:cs="Times New Roman"/>
        </w:rPr>
        <w:t>5</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BB4A54" w:rsidRPr="00965C69">
        <w:rPr>
          <w:rFonts w:ascii="Times New Roman" w:hAnsi="Times New Roman" w:cs="Times New Roman"/>
        </w:rPr>
        <w:t xml:space="preserve">Suroto and Hung N T 2018 Management of an Industry Standard Class in Vocational High </w:t>
      </w:r>
      <w:r>
        <w:rPr>
          <w:rFonts w:ascii="Times New Roman" w:hAnsi="Times New Roman" w:cs="Times New Roman"/>
        </w:rPr>
        <w:tab/>
      </w:r>
      <w:r w:rsidR="00BB4A54" w:rsidRPr="00965C69">
        <w:rPr>
          <w:rFonts w:ascii="Times New Roman" w:hAnsi="Times New Roman" w:cs="Times New Roman"/>
        </w:rPr>
        <w:t xml:space="preserve">Schools </w:t>
      </w:r>
      <w:r w:rsidR="00BB4A54" w:rsidRPr="00965C69">
        <w:rPr>
          <w:rFonts w:ascii="Times New Roman" w:hAnsi="Times New Roman" w:cs="Times New Roman"/>
          <w:i/>
        </w:rPr>
        <w:t>Jurnal Pendidikan Teknologi dan Kejuruan 24</w:t>
      </w:r>
      <w:r w:rsidR="00BB4A54" w:rsidRPr="00965C69">
        <w:rPr>
          <w:rFonts w:ascii="Times New Roman" w:hAnsi="Times New Roman" w:cs="Times New Roman"/>
        </w:rPr>
        <w:t xml:space="preserve">(1) p 46-51 </w:t>
      </w:r>
      <w:r>
        <w:rPr>
          <w:rFonts w:ascii="Times New Roman" w:hAnsi="Times New Roman" w:cs="Times New Roman"/>
        </w:rPr>
        <w:tab/>
      </w:r>
      <w:hyperlink r:id="rId11" w:history="1">
        <w:r w:rsidR="00BB4A54" w:rsidRPr="0015522D">
          <w:rPr>
            <w:rStyle w:val="Hyperlink"/>
            <w:rFonts w:ascii="Times New Roman" w:hAnsi="Times New Roman" w:cs="Times New Roman"/>
          </w:rPr>
          <w:t>https://doi.org/10.21831/jptk.v24i1.14710</w:t>
        </w:r>
      </w:hyperlink>
    </w:p>
    <w:p w:rsidR="00BB4A54"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rPr>
      </w:pPr>
      <w:r w:rsidRPr="00CF7EBD">
        <w:rPr>
          <w:rFonts w:ascii="Times New Roman" w:eastAsia="Times New Roman" w:hAnsi="Times New Roman" w:cs="Times New Roman"/>
        </w:rPr>
        <w:t>[</w:t>
      </w:r>
      <w:r>
        <w:rPr>
          <w:rFonts w:ascii="Times New Roman" w:eastAsia="Times New Roman" w:hAnsi="Times New Roman" w:cs="Times New Roman"/>
        </w:rPr>
        <w:t>6</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BB4A54" w:rsidRPr="00965C69">
        <w:rPr>
          <w:rFonts w:ascii="Times New Roman" w:hAnsi="Times New Roman" w:cs="Times New Roman"/>
        </w:rPr>
        <w:t xml:space="preserve">Daryono R W, Yolando A P, Jaedun A, and Hidayat N 2020 Competency of vocational schools </w:t>
      </w:r>
      <w:r>
        <w:rPr>
          <w:rFonts w:ascii="Times New Roman" w:hAnsi="Times New Roman" w:cs="Times New Roman"/>
        </w:rPr>
        <w:tab/>
      </w:r>
      <w:r w:rsidR="00BB4A54" w:rsidRPr="00965C69">
        <w:rPr>
          <w:rFonts w:ascii="Times New Roman" w:hAnsi="Times New Roman" w:cs="Times New Roman"/>
        </w:rPr>
        <w:t xml:space="preserve">required by construction industry in consultants’ supervisor </w:t>
      </w:r>
      <w:r w:rsidR="00BB4A54" w:rsidRPr="00965C69">
        <w:rPr>
          <w:rFonts w:ascii="Times New Roman" w:hAnsi="Times New Roman" w:cs="Times New Roman"/>
          <w:i/>
        </w:rPr>
        <w:t xml:space="preserve">Journal of Physics: Conference </w:t>
      </w:r>
      <w:r>
        <w:rPr>
          <w:rFonts w:ascii="Times New Roman" w:hAnsi="Times New Roman" w:cs="Times New Roman"/>
          <w:i/>
        </w:rPr>
        <w:tab/>
      </w:r>
      <w:r w:rsidR="00BB4A54" w:rsidRPr="00965C69">
        <w:rPr>
          <w:rFonts w:ascii="Times New Roman" w:hAnsi="Times New Roman" w:cs="Times New Roman"/>
          <w:i/>
        </w:rPr>
        <w:t xml:space="preserve">Series, </w:t>
      </w:r>
      <w:r w:rsidR="00BB4A54" w:rsidRPr="00965C69">
        <w:rPr>
          <w:rFonts w:ascii="Times New Roman" w:hAnsi="Times New Roman" w:cs="Times New Roman"/>
        </w:rPr>
        <w:t xml:space="preserve">1456 (012057) </w:t>
      </w:r>
      <w:hyperlink r:id="rId12" w:history="1">
        <w:r w:rsidR="00BB4A54" w:rsidRPr="0015522D">
          <w:rPr>
            <w:rStyle w:val="Hyperlink"/>
            <w:rFonts w:ascii="Times New Roman" w:hAnsi="Times New Roman" w:cs="Times New Roman"/>
          </w:rPr>
          <w:t>https://doi.org/10.1088/1742-6596/1456/1/012057</w:t>
        </w:r>
      </w:hyperlink>
    </w:p>
    <w:p w:rsidR="00BB4A54"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rPr>
      </w:pPr>
      <w:r w:rsidRPr="00CF7EBD">
        <w:rPr>
          <w:rFonts w:ascii="Times New Roman" w:eastAsia="Times New Roman" w:hAnsi="Times New Roman" w:cs="Times New Roman"/>
        </w:rPr>
        <w:t>[</w:t>
      </w:r>
      <w:r>
        <w:rPr>
          <w:rFonts w:ascii="Times New Roman" w:eastAsia="Times New Roman" w:hAnsi="Times New Roman" w:cs="Times New Roman"/>
        </w:rPr>
        <w:t>7</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BB4A54" w:rsidRPr="00965C69">
        <w:rPr>
          <w:rFonts w:ascii="Times New Roman" w:eastAsia="Times New Roman" w:hAnsi="Times New Roman" w:cs="Times New Roman"/>
          <w:color w:val="000000"/>
        </w:rPr>
        <w:t xml:space="preserve">Laguado R I, Florez E G, and Hernández F Y 2018 </w:t>
      </w:r>
      <w:r w:rsidR="00BB4A54" w:rsidRPr="00965C69">
        <w:rPr>
          <w:rFonts w:ascii="Times New Roman" w:hAnsi="Times New Roman" w:cs="Times New Roman"/>
        </w:rPr>
        <w:t xml:space="preserve">Motivation and performance of students of an </w:t>
      </w:r>
      <w:r>
        <w:rPr>
          <w:rFonts w:ascii="Times New Roman" w:hAnsi="Times New Roman" w:cs="Times New Roman"/>
        </w:rPr>
        <w:tab/>
      </w:r>
      <w:r w:rsidR="00BB4A54" w:rsidRPr="00965C69">
        <w:rPr>
          <w:rFonts w:ascii="Times New Roman" w:hAnsi="Times New Roman" w:cs="Times New Roman"/>
        </w:rPr>
        <w:t>engineering program in the realization of industrial practices</w:t>
      </w:r>
      <w:r>
        <w:rPr>
          <w:rFonts w:ascii="Times New Roman" w:hAnsi="Times New Roman" w:cs="Times New Roman"/>
          <w:i/>
        </w:rPr>
        <w:t xml:space="preserve">Journal of </w:t>
      </w:r>
      <w:r>
        <w:rPr>
          <w:rFonts w:ascii="Times New Roman" w:hAnsi="Times New Roman" w:cs="Times New Roman"/>
          <w:i/>
        </w:rPr>
        <w:tab/>
        <w:t>Physics:</w:t>
      </w:r>
      <w:r w:rsidR="00BB4A54" w:rsidRPr="00965C69">
        <w:rPr>
          <w:rFonts w:ascii="Times New Roman" w:hAnsi="Times New Roman" w:cs="Times New Roman"/>
          <w:i/>
        </w:rPr>
        <w:t xml:space="preserve">Conference </w:t>
      </w:r>
      <w:r>
        <w:rPr>
          <w:rFonts w:ascii="Times New Roman" w:hAnsi="Times New Roman" w:cs="Times New Roman"/>
          <w:i/>
        </w:rPr>
        <w:tab/>
      </w:r>
      <w:r w:rsidR="00BB4A54" w:rsidRPr="00965C69">
        <w:rPr>
          <w:rFonts w:ascii="Times New Roman" w:hAnsi="Times New Roman" w:cs="Times New Roman"/>
          <w:i/>
        </w:rPr>
        <w:t xml:space="preserve">Series, </w:t>
      </w:r>
      <w:r w:rsidR="00BB4A54" w:rsidRPr="00965C69">
        <w:rPr>
          <w:rFonts w:ascii="Times New Roman" w:hAnsi="Times New Roman" w:cs="Times New Roman"/>
        </w:rPr>
        <w:t xml:space="preserve">1126 (012043) </w:t>
      </w:r>
      <w:hyperlink r:id="rId13" w:history="1">
        <w:r w:rsidR="00BB4A54" w:rsidRPr="0015522D">
          <w:rPr>
            <w:rStyle w:val="Hyperlink"/>
            <w:rFonts w:ascii="Times New Roman" w:hAnsi="Times New Roman" w:cs="Times New Roman"/>
          </w:rPr>
          <w:t>https://doi.org/10.1088/1742-6596/1126/1/012043</w:t>
        </w:r>
      </w:hyperlink>
    </w:p>
    <w:p w:rsidR="00BB4A54"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rPr>
      </w:pPr>
      <w:r w:rsidRPr="00CF7EBD">
        <w:rPr>
          <w:rFonts w:ascii="Times New Roman" w:eastAsia="Times New Roman" w:hAnsi="Times New Roman" w:cs="Times New Roman"/>
        </w:rPr>
        <w:t>[</w:t>
      </w:r>
      <w:r>
        <w:rPr>
          <w:rFonts w:ascii="Times New Roman" w:eastAsia="Times New Roman" w:hAnsi="Times New Roman" w:cs="Times New Roman"/>
        </w:rPr>
        <w:t>8</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BB4A54" w:rsidRPr="00965C69">
        <w:rPr>
          <w:rFonts w:ascii="Times New Roman" w:hAnsi="Times New Roman" w:cs="Times New Roman"/>
        </w:rPr>
        <w:t>Fakhri A A and</w:t>
      </w:r>
      <w:r w:rsidR="00BB4A54" w:rsidRPr="00965C69">
        <w:rPr>
          <w:rFonts w:ascii="Times New Roman" w:hAnsi="Times New Roman" w:cs="Times New Roman"/>
          <w:lang w:val="id-ID"/>
        </w:rPr>
        <w:t xml:space="preserve"> </w:t>
      </w:r>
      <w:r w:rsidR="00BB4A54" w:rsidRPr="00965C69">
        <w:rPr>
          <w:rFonts w:ascii="Times New Roman" w:hAnsi="Times New Roman" w:cs="Times New Roman"/>
        </w:rPr>
        <w:t>Munadi S 2019 The Evaluation of Industrial Internship for Vocational School</w:t>
      </w:r>
      <w:r>
        <w:rPr>
          <w:rFonts w:ascii="Times New Roman" w:hAnsi="Times New Roman" w:cs="Times New Roman"/>
        </w:rPr>
        <w:tab/>
        <w:t xml:space="preserve"> </w:t>
      </w:r>
      <w:r w:rsidR="00BB4A54" w:rsidRPr="00965C69">
        <w:rPr>
          <w:rFonts w:ascii="Times New Roman" w:hAnsi="Times New Roman" w:cs="Times New Roman"/>
        </w:rPr>
        <w:t xml:space="preserve">of Mechanical Engineering in Tegal </w:t>
      </w:r>
      <w:r w:rsidR="00BB4A54" w:rsidRPr="00965C69">
        <w:rPr>
          <w:rFonts w:ascii="Times New Roman" w:hAnsi="Times New Roman" w:cs="Times New Roman"/>
          <w:i/>
        </w:rPr>
        <w:t xml:space="preserve">American Journal of Educational Research 7 </w:t>
      </w:r>
      <w:r w:rsidR="00BB4A54" w:rsidRPr="00965C69">
        <w:rPr>
          <w:rFonts w:ascii="Times New Roman" w:hAnsi="Times New Roman" w:cs="Times New Roman"/>
        </w:rPr>
        <w:t xml:space="preserve">(11) </w:t>
      </w:r>
      <w:r>
        <w:rPr>
          <w:rFonts w:ascii="Times New Roman" w:hAnsi="Times New Roman" w:cs="Times New Roman"/>
        </w:rPr>
        <w:tab/>
      </w:r>
      <w:hyperlink r:id="rId14" w:history="1">
        <w:r w:rsidR="00BB4A54" w:rsidRPr="0015522D">
          <w:rPr>
            <w:rStyle w:val="Hyperlink"/>
            <w:rFonts w:ascii="Times New Roman" w:hAnsi="Times New Roman" w:cs="Times New Roman"/>
          </w:rPr>
          <w:t>https://doi.org/10.12691/education-7-11-8</w:t>
        </w:r>
      </w:hyperlink>
    </w:p>
    <w:p w:rsidR="00BB4A54"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rPr>
      </w:pPr>
      <w:r w:rsidRPr="00CF7EBD">
        <w:rPr>
          <w:rFonts w:ascii="Times New Roman" w:eastAsia="Times New Roman" w:hAnsi="Times New Roman" w:cs="Times New Roman"/>
        </w:rPr>
        <w:t>[</w:t>
      </w:r>
      <w:r>
        <w:rPr>
          <w:rFonts w:ascii="Times New Roman" w:eastAsia="Times New Roman" w:hAnsi="Times New Roman" w:cs="Times New Roman"/>
        </w:rPr>
        <w:t>9</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BB4A54">
        <w:rPr>
          <w:rFonts w:ascii="Times New Roman" w:eastAsia="Times New Roman" w:hAnsi="Times New Roman" w:cs="Times New Roman"/>
          <w:lang w:val="id-ID"/>
        </w:rPr>
        <w:t xml:space="preserve">Ismail M E, Hashim S, Zakaria A F, Ariffin A, Amiruddin M H, Rahim M B, Razali N, Ismail I </w:t>
      </w:r>
      <w:r>
        <w:rPr>
          <w:rFonts w:ascii="Times New Roman" w:eastAsia="Times New Roman" w:hAnsi="Times New Roman" w:cs="Times New Roman"/>
          <w:lang w:val="id-ID"/>
        </w:rPr>
        <w:tab/>
      </w:r>
      <w:r w:rsidR="00BB4A54">
        <w:rPr>
          <w:rFonts w:ascii="Times New Roman" w:eastAsia="Times New Roman" w:hAnsi="Times New Roman" w:cs="Times New Roman"/>
          <w:lang w:val="id-ID"/>
        </w:rPr>
        <w:t>M, and Sa’adan N 2018</w:t>
      </w:r>
      <w:r w:rsidR="00BB4A54" w:rsidRPr="00965C69">
        <w:rPr>
          <w:rFonts w:ascii="Times New Roman" w:eastAsia="Times New Roman" w:hAnsi="Times New Roman" w:cs="Times New Roman"/>
          <w:lang w:val="id-ID"/>
        </w:rPr>
        <w:t xml:space="preserve"> Gender Analysis of Work Readiness Among Voc</w:t>
      </w:r>
      <w:r w:rsidR="00BB4A54">
        <w:rPr>
          <w:rFonts w:ascii="Times New Roman" w:eastAsia="Times New Roman" w:hAnsi="Times New Roman" w:cs="Times New Roman"/>
          <w:lang w:val="id-ID"/>
        </w:rPr>
        <w:t xml:space="preserve">ational Students: A </w:t>
      </w:r>
      <w:r>
        <w:rPr>
          <w:rFonts w:ascii="Times New Roman" w:eastAsia="Times New Roman" w:hAnsi="Times New Roman" w:cs="Times New Roman"/>
          <w:lang w:val="id-ID"/>
        </w:rPr>
        <w:tab/>
      </w:r>
      <w:r w:rsidR="00BB4A54">
        <w:rPr>
          <w:rFonts w:ascii="Times New Roman" w:eastAsia="Times New Roman" w:hAnsi="Times New Roman" w:cs="Times New Roman"/>
          <w:lang w:val="id-ID"/>
        </w:rPr>
        <w:t xml:space="preserve">Case Study </w:t>
      </w:r>
      <w:r w:rsidR="00BB4A54" w:rsidRPr="00965C69">
        <w:rPr>
          <w:rFonts w:ascii="Times New Roman" w:eastAsia="Times New Roman" w:hAnsi="Times New Roman" w:cs="Times New Roman"/>
          <w:i/>
          <w:iCs/>
          <w:lang w:val="id-ID"/>
        </w:rPr>
        <w:t>Journal of Technical Education and Training</w:t>
      </w:r>
      <w:r w:rsidR="00BB4A54" w:rsidRPr="00965C69">
        <w:rPr>
          <w:rFonts w:ascii="Times New Roman" w:eastAsia="Times New Roman" w:hAnsi="Times New Roman" w:cs="Times New Roman"/>
          <w:lang w:val="id-ID"/>
        </w:rPr>
        <w:t> </w:t>
      </w:r>
      <w:r w:rsidR="00BB4A54" w:rsidRPr="00965C69">
        <w:rPr>
          <w:rFonts w:ascii="Times New Roman" w:eastAsia="Times New Roman" w:hAnsi="Times New Roman" w:cs="Times New Roman"/>
          <w:i/>
          <w:iCs/>
          <w:lang w:val="id-ID"/>
        </w:rPr>
        <w:t>12</w:t>
      </w:r>
      <w:r w:rsidR="00BB4A54">
        <w:rPr>
          <w:rFonts w:ascii="Times New Roman" w:eastAsia="Times New Roman" w:hAnsi="Times New Roman" w:cs="Times New Roman"/>
          <w:lang w:val="id-ID"/>
        </w:rPr>
        <w:t xml:space="preserve">(1) </w:t>
      </w:r>
      <w:r>
        <w:rPr>
          <w:rFonts w:ascii="Times New Roman" w:eastAsia="Times New Roman" w:hAnsi="Times New Roman" w:cs="Times New Roman"/>
          <w:lang w:val="id-ID"/>
        </w:rPr>
        <w:tab/>
      </w:r>
      <w:hyperlink r:id="rId15" w:history="1">
        <w:r w:rsidR="00BB4A54" w:rsidRPr="0015522D">
          <w:rPr>
            <w:rStyle w:val="Hyperlink"/>
            <w:rFonts w:ascii="Times New Roman" w:eastAsia="Times New Roman" w:hAnsi="Times New Roman" w:cs="Times New Roman"/>
            <w:lang w:val="id-ID"/>
          </w:rPr>
          <w:t>https://publisher.uthm.edu.my/ojs/index.php/JTET/article/view/3106</w:t>
        </w:r>
      </w:hyperlink>
    </w:p>
    <w:p w:rsidR="00BB4A54"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rPr>
      </w:pPr>
      <w:r w:rsidRPr="00CF7EBD">
        <w:rPr>
          <w:rFonts w:ascii="Times New Roman" w:eastAsia="Times New Roman" w:hAnsi="Times New Roman" w:cs="Times New Roman"/>
        </w:rPr>
        <w:t>[</w:t>
      </w:r>
      <w:r>
        <w:rPr>
          <w:rFonts w:ascii="Times New Roman" w:eastAsia="Times New Roman" w:hAnsi="Times New Roman" w:cs="Times New Roman"/>
        </w:rPr>
        <w:t>10</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BB4A54" w:rsidRPr="00965C69">
        <w:rPr>
          <w:rFonts w:ascii="Times New Roman" w:hAnsi="Times New Roman" w:cs="Times New Roman"/>
        </w:rPr>
        <w:t xml:space="preserve">Sudjimat D A and Permadi L C 2019 Effect of Work-Based Learning Model on Students’ </w:t>
      </w:r>
      <w:r>
        <w:rPr>
          <w:rFonts w:ascii="Times New Roman" w:hAnsi="Times New Roman" w:cs="Times New Roman"/>
        </w:rPr>
        <w:tab/>
      </w:r>
      <w:r w:rsidR="00BB4A54" w:rsidRPr="00965C69">
        <w:rPr>
          <w:rFonts w:ascii="Times New Roman" w:hAnsi="Times New Roman" w:cs="Times New Roman"/>
        </w:rPr>
        <w:t xml:space="preserve">Achievement Motivation </w:t>
      </w:r>
      <w:r w:rsidR="00BB4A54" w:rsidRPr="00965C69">
        <w:rPr>
          <w:rFonts w:ascii="Times New Roman" w:hAnsi="Times New Roman" w:cs="Times New Roman"/>
          <w:i/>
        </w:rPr>
        <w:t>Jurnal Pendidikan Teknologi dan Kejuruan 25</w:t>
      </w:r>
      <w:r w:rsidR="00BB4A54" w:rsidRPr="00965C69">
        <w:rPr>
          <w:rFonts w:ascii="Times New Roman" w:hAnsi="Times New Roman" w:cs="Times New Roman"/>
        </w:rPr>
        <w:t xml:space="preserve">(2) p 204-212 </w:t>
      </w:r>
      <w:r>
        <w:rPr>
          <w:rFonts w:ascii="Times New Roman" w:hAnsi="Times New Roman" w:cs="Times New Roman"/>
        </w:rPr>
        <w:tab/>
      </w:r>
      <w:hyperlink r:id="rId16" w:history="1">
        <w:r w:rsidR="00BB4A54" w:rsidRPr="0015522D">
          <w:rPr>
            <w:rStyle w:val="Hyperlink"/>
            <w:rFonts w:ascii="Times New Roman" w:hAnsi="Times New Roman" w:cs="Times New Roman"/>
          </w:rPr>
          <w:t>https://doi.org/:10.21831/jptk.v25i2.24416</w:t>
        </w:r>
      </w:hyperlink>
    </w:p>
    <w:p w:rsidR="00BB4A54"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rPr>
      </w:pPr>
      <w:r w:rsidRPr="00CF7EBD">
        <w:rPr>
          <w:rFonts w:ascii="Times New Roman" w:eastAsia="Times New Roman" w:hAnsi="Times New Roman" w:cs="Times New Roman"/>
        </w:rPr>
        <w:t>[</w:t>
      </w:r>
      <w:r>
        <w:rPr>
          <w:rFonts w:ascii="Times New Roman" w:eastAsia="Times New Roman" w:hAnsi="Times New Roman" w:cs="Times New Roman"/>
        </w:rPr>
        <w:t>11</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BB4A54" w:rsidRPr="00965C69">
        <w:rPr>
          <w:rFonts w:ascii="Times New Roman" w:hAnsi="Times New Roman" w:cs="Times New Roman"/>
        </w:rPr>
        <w:t>Diwangkoro E and</w:t>
      </w:r>
      <w:r w:rsidR="00BB4A54" w:rsidRPr="00965C69">
        <w:rPr>
          <w:rFonts w:ascii="Times New Roman" w:hAnsi="Times New Roman" w:cs="Times New Roman"/>
          <w:lang w:val="id-ID"/>
        </w:rPr>
        <w:t xml:space="preserve"> </w:t>
      </w:r>
      <w:r w:rsidR="00BB4A54" w:rsidRPr="00965C69">
        <w:rPr>
          <w:rFonts w:ascii="Times New Roman" w:hAnsi="Times New Roman" w:cs="Times New Roman"/>
        </w:rPr>
        <w:t xml:space="preserve">Soenarto 2020 Development of teaching factory learning models in </w:t>
      </w:r>
      <w:r w:rsidR="00BB4A54" w:rsidRPr="00965C69">
        <w:rPr>
          <w:rFonts w:ascii="Times New Roman" w:hAnsi="Times New Roman" w:cs="Times New Roman"/>
        </w:rPr>
        <w:tab/>
        <w:t xml:space="preserve">vocational schools </w:t>
      </w:r>
      <w:r w:rsidR="00BB4A54" w:rsidRPr="00965C69">
        <w:rPr>
          <w:rFonts w:ascii="Times New Roman" w:hAnsi="Times New Roman" w:cs="Times New Roman"/>
          <w:i/>
        </w:rPr>
        <w:t xml:space="preserve">ICTVT 2019 Journal of Physics: Conference Series, IOP Publishing, </w:t>
      </w:r>
      <w:r w:rsidR="00BB4A54" w:rsidRPr="00965C69">
        <w:rPr>
          <w:rFonts w:ascii="Times New Roman" w:hAnsi="Times New Roman" w:cs="Times New Roman"/>
          <w:i/>
        </w:rPr>
        <w:tab/>
        <w:t xml:space="preserve">1456 </w:t>
      </w:r>
      <w:r w:rsidR="00BB4A54" w:rsidRPr="00965C69">
        <w:rPr>
          <w:rFonts w:ascii="Times New Roman" w:hAnsi="Times New Roman" w:cs="Times New Roman"/>
        </w:rPr>
        <w:t xml:space="preserve">(012046) </w:t>
      </w:r>
      <w:hyperlink r:id="rId17" w:history="1">
        <w:r w:rsidR="00BB4A54" w:rsidRPr="0015522D">
          <w:rPr>
            <w:rStyle w:val="Hyperlink"/>
            <w:rFonts w:ascii="Times New Roman" w:hAnsi="Times New Roman" w:cs="Times New Roman"/>
          </w:rPr>
          <w:t>https://doi.org/10.1088/1742-6596/1456/1/012046</w:t>
        </w:r>
      </w:hyperlink>
    </w:p>
    <w:p w:rsidR="00BB4A54"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rPr>
      </w:pPr>
      <w:r w:rsidRPr="00CF7EBD">
        <w:rPr>
          <w:rFonts w:ascii="Times New Roman" w:eastAsia="Times New Roman" w:hAnsi="Times New Roman" w:cs="Times New Roman"/>
        </w:rPr>
        <w:t>[</w:t>
      </w:r>
      <w:r>
        <w:rPr>
          <w:rFonts w:ascii="Times New Roman" w:eastAsia="Times New Roman" w:hAnsi="Times New Roman" w:cs="Times New Roman"/>
        </w:rPr>
        <w:t>12</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BB4A54" w:rsidRPr="00965C69">
        <w:rPr>
          <w:rFonts w:ascii="Times New Roman" w:hAnsi="Times New Roman" w:cs="Times New Roman"/>
        </w:rPr>
        <w:t xml:space="preserve">Indiana L and Soenarto 2019 Vocational Career Center as the Bridge Between Industry and </w:t>
      </w:r>
      <w:r>
        <w:rPr>
          <w:rFonts w:ascii="Times New Roman" w:hAnsi="Times New Roman" w:cs="Times New Roman"/>
        </w:rPr>
        <w:tab/>
      </w:r>
      <w:r w:rsidR="00BB4A54" w:rsidRPr="00965C69">
        <w:rPr>
          <w:rFonts w:ascii="Times New Roman" w:hAnsi="Times New Roman" w:cs="Times New Roman"/>
        </w:rPr>
        <w:t xml:space="preserve">Vocational High School Graduates </w:t>
      </w:r>
      <w:r w:rsidR="00BB4A54" w:rsidRPr="00965C69">
        <w:rPr>
          <w:rFonts w:ascii="Times New Roman" w:hAnsi="Times New Roman" w:cs="Times New Roman"/>
          <w:i/>
        </w:rPr>
        <w:t>Jurnal Pendidikan Teknologi dan Kejuruan 25</w:t>
      </w:r>
      <w:r w:rsidR="00BB4A54" w:rsidRPr="00965C69">
        <w:rPr>
          <w:rFonts w:ascii="Times New Roman" w:hAnsi="Times New Roman" w:cs="Times New Roman"/>
        </w:rPr>
        <w:t xml:space="preserve">(2) </w:t>
      </w:r>
      <w:r>
        <w:rPr>
          <w:rFonts w:ascii="Times New Roman" w:hAnsi="Times New Roman" w:cs="Times New Roman"/>
        </w:rPr>
        <w:tab/>
      </w:r>
      <w:r>
        <w:rPr>
          <w:rFonts w:ascii="Times New Roman" w:hAnsi="Times New Roman" w:cs="Times New Roman"/>
        </w:rPr>
        <w:tab/>
      </w:r>
      <w:r w:rsidR="00BB4A54" w:rsidRPr="00965C69">
        <w:rPr>
          <w:rFonts w:ascii="Times New Roman" w:hAnsi="Times New Roman" w:cs="Times New Roman"/>
        </w:rPr>
        <w:t xml:space="preserve">p 219-228 </w:t>
      </w:r>
      <w:hyperlink r:id="rId18" w:history="1">
        <w:r w:rsidR="00BB4A54" w:rsidRPr="0015522D">
          <w:rPr>
            <w:rStyle w:val="Hyperlink"/>
            <w:rFonts w:ascii="Times New Roman" w:hAnsi="Times New Roman" w:cs="Times New Roman"/>
          </w:rPr>
          <w:t>https://doi.org/10.21831/jptk.v25i2.19817</w:t>
        </w:r>
      </w:hyperlink>
    </w:p>
    <w:p w:rsidR="00BB4A54"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rPr>
      </w:pPr>
      <w:r w:rsidRPr="00CF7EBD">
        <w:rPr>
          <w:rFonts w:ascii="Times New Roman" w:eastAsia="Times New Roman" w:hAnsi="Times New Roman" w:cs="Times New Roman"/>
        </w:rPr>
        <w:t>[</w:t>
      </w:r>
      <w:r>
        <w:rPr>
          <w:rFonts w:ascii="Times New Roman" w:eastAsia="Times New Roman" w:hAnsi="Times New Roman" w:cs="Times New Roman"/>
        </w:rPr>
        <w:t>13</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BB4A54">
        <w:rPr>
          <w:rFonts w:ascii="Times New Roman" w:eastAsia="Times New Roman" w:hAnsi="Times New Roman" w:cs="Times New Roman"/>
          <w:lang w:val="id-ID"/>
        </w:rPr>
        <w:t>Ismail A A and Hassan R 2019</w:t>
      </w:r>
      <w:r w:rsidR="00BB4A54" w:rsidRPr="00965C69">
        <w:rPr>
          <w:rFonts w:ascii="Times New Roman" w:eastAsia="Times New Roman" w:hAnsi="Times New Roman" w:cs="Times New Roman"/>
          <w:lang w:val="id-ID"/>
        </w:rPr>
        <w:t xml:space="preserve"> Technical Competencies in Digital Technology To</w:t>
      </w:r>
      <w:r w:rsidR="00BB4A54">
        <w:rPr>
          <w:rFonts w:ascii="Times New Roman" w:eastAsia="Times New Roman" w:hAnsi="Times New Roman" w:cs="Times New Roman"/>
          <w:lang w:val="id-ID"/>
        </w:rPr>
        <w:t xml:space="preserve">wards </w:t>
      </w:r>
      <w:r>
        <w:rPr>
          <w:rFonts w:ascii="Times New Roman" w:eastAsia="Times New Roman" w:hAnsi="Times New Roman" w:cs="Times New Roman"/>
          <w:lang w:val="id-ID"/>
        </w:rPr>
        <w:tab/>
      </w:r>
      <w:r w:rsidR="00BB4A54">
        <w:rPr>
          <w:rFonts w:ascii="Times New Roman" w:eastAsia="Times New Roman" w:hAnsi="Times New Roman" w:cs="Times New Roman"/>
          <w:lang w:val="id-ID"/>
        </w:rPr>
        <w:t>Industrial Revolution 4.0</w:t>
      </w:r>
      <w:r w:rsidR="00BB4A54" w:rsidRPr="00965C69">
        <w:rPr>
          <w:rFonts w:ascii="Times New Roman" w:eastAsia="Times New Roman" w:hAnsi="Times New Roman" w:cs="Times New Roman"/>
          <w:lang w:val="id-ID"/>
        </w:rPr>
        <w:t> </w:t>
      </w:r>
      <w:r w:rsidR="00BB4A54" w:rsidRPr="00965C69">
        <w:rPr>
          <w:rFonts w:ascii="Times New Roman" w:eastAsia="Times New Roman" w:hAnsi="Times New Roman" w:cs="Times New Roman"/>
          <w:i/>
          <w:iCs/>
          <w:lang w:val="id-ID"/>
        </w:rPr>
        <w:t>Journal of Technical Education and Training</w:t>
      </w:r>
      <w:r w:rsidR="00BB4A54" w:rsidRPr="00965C69">
        <w:rPr>
          <w:rFonts w:ascii="Times New Roman" w:eastAsia="Times New Roman" w:hAnsi="Times New Roman" w:cs="Times New Roman"/>
          <w:lang w:val="id-ID"/>
        </w:rPr>
        <w:t> </w:t>
      </w:r>
      <w:r w:rsidR="00BB4A54" w:rsidRPr="00965C69">
        <w:rPr>
          <w:rFonts w:ascii="Times New Roman" w:eastAsia="Times New Roman" w:hAnsi="Times New Roman" w:cs="Times New Roman"/>
          <w:i/>
          <w:iCs/>
          <w:lang w:val="id-ID"/>
        </w:rPr>
        <w:t>11</w:t>
      </w:r>
      <w:r w:rsidR="00BB4A54">
        <w:rPr>
          <w:rFonts w:ascii="Times New Roman" w:eastAsia="Times New Roman" w:hAnsi="Times New Roman" w:cs="Times New Roman"/>
          <w:lang w:val="id-ID"/>
        </w:rPr>
        <w:t>(3)</w:t>
      </w:r>
      <w:r w:rsidR="00BB4A54" w:rsidRPr="00965C69">
        <w:rPr>
          <w:rFonts w:ascii="Times New Roman" w:eastAsia="Times New Roman" w:hAnsi="Times New Roman" w:cs="Times New Roman"/>
          <w:lang w:val="id-ID"/>
        </w:rPr>
        <w:t xml:space="preserve"> </w:t>
      </w:r>
      <w:r>
        <w:rPr>
          <w:rFonts w:ascii="Times New Roman" w:eastAsia="Times New Roman" w:hAnsi="Times New Roman" w:cs="Times New Roman"/>
          <w:lang w:val="id-ID"/>
        </w:rPr>
        <w:tab/>
      </w:r>
      <w:hyperlink r:id="rId19" w:history="1">
        <w:r w:rsidR="00BB4A54" w:rsidRPr="0015522D">
          <w:rPr>
            <w:rStyle w:val="Hyperlink"/>
            <w:rFonts w:ascii="Times New Roman" w:eastAsia="Times New Roman" w:hAnsi="Times New Roman" w:cs="Times New Roman"/>
            <w:lang w:val="id-ID"/>
          </w:rPr>
          <w:t>https://publisher.uthm.edu.my/ojs/index.php/JTET/article/view/3208</w:t>
        </w:r>
      </w:hyperlink>
    </w:p>
    <w:p w:rsidR="00BB4A54"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rPr>
      </w:pPr>
      <w:r w:rsidRPr="00CF7EBD">
        <w:rPr>
          <w:rFonts w:ascii="Times New Roman" w:eastAsia="Times New Roman" w:hAnsi="Times New Roman" w:cs="Times New Roman"/>
        </w:rPr>
        <w:t>[</w:t>
      </w:r>
      <w:r>
        <w:rPr>
          <w:rFonts w:ascii="Times New Roman" w:eastAsia="Times New Roman" w:hAnsi="Times New Roman" w:cs="Times New Roman"/>
        </w:rPr>
        <w:t>14</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BB4A54">
        <w:rPr>
          <w:rFonts w:ascii="Times New Roman" w:hAnsi="Times New Roman" w:cs="Times New Roman"/>
          <w:shd w:val="clear" w:color="auto" w:fill="FFFFFF"/>
        </w:rPr>
        <w:t>Friadi J 2020 Needs Analysis of Development o</w:t>
      </w:r>
      <w:r w:rsidR="00BB4A54" w:rsidRPr="00965C69">
        <w:rPr>
          <w:rFonts w:ascii="Times New Roman" w:hAnsi="Times New Roman" w:cs="Times New Roman"/>
          <w:shd w:val="clear" w:color="auto" w:fill="FFFFFF"/>
        </w:rPr>
        <w:t xml:space="preserve">f Product-Based Learning Models </w:t>
      </w:r>
      <w:r w:rsidR="00BB4A54">
        <w:rPr>
          <w:rFonts w:ascii="Times New Roman" w:hAnsi="Times New Roman" w:cs="Times New Roman"/>
          <w:shd w:val="clear" w:color="auto" w:fill="FFFFFF"/>
        </w:rPr>
        <w:t xml:space="preserve">With Teaching </w:t>
      </w:r>
      <w:r>
        <w:rPr>
          <w:rFonts w:ascii="Times New Roman" w:hAnsi="Times New Roman" w:cs="Times New Roman"/>
          <w:shd w:val="clear" w:color="auto" w:fill="FFFFFF"/>
        </w:rPr>
        <w:tab/>
      </w:r>
      <w:r w:rsidR="00BB4A54">
        <w:rPr>
          <w:rFonts w:ascii="Times New Roman" w:hAnsi="Times New Roman" w:cs="Times New Roman"/>
          <w:shd w:val="clear" w:color="auto" w:fill="FFFFFF"/>
        </w:rPr>
        <w:t xml:space="preserve">Factory Approach </w:t>
      </w:r>
      <w:r w:rsidR="00BB4A54" w:rsidRPr="00965C69">
        <w:rPr>
          <w:rFonts w:ascii="Times New Roman" w:hAnsi="Times New Roman" w:cs="Times New Roman"/>
          <w:i/>
          <w:iCs/>
          <w:shd w:val="clear" w:color="auto" w:fill="FFFFFF"/>
        </w:rPr>
        <w:t>International Journal of Advanced Science and Technology</w:t>
      </w:r>
      <w:r w:rsidR="00BB4A54">
        <w:rPr>
          <w:rFonts w:ascii="Times New Roman" w:hAnsi="Times New Roman" w:cs="Times New Roman"/>
          <w:shd w:val="clear" w:color="auto" w:fill="FFFFFF"/>
        </w:rPr>
        <w:t xml:space="preserve"> </w:t>
      </w:r>
      <w:r w:rsidR="00BB4A54" w:rsidRPr="00965C69">
        <w:rPr>
          <w:rFonts w:ascii="Times New Roman" w:hAnsi="Times New Roman" w:cs="Times New Roman"/>
          <w:i/>
          <w:iCs/>
          <w:shd w:val="clear" w:color="auto" w:fill="FFFFFF"/>
        </w:rPr>
        <w:t>29</w:t>
      </w:r>
      <w:r w:rsidR="00BB4A54">
        <w:rPr>
          <w:rFonts w:ascii="Times New Roman" w:hAnsi="Times New Roman" w:cs="Times New Roman"/>
          <w:shd w:val="clear" w:color="auto" w:fill="FFFFFF"/>
        </w:rPr>
        <w:t xml:space="preserve">(7) </w:t>
      </w:r>
      <w:r>
        <w:rPr>
          <w:rFonts w:ascii="Times New Roman" w:hAnsi="Times New Roman" w:cs="Times New Roman"/>
          <w:shd w:val="clear" w:color="auto" w:fill="FFFFFF"/>
        </w:rPr>
        <w:tab/>
      </w:r>
      <w:r>
        <w:rPr>
          <w:rFonts w:ascii="Times New Roman" w:hAnsi="Times New Roman" w:cs="Times New Roman"/>
          <w:shd w:val="clear" w:color="auto" w:fill="FFFFFF"/>
        </w:rPr>
        <w:tab/>
        <w:t xml:space="preserve">pp </w:t>
      </w:r>
      <w:r w:rsidR="00BB4A54">
        <w:rPr>
          <w:rFonts w:ascii="Times New Roman" w:hAnsi="Times New Roman" w:cs="Times New Roman"/>
          <w:shd w:val="clear" w:color="auto" w:fill="FFFFFF"/>
        </w:rPr>
        <w:t xml:space="preserve">3030-3038 </w:t>
      </w:r>
      <w:hyperlink r:id="rId20" w:history="1">
        <w:r w:rsidR="00BB4A54" w:rsidRPr="0015522D">
          <w:rPr>
            <w:rStyle w:val="Hyperlink"/>
            <w:rFonts w:ascii="Times New Roman" w:hAnsi="Times New Roman" w:cs="Times New Roman"/>
            <w:shd w:val="clear" w:color="auto" w:fill="FFFFFF"/>
          </w:rPr>
          <w:t>http://sersc.org/journals/index.php/IJAST/article/view/18929</w:t>
        </w:r>
      </w:hyperlink>
    </w:p>
    <w:p w:rsidR="00BB4A54"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rPr>
      </w:pPr>
      <w:r w:rsidRPr="00CF7EBD">
        <w:rPr>
          <w:rFonts w:ascii="Times New Roman" w:eastAsia="Times New Roman" w:hAnsi="Times New Roman" w:cs="Times New Roman"/>
        </w:rPr>
        <w:t>[</w:t>
      </w:r>
      <w:r>
        <w:rPr>
          <w:rFonts w:ascii="Times New Roman" w:eastAsia="Times New Roman" w:hAnsi="Times New Roman" w:cs="Times New Roman"/>
        </w:rPr>
        <w:t>15</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BB4A54">
        <w:rPr>
          <w:rFonts w:ascii="Times New Roman" w:eastAsia="Times New Roman" w:hAnsi="Times New Roman" w:cs="Times New Roman"/>
          <w:lang w:val="id-ID"/>
        </w:rPr>
        <w:t xml:space="preserve">Cholik </w:t>
      </w:r>
      <w:r w:rsidR="00BB4A54">
        <w:rPr>
          <w:rFonts w:ascii="Times New Roman" w:eastAsia="Times New Roman" w:hAnsi="Times New Roman" w:cs="Times New Roman"/>
          <w:lang w:val="en-US"/>
        </w:rPr>
        <w:t xml:space="preserve">M </w:t>
      </w:r>
      <w:r w:rsidR="00BB4A54">
        <w:rPr>
          <w:rFonts w:ascii="Times New Roman" w:eastAsia="Times New Roman" w:hAnsi="Times New Roman" w:cs="Times New Roman"/>
          <w:lang w:val="id-ID"/>
        </w:rPr>
        <w:t xml:space="preserve">and Soeryanto 2020 </w:t>
      </w:r>
      <w:r w:rsidR="00BB4A54" w:rsidRPr="00965C69">
        <w:rPr>
          <w:rFonts w:ascii="Times New Roman" w:eastAsia="Times New Roman" w:hAnsi="Times New Roman" w:cs="Times New Roman"/>
          <w:lang w:val="id-ID"/>
        </w:rPr>
        <w:t xml:space="preserve">Model Teaching </w:t>
      </w:r>
      <w:r w:rsidR="00BB4A54">
        <w:rPr>
          <w:rFonts w:ascii="Times New Roman" w:eastAsia="Times New Roman" w:hAnsi="Times New Roman" w:cs="Times New Roman"/>
          <w:lang w:val="id-ID"/>
        </w:rPr>
        <w:t>Factory Based Local Advantages i</w:t>
      </w:r>
      <w:r w:rsidR="00BB4A54" w:rsidRPr="00965C69">
        <w:rPr>
          <w:rFonts w:ascii="Times New Roman" w:eastAsia="Times New Roman" w:hAnsi="Times New Roman" w:cs="Times New Roman"/>
          <w:lang w:val="id-ID"/>
        </w:rPr>
        <w:t xml:space="preserve">n </w:t>
      </w:r>
      <w:r>
        <w:rPr>
          <w:rFonts w:ascii="Times New Roman" w:eastAsia="Times New Roman" w:hAnsi="Times New Roman" w:cs="Times New Roman"/>
          <w:lang w:val="id-ID"/>
        </w:rPr>
        <w:tab/>
      </w:r>
      <w:r w:rsidR="00BB4A54">
        <w:rPr>
          <w:rFonts w:ascii="Times New Roman" w:eastAsia="Times New Roman" w:hAnsi="Times New Roman" w:cs="Times New Roman"/>
          <w:lang w:val="en-US"/>
        </w:rPr>
        <w:t>SMK</w:t>
      </w:r>
      <w:r w:rsidR="00BB4A54" w:rsidRPr="00965C69">
        <w:rPr>
          <w:rFonts w:ascii="Times New Roman" w:eastAsia="Times New Roman" w:hAnsi="Times New Roman" w:cs="Times New Roman"/>
          <w:lang w:val="id-ID"/>
        </w:rPr>
        <w:t> </w:t>
      </w:r>
      <w:r w:rsidR="00BB4A54" w:rsidRPr="00965C69">
        <w:rPr>
          <w:rFonts w:ascii="Times New Roman" w:eastAsia="Times New Roman" w:hAnsi="Times New Roman" w:cs="Times New Roman"/>
          <w:i/>
          <w:iCs/>
          <w:lang w:val="id-ID"/>
        </w:rPr>
        <w:t>International Journal of Advanced Science and Technology</w:t>
      </w:r>
      <w:r w:rsidR="00BB4A54">
        <w:rPr>
          <w:rFonts w:ascii="Times New Roman" w:eastAsia="Times New Roman" w:hAnsi="Times New Roman" w:cs="Times New Roman"/>
          <w:lang w:val="id-ID"/>
        </w:rPr>
        <w:t xml:space="preserve"> </w:t>
      </w:r>
      <w:r w:rsidR="00BB4A54" w:rsidRPr="00965C69">
        <w:rPr>
          <w:rFonts w:ascii="Times New Roman" w:eastAsia="Times New Roman" w:hAnsi="Times New Roman" w:cs="Times New Roman"/>
          <w:i/>
          <w:iCs/>
          <w:lang w:val="id-ID"/>
        </w:rPr>
        <w:t>29</w:t>
      </w:r>
      <w:r>
        <w:rPr>
          <w:rFonts w:ascii="Times New Roman" w:eastAsia="Times New Roman" w:hAnsi="Times New Roman" w:cs="Times New Roman"/>
          <w:lang w:val="id-ID"/>
        </w:rPr>
        <w:t xml:space="preserve">(05) </w:t>
      </w:r>
      <w:r>
        <w:rPr>
          <w:rFonts w:ascii="Times New Roman" w:eastAsia="Times New Roman" w:hAnsi="Times New Roman" w:cs="Times New Roman"/>
          <w:lang w:val="en-US"/>
        </w:rPr>
        <w:t xml:space="preserve">pp </w:t>
      </w:r>
      <w:r>
        <w:rPr>
          <w:rFonts w:ascii="Times New Roman" w:eastAsia="Times New Roman" w:hAnsi="Times New Roman" w:cs="Times New Roman"/>
          <w:lang w:val="id-ID"/>
        </w:rPr>
        <w:t>1279-</w:t>
      </w:r>
      <w:r w:rsidR="00BB4A54">
        <w:rPr>
          <w:rFonts w:ascii="Times New Roman" w:eastAsia="Times New Roman" w:hAnsi="Times New Roman" w:cs="Times New Roman"/>
          <w:lang w:val="id-ID"/>
        </w:rPr>
        <w:t xml:space="preserve">1286 </w:t>
      </w:r>
      <w:r>
        <w:rPr>
          <w:rFonts w:ascii="Times New Roman" w:eastAsia="Times New Roman" w:hAnsi="Times New Roman" w:cs="Times New Roman"/>
          <w:lang w:val="id-ID"/>
        </w:rPr>
        <w:tab/>
      </w:r>
      <w:hyperlink r:id="rId21" w:history="1">
        <w:r w:rsidR="00BB4A54" w:rsidRPr="0015522D">
          <w:rPr>
            <w:rStyle w:val="Hyperlink"/>
            <w:rFonts w:ascii="Times New Roman" w:eastAsia="Times New Roman" w:hAnsi="Times New Roman" w:cs="Times New Roman"/>
            <w:lang w:val="id-ID"/>
          </w:rPr>
          <w:t>http://sersc.org/journals/index.php/IJAST/article/view/9791</w:t>
        </w:r>
      </w:hyperlink>
    </w:p>
    <w:p w:rsidR="00BB4A54"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rPr>
      </w:pPr>
      <w:r w:rsidRPr="00CF7EBD">
        <w:rPr>
          <w:rFonts w:ascii="Times New Roman" w:eastAsia="Times New Roman" w:hAnsi="Times New Roman" w:cs="Times New Roman"/>
        </w:rPr>
        <w:lastRenderedPageBreak/>
        <w:t>[</w:t>
      </w:r>
      <w:r>
        <w:rPr>
          <w:rFonts w:ascii="Times New Roman" w:eastAsia="Times New Roman" w:hAnsi="Times New Roman" w:cs="Times New Roman"/>
        </w:rPr>
        <w:t>16</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BB4A54" w:rsidRPr="00965C69">
        <w:rPr>
          <w:rFonts w:ascii="Times New Roman" w:hAnsi="Times New Roman" w:cs="Times New Roman"/>
        </w:rPr>
        <w:t xml:space="preserve">Wibisono G, Wijanarka B S, and Theophile H 2020 The Link and Match Between the </w:t>
      </w:r>
      <w:r>
        <w:rPr>
          <w:rFonts w:ascii="Times New Roman" w:hAnsi="Times New Roman" w:cs="Times New Roman"/>
        </w:rPr>
        <w:tab/>
      </w:r>
      <w:r w:rsidR="00BB4A54" w:rsidRPr="00965C69">
        <w:rPr>
          <w:rFonts w:ascii="Times New Roman" w:hAnsi="Times New Roman" w:cs="Times New Roman"/>
        </w:rPr>
        <w:t xml:space="preserve">Competency of Vocational High Schools Graduates and The Industry on CAD/CAM and CNC </w:t>
      </w:r>
      <w:r>
        <w:rPr>
          <w:rFonts w:ascii="Times New Roman" w:hAnsi="Times New Roman" w:cs="Times New Roman"/>
        </w:rPr>
        <w:tab/>
      </w:r>
      <w:r w:rsidR="00BB4A54" w:rsidRPr="00965C69">
        <w:rPr>
          <w:rFonts w:ascii="Times New Roman" w:hAnsi="Times New Roman" w:cs="Times New Roman"/>
          <w:i/>
        </w:rPr>
        <w:t>Jurnal Pendidikan Teknologi dan Kejuruan 26</w:t>
      </w:r>
      <w:r w:rsidR="00BB4A54" w:rsidRPr="00965C69">
        <w:rPr>
          <w:rFonts w:ascii="Times New Roman" w:hAnsi="Times New Roman" w:cs="Times New Roman"/>
        </w:rPr>
        <w:t>(1) p</w:t>
      </w:r>
      <w:r>
        <w:rPr>
          <w:rFonts w:ascii="Times New Roman" w:hAnsi="Times New Roman" w:cs="Times New Roman"/>
        </w:rPr>
        <w:t>p</w:t>
      </w:r>
      <w:r w:rsidR="00BB4A54" w:rsidRPr="00965C69">
        <w:rPr>
          <w:rFonts w:ascii="Times New Roman" w:hAnsi="Times New Roman" w:cs="Times New Roman"/>
        </w:rPr>
        <w:t xml:space="preserve"> 26-334 </w:t>
      </w:r>
      <w:r>
        <w:rPr>
          <w:rFonts w:ascii="Times New Roman" w:hAnsi="Times New Roman" w:cs="Times New Roman"/>
        </w:rPr>
        <w:tab/>
      </w:r>
      <w:hyperlink r:id="rId22" w:history="1">
        <w:r w:rsidR="00BB4A54" w:rsidRPr="0015522D">
          <w:rPr>
            <w:rStyle w:val="Hyperlink"/>
            <w:rFonts w:ascii="Times New Roman" w:hAnsi="Times New Roman" w:cs="Times New Roman"/>
          </w:rPr>
          <w:t>https://doi.org/10.21831/jptk.v26i1.27932</w:t>
        </w:r>
      </w:hyperlink>
    </w:p>
    <w:p w:rsidR="00BB4A54"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rPr>
      </w:pPr>
      <w:r w:rsidRPr="00CF7EBD">
        <w:rPr>
          <w:rFonts w:ascii="Times New Roman" w:eastAsia="Times New Roman" w:hAnsi="Times New Roman" w:cs="Times New Roman"/>
        </w:rPr>
        <w:t>[</w:t>
      </w:r>
      <w:r>
        <w:rPr>
          <w:rFonts w:ascii="Times New Roman" w:eastAsia="Times New Roman" w:hAnsi="Times New Roman" w:cs="Times New Roman"/>
        </w:rPr>
        <w:t>17</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BB4A54" w:rsidRPr="00965C69">
        <w:rPr>
          <w:rFonts w:ascii="Times New Roman" w:hAnsi="Times New Roman" w:cs="Times New Roman"/>
        </w:rPr>
        <w:t xml:space="preserve">Sugiyono 2019 </w:t>
      </w:r>
      <w:r w:rsidR="00BB4A54" w:rsidRPr="00965C69">
        <w:rPr>
          <w:rFonts w:ascii="Times New Roman" w:hAnsi="Times New Roman" w:cs="Times New Roman"/>
          <w:i/>
        </w:rPr>
        <w:t>Metode Penelitian Kuantitatif, Kualitatif, dan R&amp;D</w:t>
      </w:r>
      <w:r w:rsidR="00BB4A54" w:rsidRPr="00965C69">
        <w:rPr>
          <w:rFonts w:ascii="Times New Roman" w:hAnsi="Times New Roman" w:cs="Times New Roman"/>
        </w:rPr>
        <w:t xml:space="preserve"> (Alfabeta: Bandung) </w:t>
      </w:r>
    </w:p>
    <w:p w:rsidR="00BB4A54" w:rsidRDefault="002C5AB2" w:rsidP="00BB4A54">
      <w:pPr>
        <w:pBdr>
          <w:between w:val="nil"/>
        </w:pBdr>
        <w:tabs>
          <w:tab w:val="left" w:pos="851"/>
        </w:tabs>
        <w:spacing w:after="0" w:line="240" w:lineRule="auto"/>
        <w:ind w:left="567" w:hanging="567"/>
        <w:jc w:val="both"/>
        <w:rPr>
          <w:rFonts w:ascii="Times New Roman" w:eastAsia="Times New Roman" w:hAnsi="Times New Roman" w:cs="Times New Roman"/>
        </w:rPr>
      </w:pPr>
      <w:r w:rsidRPr="00CF7EBD">
        <w:rPr>
          <w:rFonts w:ascii="Times New Roman" w:eastAsia="Times New Roman" w:hAnsi="Times New Roman" w:cs="Times New Roman"/>
        </w:rPr>
        <w:t>[</w:t>
      </w:r>
      <w:r>
        <w:rPr>
          <w:rFonts w:ascii="Times New Roman" w:eastAsia="Times New Roman" w:hAnsi="Times New Roman" w:cs="Times New Roman"/>
        </w:rPr>
        <w:t>18</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BB4A54" w:rsidRPr="00965C69">
        <w:rPr>
          <w:rFonts w:ascii="Times New Roman" w:hAnsi="Times New Roman" w:cs="Times New Roman"/>
        </w:rPr>
        <w:t xml:space="preserve">Rofiq Z, Prananda Y, and Syauqi K 2020 The influence of work knowledge and industrial practice </w:t>
      </w:r>
      <w:r>
        <w:rPr>
          <w:rFonts w:ascii="Times New Roman" w:hAnsi="Times New Roman" w:cs="Times New Roman"/>
        </w:rPr>
        <w:tab/>
      </w:r>
      <w:r w:rsidR="00BB4A54" w:rsidRPr="00965C69">
        <w:rPr>
          <w:rFonts w:ascii="Times New Roman" w:hAnsi="Times New Roman" w:cs="Times New Roman"/>
        </w:rPr>
        <w:t>experience to learning motivation</w:t>
      </w:r>
      <w:r w:rsidR="00BB4A54">
        <w:rPr>
          <w:rFonts w:ascii="Times New Roman" w:hAnsi="Times New Roman" w:cs="Times New Roman"/>
        </w:rPr>
        <w:t xml:space="preserve"> </w:t>
      </w:r>
      <w:r w:rsidR="00BB4A54" w:rsidRPr="00965C69">
        <w:rPr>
          <w:rFonts w:ascii="Times New Roman" w:hAnsi="Times New Roman" w:cs="Times New Roman"/>
          <w:i/>
        </w:rPr>
        <w:t xml:space="preserve">Journal of Physics: Conference Series, </w:t>
      </w:r>
      <w:r w:rsidR="00BB4A54" w:rsidRPr="00965C69">
        <w:rPr>
          <w:rFonts w:ascii="Times New Roman" w:hAnsi="Times New Roman" w:cs="Times New Roman"/>
        </w:rPr>
        <w:t xml:space="preserve">1446 (012020) </w:t>
      </w:r>
      <w:r>
        <w:rPr>
          <w:rFonts w:ascii="Times New Roman" w:hAnsi="Times New Roman" w:cs="Times New Roman"/>
        </w:rPr>
        <w:tab/>
      </w:r>
      <w:hyperlink r:id="rId23" w:history="1">
        <w:r w:rsidR="00BB4A54" w:rsidRPr="0015522D">
          <w:rPr>
            <w:rStyle w:val="Hyperlink"/>
            <w:rFonts w:ascii="Times New Roman" w:hAnsi="Times New Roman" w:cs="Times New Roman"/>
          </w:rPr>
          <w:t>https://doi.org/10.1088/1742-6596/1446/1/012020</w:t>
        </w:r>
      </w:hyperlink>
    </w:p>
    <w:p w:rsidR="00BB4A54" w:rsidRDefault="002C5AB2" w:rsidP="00BB4A54">
      <w:pPr>
        <w:pBdr>
          <w:between w:val="nil"/>
        </w:pBdr>
        <w:tabs>
          <w:tab w:val="left" w:pos="851"/>
        </w:tabs>
        <w:spacing w:after="0" w:line="240" w:lineRule="auto"/>
        <w:ind w:left="567" w:hanging="567"/>
        <w:jc w:val="both"/>
        <w:rPr>
          <w:rFonts w:ascii="Times New Roman" w:hAnsi="Times New Roman" w:cs="Times New Roman"/>
        </w:rPr>
      </w:pPr>
      <w:r w:rsidRPr="00CF7EBD">
        <w:rPr>
          <w:rFonts w:ascii="Times New Roman" w:eastAsia="Times New Roman" w:hAnsi="Times New Roman" w:cs="Times New Roman"/>
        </w:rPr>
        <w:t>[</w:t>
      </w:r>
      <w:r>
        <w:rPr>
          <w:rFonts w:ascii="Times New Roman" w:eastAsia="Times New Roman" w:hAnsi="Times New Roman" w:cs="Times New Roman"/>
        </w:rPr>
        <w:t>19</w:t>
      </w:r>
      <w:r w:rsidRPr="00CF7EBD">
        <w:rPr>
          <w:rFonts w:ascii="Times New Roman" w:eastAsia="Times New Roman" w:hAnsi="Times New Roman" w:cs="Times New Roman"/>
        </w:rPr>
        <w:t>]</w:t>
      </w:r>
      <w:r w:rsidRPr="00CF7EBD">
        <w:rPr>
          <w:rFonts w:ascii="Times New Roman" w:eastAsia="Times New Roman" w:hAnsi="Times New Roman" w:cs="Times New Roman"/>
        </w:rPr>
        <w:tab/>
      </w:r>
      <w:r w:rsidR="00BB4A54" w:rsidRPr="00965C69">
        <w:rPr>
          <w:rFonts w:ascii="Times New Roman" w:hAnsi="Times New Roman" w:cs="Times New Roman"/>
        </w:rPr>
        <w:t xml:space="preserve">Saputro A E and Sugiyono 2019 The Effects of Industrial Working Practices and Student </w:t>
      </w:r>
      <w:r>
        <w:rPr>
          <w:rFonts w:ascii="Times New Roman" w:hAnsi="Times New Roman" w:cs="Times New Roman"/>
        </w:rPr>
        <w:tab/>
      </w:r>
      <w:r w:rsidR="00BB4A54" w:rsidRPr="00965C69">
        <w:rPr>
          <w:rFonts w:ascii="Times New Roman" w:hAnsi="Times New Roman" w:cs="Times New Roman"/>
        </w:rPr>
        <w:t xml:space="preserve">Competencies on Work Readiness of Students in SMKN 1Sedayu </w:t>
      </w:r>
      <w:r w:rsidR="00BB4A54" w:rsidRPr="00965C69">
        <w:rPr>
          <w:rFonts w:ascii="Times New Roman" w:hAnsi="Times New Roman" w:cs="Times New Roman"/>
          <w:i/>
        </w:rPr>
        <w:t>Journal of Physics:</w:t>
      </w:r>
      <w:r>
        <w:rPr>
          <w:rFonts w:ascii="Times New Roman" w:hAnsi="Times New Roman" w:cs="Times New Roman"/>
          <w:i/>
        </w:rPr>
        <w:tab/>
      </w:r>
      <w:r>
        <w:rPr>
          <w:rFonts w:ascii="Times New Roman" w:hAnsi="Times New Roman" w:cs="Times New Roman"/>
          <w:i/>
        </w:rPr>
        <w:tab/>
      </w:r>
      <w:r w:rsidR="00BB4A54" w:rsidRPr="00965C69">
        <w:rPr>
          <w:rFonts w:ascii="Times New Roman" w:hAnsi="Times New Roman" w:cs="Times New Roman"/>
          <w:i/>
        </w:rPr>
        <w:t xml:space="preserve">Conference Series, </w:t>
      </w:r>
      <w:r w:rsidR="00BB4A54" w:rsidRPr="00965C69">
        <w:rPr>
          <w:rFonts w:ascii="Times New Roman" w:hAnsi="Times New Roman" w:cs="Times New Roman"/>
        </w:rPr>
        <w:t xml:space="preserve">1273 (012026) </w:t>
      </w:r>
      <w:hyperlink r:id="rId24" w:history="1">
        <w:r w:rsidR="00BB4A54" w:rsidRPr="0015522D">
          <w:rPr>
            <w:rStyle w:val="Hyperlink"/>
            <w:rFonts w:ascii="Times New Roman" w:hAnsi="Times New Roman" w:cs="Times New Roman"/>
          </w:rPr>
          <w:t>https://doi.org/10.1088/1742-6596/1273/1/012026</w:t>
        </w:r>
      </w:hyperlink>
    </w:p>
    <w:p w:rsidR="00BB4A54" w:rsidRPr="00BB4A54" w:rsidRDefault="00BB4A54" w:rsidP="00BB4A54">
      <w:pPr>
        <w:pBdr>
          <w:between w:val="nil"/>
        </w:pBdr>
        <w:tabs>
          <w:tab w:val="left" w:pos="851"/>
        </w:tabs>
        <w:spacing w:after="0" w:line="240" w:lineRule="auto"/>
        <w:ind w:left="567" w:hanging="567"/>
        <w:jc w:val="both"/>
        <w:rPr>
          <w:rFonts w:ascii="Times New Roman" w:eastAsia="Times New Roman" w:hAnsi="Times New Roman" w:cs="Times New Roman"/>
        </w:rPr>
      </w:pPr>
    </w:p>
    <w:p w:rsidR="00BB4A54" w:rsidRPr="00CF7EBD" w:rsidRDefault="00BB4A54" w:rsidP="00A96F29">
      <w:pPr>
        <w:pBdr>
          <w:between w:val="nil"/>
        </w:pBdr>
        <w:tabs>
          <w:tab w:val="left" w:pos="851"/>
        </w:tabs>
        <w:spacing w:after="0" w:line="240" w:lineRule="auto"/>
        <w:ind w:left="567" w:hanging="567"/>
        <w:jc w:val="both"/>
        <w:rPr>
          <w:rFonts w:ascii="Times New Roman" w:eastAsia="Times New Roman" w:hAnsi="Times New Roman" w:cs="Times New Roman"/>
        </w:rPr>
      </w:pPr>
    </w:p>
    <w:p w:rsidR="00245F85" w:rsidRPr="00CF7EBD" w:rsidRDefault="00245F85" w:rsidP="00245F85">
      <w:pPr>
        <w:tabs>
          <w:tab w:val="left" w:pos="851"/>
        </w:tabs>
        <w:spacing w:after="0" w:line="240" w:lineRule="auto"/>
        <w:ind w:left="567" w:hanging="567"/>
        <w:jc w:val="both"/>
        <w:rPr>
          <w:rFonts w:ascii="Times New Roman" w:hAnsi="Times New Roman" w:cs="Times New Roman"/>
          <w:iCs/>
        </w:rPr>
      </w:pPr>
    </w:p>
    <w:sectPr w:rsidR="00245F85" w:rsidRPr="00CF7EBD">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D16FB"/>
    <w:multiLevelType w:val="multilevel"/>
    <w:tmpl w:val="88C8F8D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8797110"/>
    <w:multiLevelType w:val="multilevel"/>
    <w:tmpl w:val="8E4A56DC"/>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CB4E06"/>
    <w:multiLevelType w:val="multilevel"/>
    <w:tmpl w:val="27D80E4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AFC"/>
    <w:rsid w:val="00007C90"/>
    <w:rsid w:val="00017735"/>
    <w:rsid w:val="000310F5"/>
    <w:rsid w:val="0006185C"/>
    <w:rsid w:val="000843D9"/>
    <w:rsid w:val="000939EA"/>
    <w:rsid w:val="000A6245"/>
    <w:rsid w:val="000A6AD9"/>
    <w:rsid w:val="000D0557"/>
    <w:rsid w:val="000D188B"/>
    <w:rsid w:val="000E2946"/>
    <w:rsid w:val="0012604E"/>
    <w:rsid w:val="001573EB"/>
    <w:rsid w:val="00182A00"/>
    <w:rsid w:val="00182C37"/>
    <w:rsid w:val="00190E87"/>
    <w:rsid w:val="00196C13"/>
    <w:rsid w:val="001D5FED"/>
    <w:rsid w:val="0020327C"/>
    <w:rsid w:val="0022599A"/>
    <w:rsid w:val="00237F85"/>
    <w:rsid w:val="002427EE"/>
    <w:rsid w:val="00245F85"/>
    <w:rsid w:val="002828FD"/>
    <w:rsid w:val="00283A5B"/>
    <w:rsid w:val="00292CF9"/>
    <w:rsid w:val="0029475E"/>
    <w:rsid w:val="002B0B74"/>
    <w:rsid w:val="002B44DA"/>
    <w:rsid w:val="002C0F10"/>
    <w:rsid w:val="002C5AB2"/>
    <w:rsid w:val="002D1071"/>
    <w:rsid w:val="003448DC"/>
    <w:rsid w:val="00356FE3"/>
    <w:rsid w:val="003829AE"/>
    <w:rsid w:val="0039364A"/>
    <w:rsid w:val="003C47E8"/>
    <w:rsid w:val="003D7160"/>
    <w:rsid w:val="003E7180"/>
    <w:rsid w:val="00403025"/>
    <w:rsid w:val="004033D6"/>
    <w:rsid w:val="004868EF"/>
    <w:rsid w:val="00494E93"/>
    <w:rsid w:val="00496488"/>
    <w:rsid w:val="004A3CBD"/>
    <w:rsid w:val="004B523C"/>
    <w:rsid w:val="004C3E11"/>
    <w:rsid w:val="004F1074"/>
    <w:rsid w:val="004F6797"/>
    <w:rsid w:val="005256A4"/>
    <w:rsid w:val="00527DDA"/>
    <w:rsid w:val="00534877"/>
    <w:rsid w:val="005927FF"/>
    <w:rsid w:val="005A26C9"/>
    <w:rsid w:val="005C0631"/>
    <w:rsid w:val="005C2814"/>
    <w:rsid w:val="005C2C2A"/>
    <w:rsid w:val="005F21D3"/>
    <w:rsid w:val="00607FD2"/>
    <w:rsid w:val="0062116E"/>
    <w:rsid w:val="006433AB"/>
    <w:rsid w:val="006519FD"/>
    <w:rsid w:val="00670DBD"/>
    <w:rsid w:val="00681441"/>
    <w:rsid w:val="006A01FF"/>
    <w:rsid w:val="006A4780"/>
    <w:rsid w:val="006B3216"/>
    <w:rsid w:val="006C5840"/>
    <w:rsid w:val="0070337D"/>
    <w:rsid w:val="007321EB"/>
    <w:rsid w:val="007508AD"/>
    <w:rsid w:val="007925F0"/>
    <w:rsid w:val="007A1DD1"/>
    <w:rsid w:val="007A5EDF"/>
    <w:rsid w:val="007A6C65"/>
    <w:rsid w:val="007A6EA0"/>
    <w:rsid w:val="007C4A31"/>
    <w:rsid w:val="007F56BF"/>
    <w:rsid w:val="008204D7"/>
    <w:rsid w:val="00831EFE"/>
    <w:rsid w:val="008329A8"/>
    <w:rsid w:val="0084059E"/>
    <w:rsid w:val="0084229D"/>
    <w:rsid w:val="008510A0"/>
    <w:rsid w:val="00866002"/>
    <w:rsid w:val="00872037"/>
    <w:rsid w:val="00880274"/>
    <w:rsid w:val="00880DDC"/>
    <w:rsid w:val="0089568D"/>
    <w:rsid w:val="00895D5D"/>
    <w:rsid w:val="008D0D2F"/>
    <w:rsid w:val="008E3263"/>
    <w:rsid w:val="00956B61"/>
    <w:rsid w:val="00971BF3"/>
    <w:rsid w:val="0097309C"/>
    <w:rsid w:val="009907C6"/>
    <w:rsid w:val="00991ABE"/>
    <w:rsid w:val="009B728C"/>
    <w:rsid w:val="009D68DD"/>
    <w:rsid w:val="009E1255"/>
    <w:rsid w:val="00A14F3B"/>
    <w:rsid w:val="00A23F39"/>
    <w:rsid w:val="00A707C5"/>
    <w:rsid w:val="00A77917"/>
    <w:rsid w:val="00A82962"/>
    <w:rsid w:val="00A852F1"/>
    <w:rsid w:val="00A85E1F"/>
    <w:rsid w:val="00A96F29"/>
    <w:rsid w:val="00AB7C66"/>
    <w:rsid w:val="00AE2A71"/>
    <w:rsid w:val="00B2206F"/>
    <w:rsid w:val="00B40CEB"/>
    <w:rsid w:val="00B47456"/>
    <w:rsid w:val="00B51C8C"/>
    <w:rsid w:val="00B64C1B"/>
    <w:rsid w:val="00B750F3"/>
    <w:rsid w:val="00B922EC"/>
    <w:rsid w:val="00BA764B"/>
    <w:rsid w:val="00BB4A54"/>
    <w:rsid w:val="00BF08D2"/>
    <w:rsid w:val="00C874C9"/>
    <w:rsid w:val="00CA10FB"/>
    <w:rsid w:val="00CC32D6"/>
    <w:rsid w:val="00CD2182"/>
    <w:rsid w:val="00CF7EBD"/>
    <w:rsid w:val="00D06C7F"/>
    <w:rsid w:val="00D161D0"/>
    <w:rsid w:val="00D25640"/>
    <w:rsid w:val="00D32FA4"/>
    <w:rsid w:val="00D3485E"/>
    <w:rsid w:val="00D801C6"/>
    <w:rsid w:val="00DD3A2F"/>
    <w:rsid w:val="00E01DD6"/>
    <w:rsid w:val="00E04B75"/>
    <w:rsid w:val="00E1666F"/>
    <w:rsid w:val="00E26AD7"/>
    <w:rsid w:val="00E31355"/>
    <w:rsid w:val="00E33887"/>
    <w:rsid w:val="00E34BC3"/>
    <w:rsid w:val="00E4024F"/>
    <w:rsid w:val="00E429AB"/>
    <w:rsid w:val="00E64468"/>
    <w:rsid w:val="00E73BBD"/>
    <w:rsid w:val="00E74FF6"/>
    <w:rsid w:val="00E94B51"/>
    <w:rsid w:val="00E96E82"/>
    <w:rsid w:val="00EA2D9B"/>
    <w:rsid w:val="00F13BDE"/>
    <w:rsid w:val="00F30254"/>
    <w:rsid w:val="00F31315"/>
    <w:rsid w:val="00F32F27"/>
    <w:rsid w:val="00F44140"/>
    <w:rsid w:val="00F601BB"/>
    <w:rsid w:val="00F66344"/>
    <w:rsid w:val="00F96756"/>
    <w:rsid w:val="00FB1F82"/>
    <w:rsid w:val="00FC328E"/>
    <w:rsid w:val="00FC34EF"/>
    <w:rsid w:val="00FC437D"/>
    <w:rsid w:val="00FD3D15"/>
    <w:rsid w:val="00FD4AFC"/>
    <w:rsid w:val="00FE0C60"/>
    <w:rsid w:val="00FF5EB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4F8F"/>
  <w15:docId w15:val="{23454AB9-8549-44F9-BE0F-FCDD816A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
    <w:basedOn w:val="Normal"/>
    <w:link w:val="ListParagraphChar"/>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 w:type="table" w:styleId="TableGrid">
    <w:name w:val="Table Grid"/>
    <w:basedOn w:val="TableNormal"/>
    <w:uiPriority w:val="39"/>
    <w:rsid w:val="002D1071"/>
    <w:pPr>
      <w:spacing w:after="0" w:line="240" w:lineRule="auto"/>
    </w:pPr>
    <w:rPr>
      <w:rFonts w:asciiTheme="minorHAnsi" w:eastAsiaTheme="minorHAnsi" w:hAnsiTheme="minorHAnsi" w:cstheme="minorBid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PIREFERENCES">
    <w:name w:val="HEPI_REFERENCES"/>
    <w:basedOn w:val="Normal"/>
    <w:rsid w:val="00D06C7F"/>
    <w:pPr>
      <w:spacing w:after="120" w:line="240" w:lineRule="auto"/>
      <w:ind w:left="567" w:hanging="567"/>
    </w:pPr>
    <w:rPr>
      <w:rFonts w:ascii="Garamond" w:hAnsi="Garamond" w:cs="Times New Roman"/>
      <w:sz w:val="24"/>
      <w:lang w:val="id-ID" w:eastAsia="en-US"/>
    </w:rPr>
  </w:style>
  <w:style w:type="character" w:customStyle="1" w:styleId="fontstyle01">
    <w:name w:val="fontstyle01"/>
    <w:basedOn w:val="DefaultParagraphFont"/>
    <w:rsid w:val="00D06C7F"/>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D06C7F"/>
    <w:rPr>
      <w:rFonts w:ascii="TimesNewRoman" w:hAnsi="TimesNewRoman" w:hint="default"/>
      <w:b w:val="0"/>
      <w:bCs w:val="0"/>
      <w:i/>
      <w:iCs/>
      <w:color w:val="000000"/>
      <w:sz w:val="24"/>
      <w:szCs w:val="24"/>
    </w:rPr>
  </w:style>
  <w:style w:type="character" w:styleId="Hyperlink">
    <w:name w:val="Hyperlink"/>
    <w:basedOn w:val="DefaultParagraphFont"/>
    <w:uiPriority w:val="99"/>
    <w:unhideWhenUsed/>
    <w:rsid w:val="00872037"/>
    <w:rPr>
      <w:color w:val="0000FF" w:themeColor="hyperlink"/>
      <w:u w:val="single"/>
    </w:rPr>
  </w:style>
  <w:style w:type="character" w:customStyle="1" w:styleId="ListParagraphChar">
    <w:name w:val="List Paragraph Char"/>
    <w:aliases w:val="Body of text Char"/>
    <w:basedOn w:val="DefaultParagraphFont"/>
    <w:link w:val="ListParagraph"/>
    <w:uiPriority w:val="34"/>
    <w:locked/>
    <w:rsid w:val="006433AB"/>
  </w:style>
  <w:style w:type="character" w:customStyle="1" w:styleId="fontstyle31">
    <w:name w:val="fontstyle31"/>
    <w:basedOn w:val="DefaultParagraphFont"/>
    <w:rsid w:val="00BB4A54"/>
    <w:rPr>
      <w:rFonts w:ascii="TimesNewRomanPS-BoldMT" w:hAnsi="TimesNewRomanPS-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1088/1742-6596/1446/1/012010" TargetMode="External"/><Relationship Id="rId13" Type="http://schemas.openxmlformats.org/officeDocument/2006/relationships/hyperlink" Target="https://doi.org/10.1088/1742-6596/1126/1/012043" TargetMode="External"/><Relationship Id="rId18" Type="http://schemas.openxmlformats.org/officeDocument/2006/relationships/hyperlink" Target="https://doi.org/10.21831/jptk.v25i2.19817"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ersc.org/journals/index.php/IJAST/article/view/9791" TargetMode="External"/><Relationship Id="rId7" Type="http://schemas.openxmlformats.org/officeDocument/2006/relationships/hyperlink" Target="http://www.wiete.com.au/journals/WTE&amp;TE/Pages/TOC_V16N1.html" TargetMode="External"/><Relationship Id="rId12" Type="http://schemas.openxmlformats.org/officeDocument/2006/relationships/hyperlink" Target="https://doi.org/10.1088/1742-6596/1456/1/012057" TargetMode="External"/><Relationship Id="rId17" Type="http://schemas.openxmlformats.org/officeDocument/2006/relationships/hyperlink" Target="https://doi.org/10.1088/1742-6596/1456/1/01204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21831/jptk.v25i2.24416" TargetMode="External"/><Relationship Id="rId20" Type="http://schemas.openxmlformats.org/officeDocument/2006/relationships/hyperlink" Target="http://sersc.org/journals/index.php/IJAST/article/view/1892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1831/jptk.v24i1.14710" TargetMode="External"/><Relationship Id="rId24" Type="http://schemas.openxmlformats.org/officeDocument/2006/relationships/hyperlink" Target="https://doi.org/10.1088/1742-6596/1273/1/012026" TargetMode="External"/><Relationship Id="rId5" Type="http://schemas.openxmlformats.org/officeDocument/2006/relationships/settings" Target="settings.xml"/><Relationship Id="rId15" Type="http://schemas.openxmlformats.org/officeDocument/2006/relationships/hyperlink" Target="https://publisher.uthm.edu.my/ojs/index.php/JTET/article/view/3106" TargetMode="External"/><Relationship Id="rId23" Type="http://schemas.openxmlformats.org/officeDocument/2006/relationships/hyperlink" Target="https://doi.org/10.1088/1742-6596/1446/1/012020" TargetMode="External"/><Relationship Id="rId10" Type="http://schemas.openxmlformats.org/officeDocument/2006/relationships/hyperlink" Target="https://publisher.uthm.edu.my/ojs/index.php/JTET/article/view/5470" TargetMode="External"/><Relationship Id="rId19" Type="http://schemas.openxmlformats.org/officeDocument/2006/relationships/hyperlink" Target="https://publisher.uthm.edu.my/ojs/index.php/JTET/article/view/3208" TargetMode="External"/><Relationship Id="rId4" Type="http://schemas.openxmlformats.org/officeDocument/2006/relationships/styles" Target="styles.xml"/><Relationship Id="rId9" Type="http://schemas.openxmlformats.org/officeDocument/2006/relationships/hyperlink" Target="https://doi.org/10.11648/j.ijvetr.20170301.12" TargetMode="External"/><Relationship Id="rId14" Type="http://schemas.openxmlformats.org/officeDocument/2006/relationships/hyperlink" Target="https://doi.org/10.12691/education-7-11-8" TargetMode="External"/><Relationship Id="rId22" Type="http://schemas.openxmlformats.org/officeDocument/2006/relationships/hyperlink" Target="https://doi.org/10.21831/jptk.v26i1.279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32AE90-48C3-4E4F-BF08-8C33048EE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7</Pages>
  <Words>3575</Words>
  <Characters>20383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152</cp:revision>
  <dcterms:created xsi:type="dcterms:W3CDTF">2018-07-23T10:44:00Z</dcterms:created>
  <dcterms:modified xsi:type="dcterms:W3CDTF">2020-08-14T14:19:00Z</dcterms:modified>
</cp:coreProperties>
</file>