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01D" w:rsidRDefault="004622EB">
      <w:pPr>
        <w:spacing w:after="568"/>
        <w:rPr>
          <w:rFonts w:ascii="Times New Roman" w:eastAsia="Times New Roman" w:hAnsi="Times New Roman" w:cs="Times New Roman"/>
          <w:b/>
          <w:sz w:val="34"/>
          <w:szCs w:val="34"/>
        </w:rPr>
      </w:pPr>
      <w:r>
        <w:rPr>
          <w:rFonts w:ascii="Times New Roman" w:eastAsia="Times New Roman" w:hAnsi="Times New Roman" w:cs="Times New Roman"/>
          <w:b/>
          <w:sz w:val="34"/>
          <w:szCs w:val="34"/>
        </w:rPr>
        <w:t>Overall Thermal Transfer Value (OTTV)</w:t>
      </w:r>
      <w:r w:rsidR="006C18B0">
        <w:rPr>
          <w:rFonts w:ascii="Times New Roman" w:eastAsia="Times New Roman" w:hAnsi="Times New Roman" w:cs="Times New Roman"/>
          <w:b/>
          <w:sz w:val="34"/>
          <w:szCs w:val="34"/>
        </w:rPr>
        <w:t xml:space="preserve"> on Building Energy Consumption </w:t>
      </w:r>
    </w:p>
    <w:p w:rsidR="0095301D" w:rsidRDefault="006C18B0">
      <w:pPr>
        <w:spacing w:after="0"/>
        <w:ind w:left="1418"/>
        <w:rPr>
          <w:rFonts w:ascii="Times New Roman" w:eastAsia="Times New Roman" w:hAnsi="Times New Roman" w:cs="Times New Roman"/>
          <w:b/>
        </w:rPr>
      </w:pPr>
      <w:r>
        <w:rPr>
          <w:rFonts w:ascii="Times New Roman" w:eastAsia="Times New Roman" w:hAnsi="Times New Roman" w:cs="Times New Roman"/>
          <w:b/>
        </w:rPr>
        <w:t>Muhfizaturrahmah</w:t>
      </w:r>
      <w:r w:rsidR="00EB46BE">
        <w:rPr>
          <w:rFonts w:ascii="Times New Roman" w:eastAsia="Times New Roman" w:hAnsi="Times New Roman" w:cs="Times New Roman"/>
          <w:b/>
          <w:vertAlign w:val="superscript"/>
        </w:rPr>
        <w:t>1</w:t>
      </w:r>
      <w:r>
        <w:rPr>
          <w:rFonts w:ascii="Times New Roman" w:eastAsia="Times New Roman" w:hAnsi="Times New Roman" w:cs="Times New Roman"/>
          <w:b/>
        </w:rPr>
        <w:t>, Toto Sukisno</w:t>
      </w:r>
      <w:r w:rsidR="003506F1">
        <w:rPr>
          <w:rFonts w:ascii="Times New Roman" w:eastAsia="Times New Roman" w:hAnsi="Times New Roman" w:cs="Times New Roman"/>
          <w:b/>
          <w:vertAlign w:val="superscript"/>
        </w:rPr>
        <w:t>1</w:t>
      </w:r>
      <w:r>
        <w:rPr>
          <w:rFonts w:ascii="Times New Roman" w:eastAsia="Times New Roman" w:hAnsi="Times New Roman" w:cs="Times New Roman"/>
          <w:b/>
        </w:rPr>
        <w:t xml:space="preserve"> and </w:t>
      </w:r>
      <w:proofErr w:type="spellStart"/>
      <w:r>
        <w:rPr>
          <w:rFonts w:ascii="Times New Roman" w:eastAsia="Times New Roman" w:hAnsi="Times New Roman" w:cs="Times New Roman"/>
          <w:b/>
        </w:rPr>
        <w:t>Nurhening</w:t>
      </w:r>
      <w:proofErr w:type="spellEnd"/>
      <w:r>
        <w:rPr>
          <w:rFonts w:ascii="Times New Roman" w:eastAsia="Times New Roman" w:hAnsi="Times New Roman" w:cs="Times New Roman"/>
          <w:b/>
        </w:rPr>
        <w:t xml:space="preserve"> Yuniarti</w:t>
      </w:r>
      <w:r w:rsidR="00EB46BE">
        <w:rPr>
          <w:rFonts w:ascii="Times New Roman" w:eastAsia="Times New Roman" w:hAnsi="Times New Roman" w:cs="Times New Roman"/>
          <w:b/>
          <w:vertAlign w:val="superscript"/>
        </w:rPr>
        <w:t>1</w:t>
      </w:r>
      <w:r w:rsidR="003506F1">
        <w:rPr>
          <w:rFonts w:ascii="Times New Roman" w:eastAsia="Times New Roman" w:hAnsi="Times New Roman" w:cs="Times New Roman"/>
          <w:b/>
          <w:vertAlign w:val="superscript"/>
        </w:rPr>
        <w:t xml:space="preserve">  </w:t>
      </w:r>
    </w:p>
    <w:p w:rsidR="0095301D" w:rsidRDefault="0095301D">
      <w:pPr>
        <w:spacing w:after="0"/>
        <w:ind w:left="1418"/>
        <w:rPr>
          <w:rFonts w:ascii="Times New Roman" w:eastAsia="Times New Roman" w:hAnsi="Times New Roman" w:cs="Times New Roman"/>
          <w:vertAlign w:val="superscript"/>
        </w:rPr>
      </w:pPr>
    </w:p>
    <w:p w:rsidR="0095301D" w:rsidRDefault="003506F1">
      <w:pPr>
        <w:spacing w:after="0"/>
        <w:ind w:left="1418"/>
        <w:rPr>
          <w:rFonts w:ascii="Times New Roman" w:eastAsia="Times New Roman" w:hAnsi="Times New Roman" w:cs="Times New Roman"/>
        </w:rPr>
      </w:pPr>
      <w:r>
        <w:rPr>
          <w:rFonts w:ascii="Times New Roman" w:eastAsia="Times New Roman" w:hAnsi="Times New Roman" w:cs="Times New Roman"/>
          <w:vertAlign w:val="superscript"/>
        </w:rPr>
        <w:t>1</w:t>
      </w:r>
      <w:r w:rsidR="006C18B0">
        <w:rPr>
          <w:rFonts w:ascii="Times New Roman" w:eastAsia="Times New Roman" w:hAnsi="Times New Roman" w:cs="Times New Roman"/>
        </w:rPr>
        <w:t xml:space="preserve">Department of Electrical Engineering Education, Faculty of Engineering, Yogyakarta State University, </w:t>
      </w:r>
      <w:proofErr w:type="spellStart"/>
      <w:r w:rsidR="006C18B0">
        <w:rPr>
          <w:rFonts w:ascii="Times New Roman" w:eastAsia="Times New Roman" w:hAnsi="Times New Roman" w:cs="Times New Roman"/>
        </w:rPr>
        <w:t>Kampus</w:t>
      </w:r>
      <w:proofErr w:type="spellEnd"/>
      <w:r w:rsidR="006C18B0">
        <w:rPr>
          <w:rFonts w:ascii="Times New Roman" w:eastAsia="Times New Roman" w:hAnsi="Times New Roman" w:cs="Times New Roman"/>
        </w:rPr>
        <w:t xml:space="preserve"> UNY </w:t>
      </w:r>
      <w:proofErr w:type="spellStart"/>
      <w:r w:rsidR="006C18B0">
        <w:rPr>
          <w:rFonts w:ascii="Times New Roman" w:eastAsia="Times New Roman" w:hAnsi="Times New Roman" w:cs="Times New Roman"/>
        </w:rPr>
        <w:t>Karangmalang</w:t>
      </w:r>
      <w:proofErr w:type="spellEnd"/>
      <w:r w:rsidR="006C18B0">
        <w:rPr>
          <w:rFonts w:ascii="Times New Roman" w:eastAsia="Times New Roman" w:hAnsi="Times New Roman" w:cs="Times New Roman"/>
        </w:rPr>
        <w:t xml:space="preserve"> Yogyakarta Indonesia</w:t>
      </w:r>
    </w:p>
    <w:p w:rsidR="0095301D" w:rsidRDefault="0095301D">
      <w:pPr>
        <w:spacing w:after="0"/>
        <w:ind w:left="1418"/>
        <w:rPr>
          <w:rFonts w:ascii="Times New Roman" w:eastAsia="Times New Roman" w:hAnsi="Times New Roman" w:cs="Times New Roman"/>
        </w:rPr>
      </w:pPr>
      <w:bookmarkStart w:id="0" w:name="_heading=h.gjdgxs" w:colFirst="0" w:colLast="0"/>
      <w:bookmarkEnd w:id="0"/>
    </w:p>
    <w:p w:rsidR="0095301D" w:rsidRDefault="00EB46BE">
      <w:pPr>
        <w:spacing w:after="568"/>
        <w:ind w:left="1418"/>
        <w:rPr>
          <w:rFonts w:ascii="Times New Roman" w:eastAsia="Times New Roman" w:hAnsi="Times New Roman" w:cs="Times New Roman"/>
        </w:rPr>
      </w:pPr>
      <w:r>
        <w:rPr>
          <w:rFonts w:ascii="Times New Roman" w:eastAsia="Times New Roman" w:hAnsi="Times New Roman" w:cs="Times New Roman"/>
        </w:rPr>
        <w:t>E-mail: muhfizaturrahmah@uny.ac.id</w:t>
      </w:r>
    </w:p>
    <w:p w:rsidR="0095301D" w:rsidRDefault="003506F1">
      <w:pPr>
        <w:spacing w:after="568"/>
        <w:ind w:left="1418"/>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Abstract. </w:t>
      </w:r>
      <w:proofErr w:type="gramStart"/>
      <w:r w:rsidR="00EB46BE">
        <w:rPr>
          <w:rFonts w:ascii="Times New Roman" w:eastAsia="Times New Roman" w:hAnsi="Times New Roman" w:cs="Times New Roman"/>
          <w:sz w:val="20"/>
          <w:szCs w:val="20"/>
        </w:rPr>
        <w:t xml:space="preserve">The </w:t>
      </w:r>
      <w:r>
        <w:rPr>
          <w:rFonts w:ascii="Times New Roman" w:eastAsia="Times New Roman" w:hAnsi="Times New Roman" w:cs="Times New Roman"/>
          <w:sz w:val="20"/>
          <w:szCs w:val="20"/>
        </w:rPr>
        <w:t xml:space="preserve"> increasing</w:t>
      </w:r>
      <w:proofErr w:type="gramEnd"/>
      <w:r>
        <w:rPr>
          <w:rFonts w:ascii="Times New Roman" w:eastAsia="Times New Roman" w:hAnsi="Times New Roman" w:cs="Times New Roman"/>
          <w:sz w:val="20"/>
          <w:szCs w:val="20"/>
        </w:rPr>
        <w:t xml:space="preserve"> of electric power consumption on public buildings</w:t>
      </w:r>
      <w:bookmarkStart w:id="1" w:name="_GoBack"/>
      <w:bookmarkEnd w:id="1"/>
    </w:p>
    <w:p w:rsidR="0095301D" w:rsidRDefault="003506F1">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Introduction </w:t>
      </w:r>
    </w:p>
    <w:p w:rsidR="0095301D" w:rsidRDefault="003506F1">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The text of your paper should be formatted as follows: (1) 11 point Times or Times New Roman; (2) The text should be set to single line spacing; (3) Paragraphs should be justified; and (4) The first paragraph after a section or subsection heading should no</w:t>
      </w:r>
      <w:r>
        <w:rPr>
          <w:rFonts w:ascii="Times New Roman" w:eastAsia="Times New Roman" w:hAnsi="Times New Roman" w:cs="Times New Roman"/>
          <w:color w:val="000000"/>
        </w:rPr>
        <w:t xml:space="preserve">t be indented; subsequent paragraphs should be indented by 5 mm. </w:t>
      </w:r>
    </w:p>
    <w:p w:rsidR="0095301D" w:rsidRDefault="0095301D">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95301D" w:rsidRDefault="003506F1">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1.1. Subsection 1</w:t>
      </w:r>
    </w:p>
    <w:p w:rsidR="0095301D" w:rsidRDefault="003506F1">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Each figure should have a brief caption describing it and, if necessary, a key to interpret the various lines and symbols on the figure. You are free to use colour illustr</w:t>
      </w:r>
      <w:r>
        <w:rPr>
          <w:rFonts w:ascii="Times New Roman" w:eastAsia="Times New Roman" w:hAnsi="Times New Roman" w:cs="Times New Roman"/>
          <w:color w:val="000000"/>
        </w:rPr>
        <w:t>ations for the online version of</w:t>
      </w:r>
      <w:r>
        <w:rPr>
          <w:rFonts w:ascii="Times New Roman" w:eastAsia="Times New Roman" w:hAnsi="Times New Roman" w:cs="Times New Roman"/>
          <w:i/>
          <w:color w:val="000000"/>
        </w:rPr>
        <w:t xml:space="preserve"> Journal of Physics: Conference Series</w:t>
      </w:r>
      <w:r>
        <w:rPr>
          <w:rFonts w:ascii="Times New Roman" w:eastAsia="Times New Roman" w:hAnsi="Times New Roman" w:cs="Times New Roman"/>
          <w:color w:val="000000"/>
        </w:rPr>
        <w:t xml:space="preserve"> but any print version will only be printed in black and white </w:t>
      </w:r>
      <w:r>
        <w:rPr>
          <w:rFonts w:ascii="Times New Roman" w:eastAsia="Times New Roman" w:hAnsi="Times New Roman" w:cs="Times New Roman"/>
          <w:b/>
          <w:color w:val="000000"/>
        </w:rPr>
        <w:t>unless special arrangements have been made with your conference organizer for colour printing. Please check with the confer</w:t>
      </w:r>
      <w:r>
        <w:rPr>
          <w:rFonts w:ascii="Times New Roman" w:eastAsia="Times New Roman" w:hAnsi="Times New Roman" w:cs="Times New Roman"/>
          <w:b/>
          <w:color w:val="000000"/>
        </w:rPr>
        <w:t xml:space="preserve">ence organizer whether or not this is the case. </w:t>
      </w:r>
      <w:r>
        <w:rPr>
          <w:rFonts w:ascii="Times New Roman" w:eastAsia="Times New Roman" w:hAnsi="Times New Roman" w:cs="Times New Roman"/>
          <w:color w:val="000000"/>
        </w:rPr>
        <w:t>If any print version will be black and white only, you should check your figure captions carefully and remove any reference to colour in the illustration and text. In addition, some colour figures will degrad</w:t>
      </w:r>
      <w:r>
        <w:rPr>
          <w:rFonts w:ascii="Times New Roman" w:eastAsia="Times New Roman" w:hAnsi="Times New Roman" w:cs="Times New Roman"/>
          <w:color w:val="000000"/>
        </w:rPr>
        <w:t xml:space="preserve">e or suffer loss of information when converted to black and white and this should be taken into account when preparing them. </w:t>
      </w:r>
    </w:p>
    <w:p w:rsidR="0095301D" w:rsidRDefault="0095301D">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95301D" w:rsidRDefault="003506F1">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1.1.1. </w:t>
      </w:r>
      <w:proofErr w:type="spellStart"/>
      <w:r>
        <w:rPr>
          <w:rFonts w:ascii="Times New Roman" w:eastAsia="Times New Roman" w:hAnsi="Times New Roman" w:cs="Times New Roman"/>
          <w:i/>
          <w:color w:val="000000"/>
        </w:rPr>
        <w:t>Subsubsection</w:t>
      </w:r>
      <w:proofErr w:type="spellEnd"/>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Individual figures should normally be centred but place two figures side-by-side if they will fit comfortably like this as it saves space. </w:t>
      </w:r>
      <w:r>
        <w:rPr>
          <w:rFonts w:ascii="Times New Roman" w:eastAsia="Times New Roman" w:hAnsi="Times New Roman" w:cs="Times New Roman"/>
          <w:i/>
          <w:color w:val="000000"/>
        </w:rPr>
        <w:t xml:space="preserve">The following examples show how to format a number of different figure/caption combinations. </w:t>
      </w:r>
    </w:p>
    <w:p w:rsidR="0095301D" w:rsidRDefault="0095301D">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rPr>
      </w:pPr>
    </w:p>
    <w:tbl>
      <w:tblPr>
        <w:tblStyle w:val="a"/>
        <w:tblW w:w="9176" w:type="dxa"/>
        <w:jc w:val="center"/>
        <w:tblBorders>
          <w:top w:val="dashed" w:sz="4" w:space="0" w:color="000000"/>
          <w:left w:val="dashed" w:sz="4" w:space="0" w:color="000000"/>
          <w:bottom w:val="dashed" w:sz="4" w:space="0" w:color="000000"/>
          <w:right w:val="dashed" w:sz="4" w:space="0" w:color="000000"/>
          <w:insideH w:val="dashed" w:sz="4" w:space="0" w:color="000000"/>
        </w:tblBorders>
        <w:tblLayout w:type="fixed"/>
        <w:tblLook w:val="0000" w:firstRow="0" w:lastRow="0" w:firstColumn="0" w:lastColumn="0" w:noHBand="0" w:noVBand="0"/>
      </w:tblPr>
      <w:tblGrid>
        <w:gridCol w:w="1329"/>
        <w:gridCol w:w="3613"/>
        <w:gridCol w:w="2766"/>
        <w:gridCol w:w="56"/>
        <w:gridCol w:w="1412"/>
      </w:tblGrid>
      <w:tr w:rsidR="0095301D">
        <w:trPr>
          <w:gridAfter w:val="2"/>
          <w:wAfter w:w="1468" w:type="dxa"/>
          <w:jc w:val="center"/>
        </w:trPr>
        <w:tc>
          <w:tcPr>
            <w:tcW w:w="1329" w:type="dxa"/>
          </w:tcPr>
          <w:p w:rsidR="0095301D" w:rsidRDefault="0095301D">
            <w:pPr>
              <w:widowControl w:val="0"/>
              <w:pBdr>
                <w:top w:val="nil"/>
                <w:left w:val="nil"/>
                <w:bottom w:val="nil"/>
                <w:right w:val="nil"/>
                <w:between w:val="nil"/>
              </w:pBdr>
              <w:spacing w:after="0"/>
              <w:rPr>
                <w:rFonts w:ascii="Times New Roman" w:eastAsia="Times New Roman" w:hAnsi="Times New Roman" w:cs="Times New Roman"/>
                <w:i/>
                <w:color w:val="000000"/>
              </w:rPr>
            </w:pPr>
          </w:p>
        </w:tc>
        <w:tc>
          <w:tcPr>
            <w:tcW w:w="6379" w:type="dxa"/>
            <w:gridSpan w:val="2"/>
            <w:shd w:val="clear" w:color="auto" w:fill="auto"/>
          </w:tcPr>
          <w:p w:rsidR="0095301D" w:rsidRDefault="003506F1">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noProof/>
                <w:color w:val="000000"/>
                <w:lang w:val="en-US"/>
              </w:rPr>
              <w:drawing>
                <wp:inline distT="0" distB="0" distL="0" distR="0">
                  <wp:extent cx="3619500" cy="860268"/>
                  <wp:effectExtent l="0" t="0" r="0" b="0"/>
                  <wp:docPr id="7" name="image1.png" descr="WiderFigureShortCaption"/>
                  <wp:cNvGraphicFramePr/>
                  <a:graphic xmlns:a="http://schemas.openxmlformats.org/drawingml/2006/main">
                    <a:graphicData uri="http://schemas.openxmlformats.org/drawingml/2006/picture">
                      <pic:pic xmlns:pic="http://schemas.openxmlformats.org/drawingml/2006/picture">
                        <pic:nvPicPr>
                          <pic:cNvPr id="0" name="image1.png" descr="WiderFigureShortCaption"/>
                          <pic:cNvPicPr preferRelativeResize="0"/>
                        </pic:nvPicPr>
                        <pic:blipFill>
                          <a:blip r:embed="rId6"/>
                          <a:srcRect/>
                          <a:stretch>
                            <a:fillRect/>
                          </a:stretch>
                        </pic:blipFill>
                        <pic:spPr>
                          <a:xfrm>
                            <a:off x="0" y="0"/>
                            <a:ext cx="3619500" cy="860268"/>
                          </a:xfrm>
                          <a:prstGeom prst="rect">
                            <a:avLst/>
                          </a:prstGeom>
                          <a:ln/>
                        </pic:spPr>
                      </pic:pic>
                    </a:graphicData>
                  </a:graphic>
                </wp:inline>
              </w:drawing>
            </w:r>
          </w:p>
        </w:tc>
      </w:tr>
      <w:tr w:rsidR="0095301D">
        <w:trPr>
          <w:gridAfter w:val="1"/>
          <w:wAfter w:w="1412" w:type="dxa"/>
          <w:jc w:val="center"/>
        </w:trPr>
        <w:tc>
          <w:tcPr>
            <w:tcW w:w="1329" w:type="dxa"/>
          </w:tcPr>
          <w:p w:rsidR="0095301D" w:rsidRDefault="0095301D">
            <w:pPr>
              <w:widowControl w:val="0"/>
              <w:pBdr>
                <w:top w:val="nil"/>
                <w:left w:val="nil"/>
                <w:bottom w:val="nil"/>
                <w:right w:val="nil"/>
                <w:between w:val="nil"/>
              </w:pBdr>
              <w:spacing w:after="0"/>
              <w:rPr>
                <w:rFonts w:ascii="Times New Roman" w:eastAsia="Times New Roman" w:hAnsi="Times New Roman" w:cs="Times New Roman"/>
                <w:color w:val="000000"/>
              </w:rPr>
            </w:pPr>
          </w:p>
        </w:tc>
        <w:tc>
          <w:tcPr>
            <w:tcW w:w="6435" w:type="dxa"/>
            <w:gridSpan w:val="3"/>
            <w:shd w:val="clear" w:color="auto" w:fill="auto"/>
          </w:tcPr>
          <w:p w:rsidR="0095301D" w:rsidRDefault="003506F1">
            <w:pPr>
              <w:pBdr>
                <w:top w:val="nil"/>
                <w:left w:val="nil"/>
                <w:bottom w:val="nil"/>
                <w:right w:val="nil"/>
                <w:between w:val="nil"/>
              </w:pBdr>
              <w:spacing w:before="120" w:after="0" w:line="240" w:lineRule="auto"/>
              <w:ind w:left="28" w:hanging="28"/>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Figure 1. </w:t>
            </w:r>
            <w:r>
              <w:rPr>
                <w:rFonts w:ascii="Times New Roman" w:eastAsia="Times New Roman" w:hAnsi="Times New Roman" w:cs="Times New Roman"/>
                <w:color w:val="000000"/>
              </w:rPr>
              <w:t>Figure with short caption (caption centred).</w:t>
            </w:r>
          </w:p>
        </w:tc>
      </w:tr>
      <w:tr w:rsidR="0095301D">
        <w:trPr>
          <w:jc w:val="center"/>
        </w:trPr>
        <w:tc>
          <w:tcPr>
            <w:tcW w:w="4942" w:type="dxa"/>
            <w:gridSpan w:val="2"/>
            <w:shd w:val="clear" w:color="auto" w:fill="auto"/>
          </w:tcPr>
          <w:p w:rsidR="0095301D" w:rsidRDefault="003506F1">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noProof/>
                <w:color w:val="000000"/>
                <w:lang w:val="en-US"/>
              </w:rPr>
              <w:lastRenderedPageBreak/>
              <w:drawing>
                <wp:inline distT="0" distB="0" distL="0" distR="0">
                  <wp:extent cx="1287219" cy="1802107"/>
                  <wp:effectExtent l="0" t="0" r="0" b="0"/>
                  <wp:docPr id="9" name="image2.png" descr="NarrowFigeWideCap"/>
                  <wp:cNvGraphicFramePr/>
                  <a:graphic xmlns:a="http://schemas.openxmlformats.org/drawingml/2006/main">
                    <a:graphicData uri="http://schemas.openxmlformats.org/drawingml/2006/picture">
                      <pic:pic xmlns:pic="http://schemas.openxmlformats.org/drawingml/2006/picture">
                        <pic:nvPicPr>
                          <pic:cNvPr id="0" name="image2.png" descr="NarrowFigeWideCap"/>
                          <pic:cNvPicPr preferRelativeResize="0"/>
                        </pic:nvPicPr>
                        <pic:blipFill>
                          <a:blip r:embed="rId7"/>
                          <a:srcRect/>
                          <a:stretch>
                            <a:fillRect/>
                          </a:stretch>
                        </pic:blipFill>
                        <pic:spPr>
                          <a:xfrm>
                            <a:off x="0" y="0"/>
                            <a:ext cx="1287219" cy="1802107"/>
                          </a:xfrm>
                          <a:prstGeom prst="rect">
                            <a:avLst/>
                          </a:prstGeom>
                          <a:ln/>
                        </pic:spPr>
                      </pic:pic>
                    </a:graphicData>
                  </a:graphic>
                </wp:inline>
              </w:drawing>
            </w:r>
          </w:p>
        </w:tc>
        <w:tc>
          <w:tcPr>
            <w:tcW w:w="4234" w:type="dxa"/>
            <w:gridSpan w:val="3"/>
            <w:shd w:val="clear" w:color="auto" w:fill="auto"/>
            <w:vAlign w:val="bottom"/>
          </w:tcPr>
          <w:p w:rsidR="0095301D" w:rsidRDefault="003506F1">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Figure 2. </w:t>
            </w:r>
            <w:r>
              <w:rPr>
                <w:rFonts w:ascii="Times New Roman" w:eastAsia="Times New Roman" w:hAnsi="Times New Roman" w:cs="Times New Roman"/>
                <w:color w:val="000000"/>
              </w:rPr>
              <w:t>This is a figure with a caption that is wider than the actual graphic. To save space you can put the caption to the right of the figure by placing the graphic and justified caption in a table with one row and two columns.</w:t>
            </w:r>
          </w:p>
        </w:tc>
      </w:tr>
    </w:tbl>
    <w:p w:rsidR="0095301D" w:rsidRDefault="0095301D">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rPr>
      </w:pPr>
    </w:p>
    <w:tbl>
      <w:tblPr>
        <w:tblStyle w:val="a0"/>
        <w:tblW w:w="6333" w:type="dxa"/>
        <w:jc w:val="center"/>
        <w:tblBorders>
          <w:top w:val="dashed" w:sz="4" w:space="0" w:color="000000"/>
          <w:left w:val="dashed" w:sz="4" w:space="0" w:color="000000"/>
          <w:bottom w:val="dashed" w:sz="4" w:space="0" w:color="000000"/>
          <w:right w:val="dashed" w:sz="4" w:space="0" w:color="000000"/>
          <w:insideH w:val="dashed" w:sz="4" w:space="0" w:color="000000"/>
        </w:tblBorders>
        <w:tblLayout w:type="fixed"/>
        <w:tblLook w:val="0000" w:firstRow="0" w:lastRow="0" w:firstColumn="0" w:lastColumn="0" w:noHBand="0" w:noVBand="0"/>
      </w:tblPr>
      <w:tblGrid>
        <w:gridCol w:w="2996"/>
        <w:gridCol w:w="340"/>
        <w:gridCol w:w="2950"/>
        <w:gridCol w:w="47"/>
      </w:tblGrid>
      <w:tr w:rsidR="0095301D">
        <w:trPr>
          <w:gridAfter w:val="1"/>
          <w:wAfter w:w="47" w:type="dxa"/>
          <w:jc w:val="center"/>
        </w:trPr>
        <w:tc>
          <w:tcPr>
            <w:tcW w:w="6286" w:type="dxa"/>
            <w:gridSpan w:val="3"/>
            <w:shd w:val="clear" w:color="auto" w:fill="auto"/>
          </w:tcPr>
          <w:p w:rsidR="0095301D" w:rsidRDefault="003506F1">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noProof/>
                <w:color w:val="000000"/>
                <w:lang w:val="en-US"/>
              </w:rPr>
              <w:drawing>
                <wp:inline distT="0" distB="0" distL="0" distR="0">
                  <wp:extent cx="3762375" cy="804916"/>
                  <wp:effectExtent l="0" t="0" r="0" b="0"/>
                  <wp:docPr id="8" name="image3.png" descr="WiderFigureWiderCaption"/>
                  <wp:cNvGraphicFramePr/>
                  <a:graphic xmlns:a="http://schemas.openxmlformats.org/drawingml/2006/main">
                    <a:graphicData uri="http://schemas.openxmlformats.org/drawingml/2006/picture">
                      <pic:pic xmlns:pic="http://schemas.openxmlformats.org/drawingml/2006/picture">
                        <pic:nvPicPr>
                          <pic:cNvPr id="0" name="image3.png" descr="WiderFigureWiderCaption"/>
                          <pic:cNvPicPr preferRelativeResize="0"/>
                        </pic:nvPicPr>
                        <pic:blipFill>
                          <a:blip r:embed="rId8"/>
                          <a:srcRect/>
                          <a:stretch>
                            <a:fillRect/>
                          </a:stretch>
                        </pic:blipFill>
                        <pic:spPr>
                          <a:xfrm>
                            <a:off x="0" y="0"/>
                            <a:ext cx="3762375" cy="804916"/>
                          </a:xfrm>
                          <a:prstGeom prst="rect">
                            <a:avLst/>
                          </a:prstGeom>
                          <a:ln/>
                        </pic:spPr>
                      </pic:pic>
                    </a:graphicData>
                  </a:graphic>
                </wp:inline>
              </w:drawing>
            </w:r>
          </w:p>
        </w:tc>
      </w:tr>
      <w:tr w:rsidR="0095301D">
        <w:trPr>
          <w:gridAfter w:val="1"/>
          <w:wAfter w:w="47" w:type="dxa"/>
          <w:jc w:val="center"/>
        </w:trPr>
        <w:tc>
          <w:tcPr>
            <w:tcW w:w="6286" w:type="dxa"/>
            <w:gridSpan w:val="3"/>
            <w:shd w:val="clear" w:color="auto" w:fill="auto"/>
          </w:tcPr>
          <w:p w:rsidR="0095301D" w:rsidRDefault="003506F1">
            <w:pPr>
              <w:pBdr>
                <w:top w:val="nil"/>
                <w:left w:val="nil"/>
                <w:bottom w:val="nil"/>
                <w:right w:val="nil"/>
                <w:between w:val="nil"/>
              </w:pBdr>
              <w:spacing w:before="120" w:after="0" w:line="240" w:lineRule="auto"/>
              <w:ind w:left="28" w:hanging="28"/>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Figure 3. </w:t>
            </w:r>
            <w:r>
              <w:rPr>
                <w:rFonts w:ascii="Times New Roman" w:eastAsia="Times New Roman" w:hAnsi="Times New Roman" w:cs="Times New Roman"/>
                <w:color w:val="000000"/>
              </w:rPr>
              <w:t>In this case simply justify the caption so that it is as the same width as the graphic.</w:t>
            </w:r>
          </w:p>
        </w:tc>
      </w:tr>
      <w:tr w:rsidR="0095301D">
        <w:trPr>
          <w:jc w:val="center"/>
        </w:trPr>
        <w:tc>
          <w:tcPr>
            <w:tcW w:w="2996" w:type="dxa"/>
            <w:tcBorders>
              <w:top w:val="dashed" w:sz="4" w:space="0" w:color="000000"/>
              <w:left w:val="dashed" w:sz="4" w:space="0" w:color="000000"/>
              <w:bottom w:val="dashed" w:sz="4" w:space="0" w:color="000000"/>
              <w:right w:val="dashed" w:sz="4" w:space="0" w:color="000000"/>
            </w:tcBorders>
            <w:shd w:val="clear" w:color="auto" w:fill="auto"/>
          </w:tcPr>
          <w:p w:rsidR="0095301D" w:rsidRDefault="003506F1">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noProof/>
                <w:color w:val="000000"/>
                <w:lang w:val="en-US"/>
              </w:rPr>
              <w:drawing>
                <wp:inline distT="0" distB="0" distL="0" distR="0">
                  <wp:extent cx="1356279" cy="1840142"/>
                  <wp:effectExtent l="0" t="0" r="0" b="0"/>
                  <wp:docPr id="11" name="image5.png" descr="NarrowFigeWideCap"/>
                  <wp:cNvGraphicFramePr/>
                  <a:graphic xmlns:a="http://schemas.openxmlformats.org/drawingml/2006/main">
                    <a:graphicData uri="http://schemas.openxmlformats.org/drawingml/2006/picture">
                      <pic:pic xmlns:pic="http://schemas.openxmlformats.org/drawingml/2006/picture">
                        <pic:nvPicPr>
                          <pic:cNvPr id="0" name="image5.png" descr="NarrowFigeWideCap"/>
                          <pic:cNvPicPr preferRelativeResize="0"/>
                        </pic:nvPicPr>
                        <pic:blipFill>
                          <a:blip r:embed="rId9"/>
                          <a:srcRect/>
                          <a:stretch>
                            <a:fillRect/>
                          </a:stretch>
                        </pic:blipFill>
                        <pic:spPr>
                          <a:xfrm>
                            <a:off x="0" y="0"/>
                            <a:ext cx="1356279" cy="1840142"/>
                          </a:xfrm>
                          <a:prstGeom prst="rect">
                            <a:avLst/>
                          </a:prstGeom>
                          <a:ln/>
                        </pic:spPr>
                      </pic:pic>
                    </a:graphicData>
                  </a:graphic>
                </wp:inline>
              </w:drawing>
            </w:r>
          </w:p>
        </w:tc>
        <w:tc>
          <w:tcPr>
            <w:tcW w:w="340" w:type="dxa"/>
            <w:tcBorders>
              <w:top w:val="dashed" w:sz="4" w:space="0" w:color="000000"/>
              <w:left w:val="dashed" w:sz="4" w:space="0" w:color="000000"/>
              <w:bottom w:val="dashed" w:sz="4" w:space="0" w:color="000000"/>
              <w:right w:val="dashed" w:sz="4" w:space="0" w:color="000000"/>
            </w:tcBorders>
            <w:shd w:val="clear" w:color="auto" w:fill="auto"/>
          </w:tcPr>
          <w:p w:rsidR="0095301D" w:rsidRDefault="0095301D">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p>
        </w:tc>
        <w:tc>
          <w:tcPr>
            <w:tcW w:w="2997" w:type="dxa"/>
            <w:gridSpan w:val="2"/>
            <w:tcBorders>
              <w:top w:val="dashed" w:sz="4" w:space="0" w:color="000000"/>
              <w:left w:val="dashed" w:sz="4" w:space="0" w:color="000000"/>
              <w:bottom w:val="dashed" w:sz="4" w:space="0" w:color="000000"/>
              <w:right w:val="dashed" w:sz="4" w:space="0" w:color="000000"/>
            </w:tcBorders>
            <w:shd w:val="clear" w:color="auto" w:fill="auto"/>
          </w:tcPr>
          <w:p w:rsidR="0095301D" w:rsidRDefault="003506F1">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noProof/>
                <w:color w:val="000000"/>
                <w:lang w:val="en-US"/>
              </w:rPr>
              <w:drawing>
                <wp:inline distT="0" distB="0" distL="0" distR="0">
                  <wp:extent cx="1356280" cy="1840142"/>
                  <wp:effectExtent l="0" t="0" r="0" b="0"/>
                  <wp:docPr id="10" name="image4.png" descr="NarrowFigeWideCap"/>
                  <wp:cNvGraphicFramePr/>
                  <a:graphic xmlns:a="http://schemas.openxmlformats.org/drawingml/2006/main">
                    <a:graphicData uri="http://schemas.openxmlformats.org/drawingml/2006/picture">
                      <pic:pic xmlns:pic="http://schemas.openxmlformats.org/drawingml/2006/picture">
                        <pic:nvPicPr>
                          <pic:cNvPr id="0" name="image4.png" descr="NarrowFigeWideCap"/>
                          <pic:cNvPicPr preferRelativeResize="0"/>
                        </pic:nvPicPr>
                        <pic:blipFill>
                          <a:blip r:embed="rId9"/>
                          <a:srcRect/>
                          <a:stretch>
                            <a:fillRect/>
                          </a:stretch>
                        </pic:blipFill>
                        <pic:spPr>
                          <a:xfrm>
                            <a:off x="0" y="0"/>
                            <a:ext cx="1356280" cy="1840142"/>
                          </a:xfrm>
                          <a:prstGeom prst="rect">
                            <a:avLst/>
                          </a:prstGeom>
                          <a:ln/>
                        </pic:spPr>
                      </pic:pic>
                    </a:graphicData>
                  </a:graphic>
                </wp:inline>
              </w:drawing>
            </w:r>
          </w:p>
        </w:tc>
      </w:tr>
      <w:tr w:rsidR="0095301D">
        <w:trPr>
          <w:jc w:val="center"/>
        </w:trPr>
        <w:tc>
          <w:tcPr>
            <w:tcW w:w="2996" w:type="dxa"/>
            <w:tcBorders>
              <w:top w:val="dashed" w:sz="4" w:space="0" w:color="000000"/>
              <w:left w:val="dashed" w:sz="4" w:space="0" w:color="000000"/>
              <w:bottom w:val="dashed" w:sz="4" w:space="0" w:color="000000"/>
              <w:right w:val="dashed" w:sz="4" w:space="0" w:color="000000"/>
            </w:tcBorders>
            <w:shd w:val="clear" w:color="auto" w:fill="auto"/>
          </w:tcPr>
          <w:p w:rsidR="0095301D" w:rsidRDefault="003506F1">
            <w:pPr>
              <w:pBdr>
                <w:top w:val="nil"/>
                <w:left w:val="nil"/>
                <w:bottom w:val="nil"/>
                <w:right w:val="nil"/>
                <w:between w:val="nil"/>
              </w:pBdr>
              <w:tabs>
                <w:tab w:val="left" w:pos="567"/>
              </w:tabs>
              <w:spacing w:before="120"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Figure 4. </w:t>
            </w:r>
            <w:r>
              <w:rPr>
                <w:rFonts w:ascii="Times New Roman" w:eastAsia="Times New Roman" w:hAnsi="Times New Roman" w:cs="Times New Roman"/>
                <w:color w:val="000000"/>
              </w:rPr>
              <w:t>These two figures have been placed side-by-side to save space. Justify the caption.</w:t>
            </w:r>
          </w:p>
        </w:tc>
        <w:tc>
          <w:tcPr>
            <w:tcW w:w="340" w:type="dxa"/>
            <w:tcBorders>
              <w:top w:val="dashed" w:sz="4" w:space="0" w:color="000000"/>
              <w:left w:val="dashed" w:sz="4" w:space="0" w:color="000000"/>
              <w:bottom w:val="dashed" w:sz="4" w:space="0" w:color="000000"/>
              <w:right w:val="dashed" w:sz="4" w:space="0" w:color="000000"/>
            </w:tcBorders>
            <w:shd w:val="clear" w:color="auto" w:fill="auto"/>
          </w:tcPr>
          <w:p w:rsidR="0095301D" w:rsidRDefault="0095301D">
            <w:pPr>
              <w:pBdr>
                <w:top w:val="nil"/>
                <w:left w:val="nil"/>
                <w:bottom w:val="nil"/>
                <w:right w:val="nil"/>
                <w:between w:val="nil"/>
              </w:pBdr>
              <w:tabs>
                <w:tab w:val="left" w:pos="567"/>
              </w:tabs>
              <w:spacing w:before="120" w:after="0" w:line="240" w:lineRule="auto"/>
              <w:jc w:val="both"/>
              <w:rPr>
                <w:rFonts w:ascii="Times New Roman" w:eastAsia="Times New Roman" w:hAnsi="Times New Roman" w:cs="Times New Roman"/>
                <w:color w:val="000000"/>
              </w:rPr>
            </w:pPr>
          </w:p>
        </w:tc>
        <w:tc>
          <w:tcPr>
            <w:tcW w:w="2997" w:type="dxa"/>
            <w:gridSpan w:val="2"/>
            <w:tcBorders>
              <w:top w:val="dashed" w:sz="4" w:space="0" w:color="000000"/>
              <w:left w:val="dashed" w:sz="4" w:space="0" w:color="000000"/>
              <w:bottom w:val="dashed" w:sz="4" w:space="0" w:color="000000"/>
              <w:right w:val="dashed" w:sz="4" w:space="0" w:color="000000"/>
            </w:tcBorders>
            <w:shd w:val="clear" w:color="auto" w:fill="auto"/>
          </w:tcPr>
          <w:p w:rsidR="0095301D" w:rsidRDefault="003506F1">
            <w:pPr>
              <w:pBdr>
                <w:top w:val="nil"/>
                <w:left w:val="nil"/>
                <w:bottom w:val="nil"/>
                <w:right w:val="nil"/>
                <w:between w:val="nil"/>
              </w:pBdr>
              <w:tabs>
                <w:tab w:val="left" w:pos="567"/>
              </w:tabs>
              <w:spacing w:before="120"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Figure 5. </w:t>
            </w:r>
            <w:r>
              <w:rPr>
                <w:rFonts w:ascii="Times New Roman" w:eastAsia="Times New Roman" w:hAnsi="Times New Roman" w:cs="Times New Roman"/>
                <w:color w:val="000000"/>
              </w:rPr>
              <w:t>These two figures have been placed side-by-side to save space. Justify the caption.</w:t>
            </w:r>
          </w:p>
        </w:tc>
      </w:tr>
    </w:tbl>
    <w:p w:rsidR="0095301D" w:rsidRDefault="0095301D">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95301D" w:rsidRDefault="0095301D">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rPr>
      </w:pPr>
    </w:p>
    <w:p w:rsidR="0095301D" w:rsidRDefault="003506F1">
      <w:pPr>
        <w:spacing w:after="0"/>
        <w:rPr>
          <w:rFonts w:ascii="Times New Roman" w:eastAsia="Times New Roman" w:hAnsi="Times New Roman" w:cs="Times New Roman"/>
          <w:i/>
        </w:rPr>
      </w:pPr>
      <w:r>
        <w:rPr>
          <w:rFonts w:ascii="Times New Roman" w:eastAsia="Times New Roman" w:hAnsi="Times New Roman" w:cs="Times New Roman"/>
          <w:i/>
        </w:rPr>
        <w:t>1.2. Subsection 2</w:t>
      </w:r>
    </w:p>
    <w:p w:rsidR="0095301D" w:rsidRDefault="003506F1">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The use of sections to divide the text of the paper is optional and left as a decision for the author. Where the author wishes to divide the paper into sections the formatting shown in table 1 should be used.</w:t>
      </w:r>
    </w:p>
    <w:tbl>
      <w:tblPr>
        <w:tblStyle w:val="a1"/>
        <w:tblW w:w="8621" w:type="dxa"/>
        <w:jc w:val="center"/>
        <w:tblLayout w:type="fixed"/>
        <w:tblLook w:val="0000" w:firstRow="0" w:lastRow="0" w:firstColumn="0" w:lastColumn="0" w:noHBand="0" w:noVBand="0"/>
      </w:tblPr>
      <w:tblGrid>
        <w:gridCol w:w="1368"/>
        <w:gridCol w:w="1265"/>
        <w:gridCol w:w="4304"/>
        <w:gridCol w:w="1684"/>
      </w:tblGrid>
      <w:tr w:rsidR="0095301D">
        <w:trPr>
          <w:jc w:val="center"/>
        </w:trPr>
        <w:tc>
          <w:tcPr>
            <w:tcW w:w="8621" w:type="dxa"/>
            <w:gridSpan w:val="4"/>
            <w:tcBorders>
              <w:bottom w:val="single" w:sz="4" w:space="0" w:color="000000"/>
            </w:tcBorders>
            <w:shd w:val="clear" w:color="auto" w:fill="auto"/>
          </w:tcPr>
          <w:p w:rsidR="0095301D" w:rsidRDefault="003506F1">
            <w:pPr>
              <w:pBdr>
                <w:top w:val="nil"/>
                <w:left w:val="nil"/>
                <w:bottom w:val="nil"/>
                <w:right w:val="nil"/>
                <w:between w:val="nil"/>
              </w:pBdr>
              <w:spacing w:after="12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Table 1.</w:t>
            </w:r>
            <w:r>
              <w:rPr>
                <w:rFonts w:ascii="Times New Roman" w:eastAsia="Times New Roman" w:hAnsi="Times New Roman" w:cs="Times New Roman"/>
                <w:color w:val="000000"/>
              </w:rPr>
              <w:t xml:space="preserve"> Formatting sections, subsections and </w:t>
            </w:r>
            <w:proofErr w:type="spellStart"/>
            <w:r>
              <w:rPr>
                <w:rFonts w:ascii="Times New Roman" w:eastAsia="Times New Roman" w:hAnsi="Times New Roman" w:cs="Times New Roman"/>
                <w:color w:val="000000"/>
              </w:rPr>
              <w:t>subsubsections</w:t>
            </w:r>
            <w:proofErr w:type="spellEnd"/>
            <w:r>
              <w:rPr>
                <w:rFonts w:ascii="Times New Roman" w:eastAsia="Times New Roman" w:hAnsi="Times New Roman" w:cs="Times New Roman"/>
                <w:color w:val="000000"/>
              </w:rPr>
              <w:t>.</w:t>
            </w:r>
          </w:p>
        </w:tc>
      </w:tr>
      <w:tr w:rsidR="0095301D">
        <w:trPr>
          <w:jc w:val="center"/>
        </w:trPr>
        <w:tc>
          <w:tcPr>
            <w:tcW w:w="1368" w:type="dxa"/>
            <w:shd w:val="clear" w:color="auto" w:fill="auto"/>
          </w:tcPr>
          <w:p w:rsidR="0095301D" w:rsidRDefault="0095301D">
            <w:pPr>
              <w:pBdr>
                <w:top w:val="nil"/>
                <w:left w:val="nil"/>
                <w:bottom w:val="nil"/>
                <w:right w:val="nil"/>
                <w:between w:val="nil"/>
              </w:pBdr>
              <w:tabs>
                <w:tab w:val="left" w:pos="567"/>
              </w:tabs>
              <w:spacing w:before="40" w:after="40" w:line="240" w:lineRule="auto"/>
              <w:jc w:val="both"/>
              <w:rPr>
                <w:rFonts w:ascii="Times New Roman" w:eastAsia="Times New Roman" w:hAnsi="Times New Roman" w:cs="Times New Roman"/>
                <w:b/>
                <w:color w:val="000000"/>
              </w:rPr>
            </w:pPr>
          </w:p>
        </w:tc>
        <w:tc>
          <w:tcPr>
            <w:tcW w:w="1265" w:type="dxa"/>
            <w:tcBorders>
              <w:top w:val="single" w:sz="4" w:space="0" w:color="000000"/>
              <w:bottom w:val="single" w:sz="4" w:space="0" w:color="000000"/>
            </w:tcBorders>
            <w:shd w:val="clear" w:color="auto" w:fill="auto"/>
          </w:tcPr>
          <w:p w:rsidR="0095301D" w:rsidRDefault="003506F1">
            <w:pPr>
              <w:pBdr>
                <w:top w:val="nil"/>
                <w:left w:val="nil"/>
                <w:bottom w:val="nil"/>
                <w:right w:val="nil"/>
                <w:between w:val="nil"/>
              </w:pBdr>
              <w:tabs>
                <w:tab w:val="left" w:pos="567"/>
              </w:tabs>
              <w:spacing w:before="40" w:after="40" w:line="240" w:lineRule="auto"/>
              <w:ind w:left="13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Font </w:t>
            </w:r>
          </w:p>
        </w:tc>
        <w:tc>
          <w:tcPr>
            <w:tcW w:w="4304" w:type="dxa"/>
            <w:tcBorders>
              <w:top w:val="single" w:sz="4" w:space="0" w:color="000000"/>
              <w:bottom w:val="single" w:sz="4" w:space="0" w:color="000000"/>
            </w:tcBorders>
            <w:shd w:val="clear" w:color="auto" w:fill="auto"/>
          </w:tcPr>
          <w:p w:rsidR="0095301D" w:rsidRDefault="003506F1">
            <w:pPr>
              <w:pBdr>
                <w:top w:val="nil"/>
                <w:left w:val="nil"/>
                <w:bottom w:val="nil"/>
                <w:right w:val="nil"/>
                <w:between w:val="nil"/>
              </w:pBdr>
              <w:tabs>
                <w:tab w:val="left" w:pos="567"/>
              </w:tabs>
              <w:spacing w:before="40" w:after="40" w:line="240" w:lineRule="auto"/>
              <w:ind w:left="111"/>
              <w:jc w:val="both"/>
              <w:rPr>
                <w:rFonts w:ascii="Times New Roman" w:eastAsia="Times New Roman" w:hAnsi="Times New Roman" w:cs="Times New Roman"/>
                <w:color w:val="000000"/>
              </w:rPr>
            </w:pPr>
            <w:r>
              <w:rPr>
                <w:rFonts w:ascii="Times New Roman" w:eastAsia="Times New Roman" w:hAnsi="Times New Roman" w:cs="Times New Roman"/>
                <w:color w:val="000000"/>
              </w:rPr>
              <w:t>Spacing</w:t>
            </w:r>
          </w:p>
        </w:tc>
        <w:tc>
          <w:tcPr>
            <w:tcW w:w="1684" w:type="dxa"/>
            <w:tcBorders>
              <w:top w:val="single" w:sz="4" w:space="0" w:color="000000"/>
              <w:bottom w:val="single" w:sz="4" w:space="0" w:color="000000"/>
            </w:tcBorders>
          </w:tcPr>
          <w:p w:rsidR="0095301D" w:rsidRDefault="003506F1">
            <w:pPr>
              <w:pBdr>
                <w:top w:val="nil"/>
                <w:left w:val="nil"/>
                <w:bottom w:val="nil"/>
                <w:right w:val="nil"/>
                <w:between w:val="nil"/>
              </w:pBdr>
              <w:tabs>
                <w:tab w:val="left" w:pos="567"/>
              </w:tabs>
              <w:spacing w:before="40" w:after="40" w:line="240" w:lineRule="auto"/>
              <w:ind w:left="18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Numbering </w:t>
            </w:r>
          </w:p>
        </w:tc>
      </w:tr>
      <w:tr w:rsidR="0095301D">
        <w:trPr>
          <w:jc w:val="center"/>
        </w:trPr>
        <w:tc>
          <w:tcPr>
            <w:tcW w:w="1368" w:type="dxa"/>
            <w:shd w:val="clear" w:color="auto" w:fill="auto"/>
          </w:tcPr>
          <w:p w:rsidR="0095301D" w:rsidRDefault="003506F1">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Section</w:t>
            </w:r>
          </w:p>
        </w:tc>
        <w:tc>
          <w:tcPr>
            <w:tcW w:w="1265" w:type="dxa"/>
            <w:tcBorders>
              <w:top w:val="single" w:sz="4" w:space="0" w:color="000000"/>
            </w:tcBorders>
            <w:shd w:val="clear" w:color="auto" w:fill="auto"/>
          </w:tcPr>
          <w:p w:rsidR="0095301D" w:rsidRDefault="003506F1">
            <w:pPr>
              <w:pBdr>
                <w:top w:val="nil"/>
                <w:left w:val="nil"/>
                <w:bottom w:val="nil"/>
                <w:right w:val="nil"/>
                <w:between w:val="nil"/>
              </w:pBdr>
              <w:tabs>
                <w:tab w:val="left" w:pos="567"/>
              </w:tabs>
              <w:spacing w:after="0" w:line="240" w:lineRule="auto"/>
              <w:ind w:left="131"/>
              <w:rPr>
                <w:rFonts w:ascii="Times New Roman" w:eastAsia="Times New Roman" w:hAnsi="Times New Roman" w:cs="Times New Roman"/>
                <w:color w:val="000000"/>
              </w:rPr>
            </w:pPr>
            <w:r>
              <w:rPr>
                <w:rFonts w:ascii="Times New Roman" w:eastAsia="Times New Roman" w:hAnsi="Times New Roman" w:cs="Times New Roman"/>
                <w:color w:val="000000"/>
              </w:rPr>
              <w:t xml:space="preserve">11 point </w:t>
            </w:r>
            <w:r>
              <w:rPr>
                <w:rFonts w:ascii="Times New Roman" w:eastAsia="Times New Roman" w:hAnsi="Times New Roman" w:cs="Times New Roman"/>
                <w:b/>
                <w:color w:val="000000"/>
              </w:rPr>
              <w:t>Times bold</w:t>
            </w:r>
          </w:p>
        </w:tc>
        <w:tc>
          <w:tcPr>
            <w:tcW w:w="4304" w:type="dxa"/>
            <w:tcBorders>
              <w:top w:val="single" w:sz="4" w:space="0" w:color="000000"/>
            </w:tcBorders>
            <w:shd w:val="clear" w:color="auto" w:fill="auto"/>
          </w:tcPr>
          <w:p w:rsidR="0095301D" w:rsidRDefault="003506F1">
            <w:pPr>
              <w:pBdr>
                <w:top w:val="nil"/>
                <w:left w:val="nil"/>
                <w:bottom w:val="nil"/>
                <w:right w:val="nil"/>
                <w:between w:val="nil"/>
              </w:pBdr>
              <w:tabs>
                <w:tab w:val="left" w:pos="567"/>
              </w:tabs>
              <w:spacing w:after="0" w:line="240" w:lineRule="auto"/>
              <w:ind w:left="193"/>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1 line</w:t>
            </w:r>
            <w:proofErr w:type="gramEnd"/>
            <w:r>
              <w:rPr>
                <w:rFonts w:ascii="Times New Roman" w:eastAsia="Times New Roman" w:hAnsi="Times New Roman" w:cs="Times New Roman"/>
                <w:color w:val="000000"/>
              </w:rPr>
              <w:t xml:space="preserve"> space before a section</w:t>
            </w:r>
          </w:p>
          <w:p w:rsidR="0095301D" w:rsidRDefault="003506F1">
            <w:pPr>
              <w:pBdr>
                <w:top w:val="nil"/>
                <w:left w:val="nil"/>
                <w:bottom w:val="nil"/>
                <w:right w:val="nil"/>
                <w:between w:val="nil"/>
              </w:pBdr>
              <w:tabs>
                <w:tab w:val="left" w:pos="567"/>
              </w:tabs>
              <w:spacing w:after="0" w:line="240" w:lineRule="auto"/>
              <w:ind w:left="193"/>
              <w:rPr>
                <w:rFonts w:ascii="Times New Roman" w:eastAsia="Times New Roman" w:hAnsi="Times New Roman" w:cs="Times New Roman"/>
                <w:color w:val="000000"/>
              </w:rPr>
            </w:pPr>
            <w:r>
              <w:rPr>
                <w:rFonts w:ascii="Times New Roman" w:eastAsia="Times New Roman" w:hAnsi="Times New Roman" w:cs="Times New Roman"/>
                <w:color w:val="000000"/>
              </w:rPr>
              <w:t>No additional space after a section heading</w:t>
            </w:r>
          </w:p>
        </w:tc>
        <w:tc>
          <w:tcPr>
            <w:tcW w:w="1684" w:type="dxa"/>
            <w:tcBorders>
              <w:top w:val="single" w:sz="4" w:space="0" w:color="000000"/>
            </w:tcBorders>
          </w:tcPr>
          <w:p w:rsidR="0095301D" w:rsidRDefault="003506F1">
            <w:pPr>
              <w:pBdr>
                <w:top w:val="nil"/>
                <w:left w:val="nil"/>
                <w:bottom w:val="nil"/>
                <w:right w:val="nil"/>
                <w:between w:val="nil"/>
              </w:pBdr>
              <w:spacing w:after="0" w:line="240" w:lineRule="auto"/>
              <w:ind w:left="189"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1, 2, 3, </w:t>
            </w:r>
            <w:proofErr w:type="spellStart"/>
            <w:r>
              <w:rPr>
                <w:rFonts w:ascii="Times New Roman" w:eastAsia="Times New Roman" w:hAnsi="Times New Roman" w:cs="Times New Roman"/>
                <w:color w:val="000000"/>
              </w:rPr>
              <w:t>etc</w:t>
            </w:r>
            <w:proofErr w:type="spellEnd"/>
          </w:p>
          <w:p w:rsidR="0095301D" w:rsidRDefault="0095301D">
            <w:pPr>
              <w:pBdr>
                <w:top w:val="nil"/>
                <w:left w:val="nil"/>
                <w:bottom w:val="nil"/>
                <w:right w:val="nil"/>
                <w:between w:val="nil"/>
              </w:pBdr>
              <w:tabs>
                <w:tab w:val="left" w:pos="567"/>
              </w:tabs>
              <w:spacing w:after="0" w:line="240" w:lineRule="auto"/>
              <w:ind w:left="189"/>
              <w:jc w:val="both"/>
              <w:rPr>
                <w:rFonts w:ascii="Times New Roman" w:eastAsia="Times New Roman" w:hAnsi="Times New Roman" w:cs="Times New Roman"/>
                <w:color w:val="000000"/>
              </w:rPr>
            </w:pPr>
          </w:p>
        </w:tc>
      </w:tr>
      <w:tr w:rsidR="0095301D">
        <w:trPr>
          <w:jc w:val="center"/>
        </w:trPr>
        <w:tc>
          <w:tcPr>
            <w:tcW w:w="1368" w:type="dxa"/>
            <w:shd w:val="clear" w:color="auto" w:fill="auto"/>
          </w:tcPr>
          <w:p w:rsidR="0095301D" w:rsidRDefault="003506F1">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Subsection</w:t>
            </w:r>
          </w:p>
        </w:tc>
        <w:tc>
          <w:tcPr>
            <w:tcW w:w="1265" w:type="dxa"/>
            <w:shd w:val="clear" w:color="auto" w:fill="auto"/>
          </w:tcPr>
          <w:p w:rsidR="0095301D" w:rsidRDefault="003506F1">
            <w:pPr>
              <w:pBdr>
                <w:top w:val="nil"/>
                <w:left w:val="nil"/>
                <w:bottom w:val="nil"/>
                <w:right w:val="nil"/>
                <w:between w:val="nil"/>
              </w:pBdr>
              <w:tabs>
                <w:tab w:val="left" w:pos="567"/>
              </w:tabs>
              <w:spacing w:after="0" w:line="240" w:lineRule="auto"/>
              <w:ind w:left="131"/>
              <w:rPr>
                <w:rFonts w:ascii="Times New Roman" w:eastAsia="Times New Roman" w:hAnsi="Times New Roman" w:cs="Times New Roman"/>
                <w:color w:val="000000"/>
              </w:rPr>
            </w:pPr>
            <w:r>
              <w:rPr>
                <w:rFonts w:ascii="Times New Roman" w:eastAsia="Times New Roman" w:hAnsi="Times New Roman" w:cs="Times New Roman"/>
                <w:color w:val="000000"/>
              </w:rPr>
              <w:t xml:space="preserve">11 point </w:t>
            </w:r>
            <w:r>
              <w:rPr>
                <w:rFonts w:ascii="Times New Roman" w:eastAsia="Times New Roman" w:hAnsi="Times New Roman" w:cs="Times New Roman"/>
                <w:i/>
                <w:color w:val="000000"/>
              </w:rPr>
              <w:t>Times Italic</w:t>
            </w:r>
          </w:p>
        </w:tc>
        <w:tc>
          <w:tcPr>
            <w:tcW w:w="4304" w:type="dxa"/>
            <w:shd w:val="clear" w:color="auto" w:fill="auto"/>
          </w:tcPr>
          <w:p w:rsidR="0095301D" w:rsidRDefault="003506F1">
            <w:pPr>
              <w:pBdr>
                <w:top w:val="nil"/>
                <w:left w:val="nil"/>
                <w:bottom w:val="nil"/>
                <w:right w:val="nil"/>
                <w:between w:val="nil"/>
              </w:pBdr>
              <w:tabs>
                <w:tab w:val="left" w:pos="567"/>
              </w:tabs>
              <w:spacing w:after="0" w:line="240" w:lineRule="auto"/>
              <w:ind w:left="193"/>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1 line</w:t>
            </w:r>
            <w:proofErr w:type="gramEnd"/>
            <w:r>
              <w:rPr>
                <w:rFonts w:ascii="Times New Roman" w:eastAsia="Times New Roman" w:hAnsi="Times New Roman" w:cs="Times New Roman"/>
                <w:color w:val="000000"/>
              </w:rPr>
              <w:t xml:space="preserve"> space before a subsection</w:t>
            </w:r>
          </w:p>
          <w:p w:rsidR="0095301D" w:rsidRDefault="003506F1">
            <w:pPr>
              <w:pBdr>
                <w:top w:val="nil"/>
                <w:left w:val="nil"/>
                <w:bottom w:val="nil"/>
                <w:right w:val="nil"/>
                <w:between w:val="nil"/>
              </w:pBdr>
              <w:tabs>
                <w:tab w:val="left" w:pos="567"/>
              </w:tabs>
              <w:spacing w:after="0" w:line="240" w:lineRule="auto"/>
              <w:ind w:left="193"/>
              <w:rPr>
                <w:rFonts w:ascii="Times New Roman" w:eastAsia="Times New Roman" w:hAnsi="Times New Roman" w:cs="Times New Roman"/>
                <w:color w:val="000000"/>
              </w:rPr>
            </w:pPr>
            <w:r>
              <w:rPr>
                <w:rFonts w:ascii="Times New Roman" w:eastAsia="Times New Roman" w:hAnsi="Times New Roman" w:cs="Times New Roman"/>
                <w:color w:val="000000"/>
              </w:rPr>
              <w:t xml:space="preserve">No space after a </w:t>
            </w:r>
            <w:proofErr w:type="spellStart"/>
            <w:r>
              <w:rPr>
                <w:rFonts w:ascii="Times New Roman" w:eastAsia="Times New Roman" w:hAnsi="Times New Roman" w:cs="Times New Roman"/>
                <w:color w:val="000000"/>
              </w:rPr>
              <w:t>subsubsection</w:t>
            </w:r>
            <w:proofErr w:type="spellEnd"/>
            <w:r>
              <w:rPr>
                <w:rFonts w:ascii="Times New Roman" w:eastAsia="Times New Roman" w:hAnsi="Times New Roman" w:cs="Times New Roman"/>
                <w:color w:val="000000"/>
              </w:rPr>
              <w:t xml:space="preserve"> heading</w:t>
            </w:r>
          </w:p>
        </w:tc>
        <w:tc>
          <w:tcPr>
            <w:tcW w:w="1684" w:type="dxa"/>
          </w:tcPr>
          <w:p w:rsidR="0095301D" w:rsidRDefault="003506F1">
            <w:pPr>
              <w:pBdr>
                <w:top w:val="nil"/>
                <w:left w:val="nil"/>
                <w:bottom w:val="nil"/>
                <w:right w:val="nil"/>
                <w:between w:val="nil"/>
              </w:pBdr>
              <w:tabs>
                <w:tab w:val="left" w:pos="567"/>
              </w:tabs>
              <w:spacing w:after="0" w:line="240" w:lineRule="auto"/>
              <w:ind w:left="18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2.1, 2.2, 2.3, </w:t>
            </w:r>
            <w:proofErr w:type="spellStart"/>
            <w:r>
              <w:rPr>
                <w:rFonts w:ascii="Times New Roman" w:eastAsia="Times New Roman" w:hAnsi="Times New Roman" w:cs="Times New Roman"/>
                <w:color w:val="000000"/>
              </w:rPr>
              <w:t>etc</w:t>
            </w:r>
            <w:proofErr w:type="spellEnd"/>
          </w:p>
        </w:tc>
      </w:tr>
      <w:tr w:rsidR="0095301D">
        <w:trPr>
          <w:jc w:val="center"/>
        </w:trPr>
        <w:tc>
          <w:tcPr>
            <w:tcW w:w="1368" w:type="dxa"/>
            <w:tcBorders>
              <w:bottom w:val="single" w:sz="4" w:space="0" w:color="000000"/>
            </w:tcBorders>
            <w:shd w:val="clear" w:color="auto" w:fill="auto"/>
          </w:tcPr>
          <w:p w:rsidR="0095301D" w:rsidRDefault="003506F1">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Subsubsection</w:t>
            </w:r>
            <w:proofErr w:type="spellEnd"/>
          </w:p>
        </w:tc>
        <w:tc>
          <w:tcPr>
            <w:tcW w:w="1265" w:type="dxa"/>
            <w:tcBorders>
              <w:bottom w:val="single" w:sz="4" w:space="0" w:color="000000"/>
            </w:tcBorders>
            <w:shd w:val="clear" w:color="auto" w:fill="auto"/>
          </w:tcPr>
          <w:p w:rsidR="0095301D" w:rsidRDefault="003506F1">
            <w:pPr>
              <w:pBdr>
                <w:top w:val="nil"/>
                <w:left w:val="nil"/>
                <w:bottom w:val="nil"/>
                <w:right w:val="nil"/>
                <w:between w:val="nil"/>
              </w:pBdr>
              <w:tabs>
                <w:tab w:val="left" w:pos="567"/>
              </w:tabs>
              <w:spacing w:after="0" w:line="240" w:lineRule="auto"/>
              <w:ind w:left="131"/>
              <w:rPr>
                <w:rFonts w:ascii="Times New Roman" w:eastAsia="Times New Roman" w:hAnsi="Times New Roman" w:cs="Times New Roman"/>
                <w:color w:val="000000"/>
              </w:rPr>
            </w:pPr>
            <w:r>
              <w:rPr>
                <w:rFonts w:ascii="Times New Roman" w:eastAsia="Times New Roman" w:hAnsi="Times New Roman" w:cs="Times New Roman"/>
                <w:color w:val="000000"/>
              </w:rPr>
              <w:t xml:space="preserve">11 point </w:t>
            </w:r>
            <w:r>
              <w:rPr>
                <w:rFonts w:ascii="Times New Roman" w:eastAsia="Times New Roman" w:hAnsi="Times New Roman" w:cs="Times New Roman"/>
                <w:i/>
                <w:color w:val="000000"/>
              </w:rPr>
              <w:t>Times Italic</w:t>
            </w:r>
          </w:p>
        </w:tc>
        <w:tc>
          <w:tcPr>
            <w:tcW w:w="4304" w:type="dxa"/>
            <w:tcBorders>
              <w:bottom w:val="single" w:sz="4" w:space="0" w:color="000000"/>
            </w:tcBorders>
            <w:shd w:val="clear" w:color="auto" w:fill="auto"/>
          </w:tcPr>
          <w:p w:rsidR="0095301D" w:rsidRDefault="003506F1">
            <w:pPr>
              <w:pBdr>
                <w:top w:val="nil"/>
                <w:left w:val="nil"/>
                <w:bottom w:val="nil"/>
                <w:right w:val="nil"/>
                <w:between w:val="nil"/>
              </w:pBdr>
              <w:tabs>
                <w:tab w:val="left" w:pos="567"/>
              </w:tabs>
              <w:spacing w:after="0" w:line="240" w:lineRule="auto"/>
              <w:ind w:left="193"/>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Subsubsections</w:t>
            </w:r>
            <w:proofErr w:type="spellEnd"/>
            <w:r>
              <w:rPr>
                <w:rFonts w:ascii="Times New Roman" w:eastAsia="Times New Roman" w:hAnsi="Times New Roman" w:cs="Times New Roman"/>
                <w:color w:val="000000"/>
              </w:rPr>
              <w:t xml:space="preserve"> should end with a full stop (period) and run into the text of the paragraph</w:t>
            </w:r>
          </w:p>
        </w:tc>
        <w:tc>
          <w:tcPr>
            <w:tcW w:w="1684" w:type="dxa"/>
            <w:tcBorders>
              <w:bottom w:val="single" w:sz="4" w:space="0" w:color="000000"/>
            </w:tcBorders>
          </w:tcPr>
          <w:p w:rsidR="0095301D" w:rsidRDefault="003506F1">
            <w:pPr>
              <w:pBdr>
                <w:top w:val="nil"/>
                <w:left w:val="nil"/>
                <w:bottom w:val="nil"/>
                <w:right w:val="nil"/>
                <w:between w:val="nil"/>
              </w:pBdr>
              <w:tabs>
                <w:tab w:val="left" w:pos="567"/>
              </w:tabs>
              <w:spacing w:after="0" w:line="240" w:lineRule="auto"/>
              <w:ind w:left="18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2.3.1, 2.3.2, </w:t>
            </w:r>
            <w:proofErr w:type="spellStart"/>
            <w:r>
              <w:rPr>
                <w:rFonts w:ascii="Times New Roman" w:eastAsia="Times New Roman" w:hAnsi="Times New Roman" w:cs="Times New Roman"/>
                <w:color w:val="000000"/>
              </w:rPr>
              <w:t>etc</w:t>
            </w:r>
            <w:proofErr w:type="spellEnd"/>
          </w:p>
        </w:tc>
      </w:tr>
    </w:tbl>
    <w:p w:rsidR="0095301D" w:rsidRDefault="0095301D">
      <w:pPr>
        <w:spacing w:after="0"/>
        <w:jc w:val="both"/>
        <w:rPr>
          <w:rFonts w:ascii="Times New Roman" w:eastAsia="Times New Roman" w:hAnsi="Times New Roman" w:cs="Times New Roman"/>
          <w:i/>
        </w:rPr>
      </w:pPr>
    </w:p>
    <w:p w:rsidR="0095301D" w:rsidRDefault="003506F1">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Topic1</w:t>
      </w:r>
    </w:p>
    <w:p w:rsidR="0095301D" w:rsidRDefault="003506F1">
      <w:pPr>
        <w:spacing w:after="240"/>
        <w:jc w:val="both"/>
        <w:rPr>
          <w:rFonts w:ascii="Times New Roman" w:eastAsia="Times New Roman" w:hAnsi="Times New Roman" w:cs="Times New Roman"/>
          <w:color w:val="000000"/>
        </w:rPr>
      </w:pPr>
      <w:r>
        <w:rPr>
          <w:rFonts w:ascii="Times New Roman" w:eastAsia="Times New Roman" w:hAnsi="Times New Roman" w:cs="Times New Roman"/>
          <w:color w:val="000000"/>
        </w:rPr>
        <w:t>Section on the topic can be more than one according to the needs of the author. The content of the topic section according to the author's needs. For the section "topic", the author gives the title according to the needs of the author and the number of top</w:t>
      </w:r>
      <w:r>
        <w:rPr>
          <w:rFonts w:ascii="Times New Roman" w:eastAsia="Times New Roman" w:hAnsi="Times New Roman" w:cs="Times New Roman"/>
          <w:color w:val="000000"/>
        </w:rPr>
        <w:t xml:space="preserve">ics according to the needs of the author. If there is only one topic, then the section number follows to be: 1. Introduction, </w:t>
      </w:r>
      <w:proofErr w:type="gramStart"/>
      <w:r>
        <w:rPr>
          <w:rFonts w:ascii="Times New Roman" w:eastAsia="Times New Roman" w:hAnsi="Times New Roman" w:cs="Times New Roman"/>
          <w:color w:val="000000"/>
        </w:rPr>
        <w:t>2.Topic</w:t>
      </w:r>
      <w:proofErr w:type="gramEnd"/>
      <w:r>
        <w:rPr>
          <w:rFonts w:ascii="Times New Roman" w:eastAsia="Times New Roman" w:hAnsi="Times New Roman" w:cs="Times New Roman"/>
          <w:color w:val="000000"/>
        </w:rPr>
        <w:t xml:space="preserve"> (title according to author's need), 3. Conclusion, 4. References.</w:t>
      </w:r>
    </w:p>
    <w:p w:rsidR="0095301D" w:rsidRDefault="003506F1">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Topic2</w:t>
      </w:r>
    </w:p>
    <w:p w:rsidR="0095301D" w:rsidRDefault="003506F1">
      <w:pPr>
        <w:spacing w:after="240"/>
        <w:jc w:val="both"/>
        <w:rPr>
          <w:rFonts w:ascii="Times New Roman" w:eastAsia="Times New Roman" w:hAnsi="Times New Roman" w:cs="Times New Roman"/>
          <w:color w:val="000000"/>
        </w:rPr>
      </w:pPr>
      <w:r>
        <w:rPr>
          <w:rFonts w:ascii="Times New Roman" w:eastAsia="Times New Roman" w:hAnsi="Times New Roman" w:cs="Times New Roman"/>
          <w:color w:val="000000"/>
        </w:rPr>
        <w:t>Section on the topic can be more than one accordi</w:t>
      </w:r>
      <w:r>
        <w:rPr>
          <w:rFonts w:ascii="Times New Roman" w:eastAsia="Times New Roman" w:hAnsi="Times New Roman" w:cs="Times New Roman"/>
          <w:color w:val="000000"/>
        </w:rPr>
        <w:t>ng to the needs of the author. The content of the topic section according to the author's needs. This is an example. This is an example. This is an example. This is an example. This is an example. This is an example. This is an example. This is an example.</w:t>
      </w:r>
      <w:r>
        <w:rPr>
          <w:rFonts w:ascii="Times New Roman" w:eastAsia="Times New Roman" w:hAnsi="Times New Roman" w:cs="Times New Roman"/>
          <w:color w:val="000000"/>
        </w:rPr>
        <w:t xml:space="preserve"> This is an example. This is an example. This is an example. This is an example.</w:t>
      </w:r>
    </w:p>
    <w:p w:rsidR="0095301D" w:rsidRDefault="003506F1">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Conclusion</w:t>
      </w:r>
    </w:p>
    <w:p w:rsidR="0095301D" w:rsidRDefault="003506F1">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This is an example. This is an example. This is an example. This is an example. Please make sure you read the author guidelines to clarify how the article is written. This template is just an example.</w:t>
      </w:r>
    </w:p>
    <w:p w:rsidR="0095301D" w:rsidRDefault="0095301D">
      <w:pPr>
        <w:spacing w:after="0"/>
        <w:rPr>
          <w:rFonts w:ascii="Times New Roman" w:eastAsia="Times New Roman" w:hAnsi="Times New Roman" w:cs="Times New Roman"/>
          <w:color w:val="000000"/>
        </w:rPr>
      </w:pPr>
    </w:p>
    <w:p w:rsidR="0095301D" w:rsidRDefault="003506F1">
      <w:pPr>
        <w:spacing w:after="0"/>
        <w:rPr>
          <w:rFonts w:ascii="Times New Roman" w:eastAsia="Times New Roman" w:hAnsi="Times New Roman" w:cs="Times New Roman"/>
          <w:b/>
        </w:rPr>
      </w:pPr>
      <w:r>
        <w:rPr>
          <w:rFonts w:ascii="Times New Roman" w:eastAsia="Times New Roman" w:hAnsi="Times New Roman" w:cs="Times New Roman"/>
          <w:b/>
        </w:rPr>
        <w:t>Acknowledgments</w:t>
      </w:r>
    </w:p>
    <w:p w:rsidR="0095301D" w:rsidRDefault="003506F1">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Authors wishing to acknowledge assista</w:t>
      </w:r>
      <w:r>
        <w:rPr>
          <w:rFonts w:ascii="Times New Roman" w:eastAsia="Times New Roman" w:hAnsi="Times New Roman" w:cs="Times New Roman"/>
          <w:color w:val="000000"/>
        </w:rPr>
        <w:t>nce or encouragement from colleagues, special work by technical staff or financial support from organizations should do so in an unnumbered Acknowledgments section immediately following the last numbered section of the paper.</w:t>
      </w:r>
    </w:p>
    <w:p w:rsidR="0095301D" w:rsidRDefault="0095301D">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95301D" w:rsidRDefault="003506F1">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References </w:t>
      </w:r>
    </w:p>
    <w:p w:rsidR="0095301D" w:rsidRDefault="003506F1">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color w:val="000000"/>
        </w:rPr>
        <w:tab/>
        <w:t xml:space="preserve">Sze S M 1969 </w:t>
      </w:r>
      <w:r>
        <w:rPr>
          <w:rFonts w:ascii="Times New Roman" w:eastAsia="Times New Roman" w:hAnsi="Times New Roman" w:cs="Times New Roman"/>
          <w:i/>
          <w:color w:val="000000"/>
        </w:rPr>
        <w:t xml:space="preserve">Physics of Semiconductor Devices </w:t>
      </w:r>
      <w:r>
        <w:rPr>
          <w:rFonts w:ascii="Times New Roman" w:eastAsia="Times New Roman" w:hAnsi="Times New Roman" w:cs="Times New Roman"/>
          <w:color w:val="000000"/>
        </w:rPr>
        <w:t>(New York: Wiley–</w:t>
      </w:r>
      <w:proofErr w:type="spellStart"/>
      <w:r>
        <w:rPr>
          <w:rFonts w:ascii="Times New Roman" w:eastAsia="Times New Roman" w:hAnsi="Times New Roman" w:cs="Times New Roman"/>
          <w:color w:val="000000"/>
        </w:rPr>
        <w:t>Interscience</w:t>
      </w:r>
      <w:proofErr w:type="spellEnd"/>
      <w:r>
        <w:rPr>
          <w:rFonts w:ascii="Times New Roman" w:eastAsia="Times New Roman" w:hAnsi="Times New Roman" w:cs="Times New Roman"/>
          <w:color w:val="000000"/>
        </w:rPr>
        <w:t>)</w:t>
      </w:r>
    </w:p>
    <w:p w:rsidR="0095301D" w:rsidRDefault="003506F1">
      <w:pPr>
        <w:pBdr>
          <w:top w:val="nil"/>
          <w:left w:val="nil"/>
          <w:bottom w:val="nil"/>
          <w:right w:val="nil"/>
          <w:between w:val="nil"/>
        </w:pBdr>
        <w:tabs>
          <w:tab w:val="left" w:pos="851"/>
        </w:tabs>
        <w:spacing w:after="0"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r>
        <w:rPr>
          <w:rFonts w:ascii="Times New Roman" w:eastAsia="Times New Roman" w:hAnsi="Times New Roman" w:cs="Times New Roman"/>
          <w:color w:val="000000"/>
        </w:rPr>
        <w:tab/>
        <w:t xml:space="preserve">Dorman L I 1975 </w:t>
      </w:r>
      <w:r>
        <w:rPr>
          <w:rFonts w:ascii="Times New Roman" w:eastAsia="Times New Roman" w:hAnsi="Times New Roman" w:cs="Times New Roman"/>
          <w:i/>
          <w:color w:val="000000"/>
        </w:rPr>
        <w:t>Variations of Galactic Cosmic Rays</w:t>
      </w:r>
      <w:r>
        <w:rPr>
          <w:rFonts w:ascii="Times New Roman" w:eastAsia="Times New Roman" w:hAnsi="Times New Roman" w:cs="Times New Roman"/>
          <w:color w:val="000000"/>
        </w:rPr>
        <w:t xml:space="preserve"> (Moscow: Moscow State University </w:t>
      </w:r>
      <w:r>
        <w:rPr>
          <w:rFonts w:ascii="Times New Roman" w:eastAsia="Times New Roman" w:hAnsi="Times New Roman" w:cs="Times New Roman"/>
          <w:color w:val="000000"/>
        </w:rPr>
        <w:tab/>
        <w:t>Press) p 103</w:t>
      </w:r>
    </w:p>
    <w:p w:rsidR="0095301D" w:rsidRDefault="003506F1">
      <w:pPr>
        <w:pBdr>
          <w:top w:val="nil"/>
          <w:left w:val="nil"/>
          <w:bottom w:val="nil"/>
          <w:right w:val="nil"/>
          <w:between w:val="nil"/>
        </w:pBdr>
        <w:tabs>
          <w:tab w:val="left" w:pos="851"/>
        </w:tabs>
        <w:spacing w:after="0"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r>
        <w:rPr>
          <w:rFonts w:ascii="Times New Roman" w:eastAsia="Times New Roman" w:hAnsi="Times New Roman" w:cs="Times New Roman"/>
          <w:color w:val="000000"/>
        </w:rPr>
        <w:tab/>
      </w:r>
      <w:proofErr w:type="spellStart"/>
      <w:r>
        <w:rPr>
          <w:rFonts w:ascii="Times New Roman" w:eastAsia="Times New Roman" w:hAnsi="Times New Roman" w:cs="Times New Roman"/>
          <w:color w:val="000000"/>
        </w:rPr>
        <w:t>Caplar</w:t>
      </w:r>
      <w:proofErr w:type="spellEnd"/>
      <w:r>
        <w:rPr>
          <w:rFonts w:ascii="Times New Roman" w:eastAsia="Times New Roman" w:hAnsi="Times New Roman" w:cs="Times New Roman"/>
          <w:color w:val="000000"/>
        </w:rPr>
        <w:t xml:space="preserve"> R and </w:t>
      </w:r>
      <w:proofErr w:type="spellStart"/>
      <w:r>
        <w:rPr>
          <w:rFonts w:ascii="Times New Roman" w:eastAsia="Times New Roman" w:hAnsi="Times New Roman" w:cs="Times New Roman"/>
          <w:color w:val="000000"/>
        </w:rPr>
        <w:t>Kulisic</w:t>
      </w:r>
      <w:proofErr w:type="spellEnd"/>
      <w:r>
        <w:rPr>
          <w:rFonts w:ascii="Times New Roman" w:eastAsia="Times New Roman" w:hAnsi="Times New Roman" w:cs="Times New Roman"/>
          <w:color w:val="000000"/>
        </w:rPr>
        <w:t xml:space="preserve"> P 1973 </w:t>
      </w:r>
      <w:r>
        <w:rPr>
          <w:rFonts w:ascii="Times New Roman" w:eastAsia="Times New Roman" w:hAnsi="Times New Roman" w:cs="Times New Roman"/>
          <w:i/>
          <w:color w:val="000000"/>
        </w:rPr>
        <w:t>Proc. Int. Conf. on Nuclear Physics (Munich)</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vol</w:t>
      </w:r>
      <w:proofErr w:type="spellEnd"/>
      <w:r>
        <w:rPr>
          <w:rFonts w:ascii="Times New Roman" w:eastAsia="Times New Roman" w:hAnsi="Times New Roman" w:cs="Times New Roman"/>
          <w:color w:val="000000"/>
        </w:rPr>
        <w:t xml:space="preserve"> 1 (Amsterdam: </w:t>
      </w:r>
      <w:r>
        <w:rPr>
          <w:rFonts w:ascii="Times New Roman" w:eastAsia="Times New Roman" w:hAnsi="Times New Roman" w:cs="Times New Roman"/>
          <w:color w:val="000000"/>
        </w:rPr>
        <w:tab/>
        <w:t>North-Holland/American Elsevier) p 517</w:t>
      </w:r>
    </w:p>
    <w:p w:rsidR="0095301D" w:rsidRDefault="003506F1">
      <w:pPr>
        <w:pBdr>
          <w:top w:val="nil"/>
          <w:left w:val="nil"/>
          <w:bottom w:val="nil"/>
          <w:right w:val="nil"/>
          <w:between w:val="nil"/>
        </w:pBdr>
        <w:tabs>
          <w:tab w:val="left" w:pos="851"/>
        </w:tabs>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[4]</w:t>
      </w:r>
      <w:r>
        <w:rPr>
          <w:rFonts w:ascii="Times New Roman" w:eastAsia="Times New Roman" w:hAnsi="Times New Roman" w:cs="Times New Roman"/>
          <w:color w:val="000000"/>
        </w:rPr>
        <w:tab/>
      </w:r>
      <w:proofErr w:type="spellStart"/>
      <w:r>
        <w:rPr>
          <w:rFonts w:ascii="Times New Roman" w:eastAsia="Times New Roman" w:hAnsi="Times New Roman" w:cs="Times New Roman"/>
          <w:color w:val="000000"/>
        </w:rPr>
        <w:t>Szytula</w:t>
      </w:r>
      <w:proofErr w:type="spellEnd"/>
      <w:r>
        <w:rPr>
          <w:rFonts w:ascii="Times New Roman" w:eastAsia="Times New Roman" w:hAnsi="Times New Roman" w:cs="Times New Roman"/>
          <w:color w:val="000000"/>
        </w:rPr>
        <w:t xml:space="preserve"> A and </w:t>
      </w:r>
      <w:proofErr w:type="spellStart"/>
      <w:r>
        <w:rPr>
          <w:rFonts w:ascii="Times New Roman" w:eastAsia="Times New Roman" w:hAnsi="Times New Roman" w:cs="Times New Roman"/>
          <w:color w:val="000000"/>
        </w:rPr>
        <w:t>Leciejewicz</w:t>
      </w:r>
      <w:proofErr w:type="spellEnd"/>
      <w:r>
        <w:rPr>
          <w:rFonts w:ascii="Times New Roman" w:eastAsia="Times New Roman" w:hAnsi="Times New Roman" w:cs="Times New Roman"/>
          <w:color w:val="000000"/>
        </w:rPr>
        <w:t xml:space="preserve"> J 1989 </w:t>
      </w:r>
      <w:r>
        <w:rPr>
          <w:rFonts w:ascii="Times New Roman" w:eastAsia="Times New Roman" w:hAnsi="Times New Roman" w:cs="Times New Roman"/>
          <w:i/>
          <w:color w:val="000000"/>
        </w:rPr>
        <w:t>Handbook on the Physics and Chemistry of Rare Earths</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vol</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xml:space="preserve">12, </w:t>
      </w:r>
      <w:proofErr w:type="spellStart"/>
      <w:r>
        <w:rPr>
          <w:rFonts w:ascii="Times New Roman" w:eastAsia="Times New Roman" w:hAnsi="Times New Roman" w:cs="Times New Roman"/>
          <w:color w:val="000000"/>
        </w:rPr>
        <w:t>ed</w:t>
      </w:r>
      <w:proofErr w:type="spellEnd"/>
      <w:r>
        <w:rPr>
          <w:rFonts w:ascii="Times New Roman" w:eastAsia="Times New Roman" w:hAnsi="Times New Roman" w:cs="Times New Roman"/>
          <w:color w:val="000000"/>
        </w:rPr>
        <w:t xml:space="preserve"> K </w:t>
      </w:r>
      <w:proofErr w:type="gramStart"/>
      <w:r>
        <w:rPr>
          <w:rFonts w:ascii="Times New Roman" w:eastAsia="Times New Roman" w:hAnsi="Times New Roman" w:cs="Times New Roman"/>
          <w:color w:val="000000"/>
        </w:rPr>
        <w:t>A</w:t>
      </w:r>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Gschneidner</w:t>
      </w:r>
      <w:proofErr w:type="spellEnd"/>
      <w:r>
        <w:rPr>
          <w:rFonts w:ascii="Times New Roman" w:eastAsia="Times New Roman" w:hAnsi="Times New Roman" w:cs="Times New Roman"/>
          <w:color w:val="000000"/>
        </w:rPr>
        <w:t xml:space="preserve"> Jr and L Erwin (Amsterdam: Elsevier) p 133</w:t>
      </w:r>
    </w:p>
    <w:p w:rsidR="0095301D" w:rsidRDefault="0095301D">
      <w:pPr>
        <w:spacing w:after="240"/>
        <w:rPr>
          <w:rFonts w:ascii="Times New Roman" w:eastAsia="Times New Roman" w:hAnsi="Times New Roman" w:cs="Times New Roman"/>
          <w:b/>
        </w:rPr>
      </w:pPr>
    </w:p>
    <w:sectPr w:rsidR="0095301D">
      <w:pgSz w:w="11906" w:h="16838"/>
      <w:pgMar w:top="2268" w:right="1418" w:bottom="153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63DF9"/>
    <w:multiLevelType w:val="multilevel"/>
    <w:tmpl w:val="6002AF9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44FF35A4"/>
    <w:multiLevelType w:val="multilevel"/>
    <w:tmpl w:val="19AE9FE8"/>
    <w:lvl w:ilvl="0">
      <w:start w:val="1"/>
      <w:numFmt w:val="decimal"/>
      <w:pStyle w:val="Bulleted"/>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1D"/>
    <w:rsid w:val="003506F1"/>
    <w:rsid w:val="004622EB"/>
    <w:rsid w:val="006C18B0"/>
    <w:rsid w:val="0095301D"/>
    <w:rsid w:val="00EB46BE"/>
    <w:rsid w:val="00F62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C9138"/>
  <w15:docId w15:val="{5A866C86-13DE-4E23-8F9D-CA44CD2DB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rPr>
  </w:style>
  <w:style w:type="paragraph" w:customStyle="1" w:styleId="TableCaption">
    <w:name w:val="Table.Caption"/>
    <w:rsid w:val="00806541"/>
    <w:pPr>
      <w:spacing w:after="120" w:line="240" w:lineRule="auto"/>
      <w:jc w:val="both"/>
    </w:pPr>
    <w:rPr>
      <w:rFonts w:ascii="Times" w:eastAsia="Times New Roman" w:hAnsi="Times" w:cs="Times New Roman"/>
      <w:color w:val="000000"/>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40" w:type="dxa"/>
        <w:left w:w="0" w:type="dxa"/>
        <w:bottom w:w="4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AMUW2mWhFPTa3yYEns90FMNkBYPIs4qDbTcVmMwzAJa5UE9oauodThUC833kR1xX4LPNx3MEOFkjwa3q2226RybQnVtkqigDLn1sBkm5JVzjIhSM3HL9sLsVU3RcHq2pvpq58q8B+0xm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Muhfizaturrahmah Muhfizaturrahmah</cp:lastModifiedBy>
  <cp:revision>5</cp:revision>
  <dcterms:created xsi:type="dcterms:W3CDTF">2020-08-30T17:36:00Z</dcterms:created>
  <dcterms:modified xsi:type="dcterms:W3CDTF">2020-08-30T18:39:00Z</dcterms:modified>
</cp:coreProperties>
</file>