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B759B" w14:textId="7A894E84" w:rsidR="00E80062" w:rsidRPr="00EB44DF" w:rsidRDefault="001778E4" w:rsidP="00EB44DF">
      <w:pPr>
        <w:jc w:val="both"/>
        <w:rPr>
          <w:b/>
          <w:sz w:val="34"/>
          <w:szCs w:val="34"/>
        </w:rPr>
      </w:pPr>
      <w:r>
        <w:rPr>
          <w:b/>
          <w:sz w:val="34"/>
          <w:szCs w:val="34"/>
        </w:rPr>
        <w:t>T</w:t>
      </w:r>
      <w:r w:rsidRPr="00EB44DF">
        <w:rPr>
          <w:b/>
          <w:sz w:val="34"/>
          <w:szCs w:val="34"/>
        </w:rPr>
        <w:t xml:space="preserve">he quality of cognitive learning achievement test items at the food engineering education study program </w:t>
      </w:r>
    </w:p>
    <w:p w14:paraId="69DB8064" w14:textId="77777777" w:rsidR="00E80062" w:rsidRPr="00554EFB" w:rsidRDefault="00E80062" w:rsidP="00EB44DF">
      <w:pPr>
        <w:jc w:val="center"/>
        <w:outlineLvl w:val="0"/>
        <w:rPr>
          <w:rFonts w:asciiTheme="majorBidi" w:hAnsiTheme="majorBidi" w:cstheme="majorBidi"/>
          <w:b/>
          <w:sz w:val="24"/>
        </w:rPr>
      </w:pPr>
    </w:p>
    <w:p w14:paraId="24D9684D" w14:textId="538DD2EC" w:rsidR="00E80062" w:rsidRPr="00554EFB" w:rsidRDefault="00EB44DF" w:rsidP="00722F79">
      <w:pPr>
        <w:ind w:left="1418"/>
      </w:pPr>
      <w:proofErr w:type="spellStart"/>
      <w:r>
        <w:t>Prihastuti</w:t>
      </w:r>
      <w:proofErr w:type="spellEnd"/>
      <w:r>
        <w:t xml:space="preserve"> Ekawatiningsih</w:t>
      </w:r>
      <w:r w:rsidRPr="00554EFB">
        <w:rPr>
          <w:bCs/>
          <w:vertAlign w:val="superscript"/>
        </w:rPr>
        <w:t>1</w:t>
      </w:r>
      <w:r>
        <w:t>, Sugijono</w:t>
      </w:r>
      <w:r w:rsidR="005D0A7E">
        <w:rPr>
          <w:bCs/>
          <w:vertAlign w:val="superscript"/>
        </w:rPr>
        <w:t>2</w:t>
      </w:r>
      <w:r>
        <w:t xml:space="preserve"> and </w:t>
      </w:r>
      <w:proofErr w:type="spellStart"/>
      <w:r w:rsidR="00E80062" w:rsidRPr="00554EFB">
        <w:t>Wika</w:t>
      </w:r>
      <w:proofErr w:type="spellEnd"/>
      <w:r w:rsidR="00E80062" w:rsidRPr="00554EFB">
        <w:t xml:space="preserve"> Rinawati</w:t>
      </w:r>
      <w:r w:rsidR="005D0A7E">
        <w:rPr>
          <w:bCs/>
          <w:vertAlign w:val="superscript"/>
        </w:rPr>
        <w:t>3</w:t>
      </w:r>
    </w:p>
    <w:p w14:paraId="438321FF" w14:textId="77777777" w:rsidR="00E80062" w:rsidRPr="00554EFB" w:rsidRDefault="00E80062" w:rsidP="00722F79">
      <w:pPr>
        <w:ind w:left="1418"/>
      </w:pPr>
    </w:p>
    <w:p w14:paraId="18BC0D2E" w14:textId="1CCA96E0" w:rsidR="00E80062" w:rsidRDefault="00722F79" w:rsidP="00722F79">
      <w:pPr>
        <w:ind w:left="1418"/>
        <w:jc w:val="both"/>
        <w:rPr>
          <w:rFonts w:cs="Times New Roman"/>
        </w:rPr>
      </w:pPr>
      <w:r w:rsidRPr="00DD6B78">
        <w:rPr>
          <w:rFonts w:eastAsia="Calibri" w:cs="Times New Roman"/>
        </w:rPr>
        <w:t xml:space="preserve">Department </w:t>
      </w:r>
      <w:proofErr w:type="gramStart"/>
      <w:r w:rsidRPr="00DD6B78">
        <w:rPr>
          <w:rFonts w:eastAsia="Calibri" w:cs="Times New Roman"/>
        </w:rPr>
        <w:t>of  Culinary</w:t>
      </w:r>
      <w:proofErr w:type="gramEnd"/>
      <w:r w:rsidRPr="00DD6B78">
        <w:rPr>
          <w:rFonts w:eastAsia="Calibri" w:cs="Times New Roman"/>
        </w:rPr>
        <w:t xml:space="preserve"> Engineering Education</w:t>
      </w:r>
      <w:r w:rsidRPr="000D70F7">
        <w:rPr>
          <w:rFonts w:cs="Times New Roman"/>
        </w:rPr>
        <w:t xml:space="preserve">, Faculty of Engineering, </w:t>
      </w:r>
      <w:proofErr w:type="spellStart"/>
      <w:r w:rsidRPr="000D70F7">
        <w:rPr>
          <w:rFonts w:cs="Times New Roman"/>
        </w:rPr>
        <w:t>Universitas</w:t>
      </w:r>
      <w:proofErr w:type="spellEnd"/>
      <w:r w:rsidRPr="000D70F7">
        <w:rPr>
          <w:rFonts w:cs="Times New Roman"/>
        </w:rPr>
        <w:t xml:space="preserve"> </w:t>
      </w:r>
      <w:proofErr w:type="spellStart"/>
      <w:r w:rsidRPr="000D70F7">
        <w:rPr>
          <w:rFonts w:cs="Times New Roman"/>
        </w:rPr>
        <w:t>Negeri</w:t>
      </w:r>
      <w:proofErr w:type="spellEnd"/>
      <w:r w:rsidRPr="000D70F7">
        <w:rPr>
          <w:rFonts w:cs="Times New Roman"/>
        </w:rPr>
        <w:t xml:space="preserve"> Yogyakarta, Indonesia</w:t>
      </w:r>
    </w:p>
    <w:p w14:paraId="56766007" w14:textId="77777777" w:rsidR="00722F79" w:rsidRDefault="00722F79" w:rsidP="00722F79">
      <w:pPr>
        <w:ind w:left="1418"/>
        <w:jc w:val="both"/>
        <w:rPr>
          <w:rFonts w:cs="Times New Roman"/>
        </w:rPr>
      </w:pPr>
    </w:p>
    <w:p w14:paraId="164ED838" w14:textId="238DD2ED" w:rsidR="00722F79" w:rsidRPr="00554EFB" w:rsidRDefault="00722F79" w:rsidP="00722F79">
      <w:pPr>
        <w:ind w:left="1418"/>
        <w:jc w:val="both"/>
        <w:rPr>
          <w:rFonts w:asciiTheme="majorBidi" w:hAnsiTheme="majorBidi" w:cstheme="majorBidi"/>
          <w:sz w:val="24"/>
        </w:rPr>
      </w:pPr>
      <w:r>
        <w:rPr>
          <w:rFonts w:cs="Times New Roman"/>
        </w:rPr>
        <w:t>Email: Prihastuti</w:t>
      </w:r>
      <w:r w:rsidR="005D0A7E">
        <w:rPr>
          <w:rFonts w:cs="Times New Roman"/>
        </w:rPr>
        <w:t>@uny.ac.id</w:t>
      </w:r>
    </w:p>
    <w:p w14:paraId="3D04134A" w14:textId="77777777" w:rsidR="00E80062" w:rsidRPr="00554EFB" w:rsidRDefault="00E80062" w:rsidP="00EB44DF">
      <w:pPr>
        <w:jc w:val="both"/>
        <w:rPr>
          <w:rFonts w:asciiTheme="majorBidi" w:hAnsiTheme="majorBidi" w:cstheme="majorBidi"/>
          <w:sz w:val="24"/>
        </w:rPr>
      </w:pPr>
    </w:p>
    <w:p w14:paraId="1547D8D2" w14:textId="355C005F" w:rsidR="00E80062" w:rsidRPr="00722F79" w:rsidRDefault="00722F79" w:rsidP="0028619E">
      <w:pPr>
        <w:ind w:left="1418"/>
        <w:jc w:val="both"/>
        <w:rPr>
          <w:sz w:val="20"/>
          <w:szCs w:val="20"/>
          <w:u w:val="single"/>
        </w:rPr>
      </w:pPr>
      <w:r w:rsidRPr="00722F79">
        <w:rPr>
          <w:b/>
          <w:sz w:val="20"/>
          <w:szCs w:val="20"/>
        </w:rPr>
        <w:t>Abstract</w:t>
      </w:r>
      <w:r w:rsidRPr="00722F79">
        <w:rPr>
          <w:sz w:val="20"/>
          <w:szCs w:val="20"/>
        </w:rPr>
        <w:t xml:space="preserve">. </w:t>
      </w:r>
      <w:r w:rsidR="00E80062" w:rsidRPr="00722F79">
        <w:rPr>
          <w:sz w:val="20"/>
          <w:szCs w:val="20"/>
        </w:rPr>
        <w:t xml:space="preserve">This study aims to examine the quality of cognitive learning achievement test items in the Food Engineering Education study program. This study used the document analysis approach and multiple- choice items responses in the 2018/2019 academic year. Data collection was done by item review and item analysis sheets using the ANATES program to determine reliability, difficulty level, discriminating power and point </w:t>
      </w:r>
      <w:proofErr w:type="spellStart"/>
      <w:r w:rsidR="00E80062" w:rsidRPr="00722F79">
        <w:rPr>
          <w:sz w:val="20"/>
          <w:szCs w:val="20"/>
        </w:rPr>
        <w:t>biserial</w:t>
      </w:r>
      <w:proofErr w:type="spellEnd"/>
      <w:r w:rsidR="00E80062" w:rsidRPr="00722F79">
        <w:rPr>
          <w:sz w:val="20"/>
          <w:szCs w:val="20"/>
        </w:rPr>
        <w:t xml:space="preserve"> correlation. The theoretical study</w:t>
      </w:r>
      <w:r w:rsidR="005B0769" w:rsidRPr="00722F79">
        <w:rPr>
          <w:sz w:val="20"/>
          <w:szCs w:val="20"/>
        </w:rPr>
        <w:t xml:space="preserve"> of the essay questions</w:t>
      </w:r>
      <w:r w:rsidR="00E80062" w:rsidRPr="00722F79">
        <w:rPr>
          <w:sz w:val="20"/>
          <w:szCs w:val="20"/>
        </w:rPr>
        <w:t xml:space="preserve"> find</w:t>
      </w:r>
      <w:r w:rsidR="005B0769" w:rsidRPr="00722F79">
        <w:rPr>
          <w:sz w:val="20"/>
          <w:szCs w:val="20"/>
        </w:rPr>
        <w:t>s</w:t>
      </w:r>
      <w:r w:rsidR="00E80062" w:rsidRPr="00722F79">
        <w:rPr>
          <w:sz w:val="20"/>
          <w:szCs w:val="20"/>
        </w:rPr>
        <w:t xml:space="preserve"> 2 questions that do not </w:t>
      </w:r>
      <w:r w:rsidR="005B0769" w:rsidRPr="00722F79">
        <w:rPr>
          <w:sz w:val="20"/>
          <w:szCs w:val="20"/>
        </w:rPr>
        <w:t>address</w:t>
      </w:r>
      <w:r w:rsidR="00E80062" w:rsidRPr="00722F79">
        <w:rPr>
          <w:sz w:val="20"/>
          <w:szCs w:val="20"/>
        </w:rPr>
        <w:t xml:space="preserve"> the indicator, 2 questions in the form of short answers give rise to multiple meanings and answers that are it is expected to be unclear and 1 essay question does not require answers to be unraveled. The results of the theoretical study of multiple-choice questions find 5 items leading to correct answers, 2 items have answer options that are not the same length, </w:t>
      </w:r>
      <w:proofErr w:type="gramStart"/>
      <w:r w:rsidR="00E80062" w:rsidRPr="00722F79">
        <w:rPr>
          <w:sz w:val="20"/>
          <w:szCs w:val="20"/>
        </w:rPr>
        <w:t>2</w:t>
      </w:r>
      <w:proofErr w:type="gramEnd"/>
      <w:r w:rsidR="00E80062" w:rsidRPr="00722F79">
        <w:rPr>
          <w:sz w:val="20"/>
          <w:szCs w:val="20"/>
        </w:rPr>
        <w:t xml:space="preserve"> items have very homogeneous answer options. The results of the empirical study of 55% of the questions are in the easy category, 66% low differentiation power and 52% significant/ very significant item correlation.</w:t>
      </w:r>
    </w:p>
    <w:p w14:paraId="0055A20C" w14:textId="77777777" w:rsidR="00E80062" w:rsidRPr="00554EFB" w:rsidRDefault="00E80062" w:rsidP="00722F79">
      <w:pPr>
        <w:jc w:val="both"/>
      </w:pPr>
    </w:p>
    <w:p w14:paraId="6DE25247" w14:textId="77777777" w:rsidR="00E80062" w:rsidRPr="00554EFB" w:rsidRDefault="00E80062" w:rsidP="00722F79"/>
    <w:p w14:paraId="1E7B6827" w14:textId="043F51D0" w:rsidR="00E80062" w:rsidRDefault="00E80062" w:rsidP="0028619E">
      <w:pPr>
        <w:numPr>
          <w:ilvl w:val="0"/>
          <w:numId w:val="38"/>
        </w:numPr>
        <w:tabs>
          <w:tab w:val="num" w:pos="360"/>
        </w:tabs>
        <w:ind w:left="360"/>
        <w:rPr>
          <w:rFonts w:cs="Times New Roman"/>
          <w:b/>
          <w:bCs/>
          <w:szCs w:val="22"/>
          <w:lang w:val="id-ID"/>
        </w:rPr>
      </w:pPr>
      <w:r w:rsidRPr="0028619E">
        <w:rPr>
          <w:rFonts w:cs="Times New Roman"/>
          <w:b/>
          <w:bCs/>
          <w:szCs w:val="22"/>
          <w:lang w:val="id-ID"/>
        </w:rPr>
        <w:t>Introduction</w:t>
      </w:r>
    </w:p>
    <w:p w14:paraId="35C6A964" w14:textId="77777777" w:rsidR="00B26012" w:rsidRPr="0028619E" w:rsidRDefault="00B26012" w:rsidP="00B26012">
      <w:pPr>
        <w:ind w:left="360"/>
        <w:rPr>
          <w:rFonts w:cs="Times New Roman"/>
          <w:b/>
          <w:bCs/>
          <w:szCs w:val="22"/>
          <w:lang w:val="id-ID"/>
        </w:rPr>
      </w:pPr>
    </w:p>
    <w:p w14:paraId="7F576B78" w14:textId="32DD4B16" w:rsidR="00E80062" w:rsidRPr="00554EFB" w:rsidRDefault="00E80062" w:rsidP="0028619E">
      <w:pPr>
        <w:jc w:val="both"/>
      </w:pPr>
      <w:r w:rsidRPr="00554EFB">
        <w:rPr>
          <w:rStyle w:val="shorttext"/>
          <w:rFonts w:asciiTheme="majorBidi" w:hAnsiTheme="majorBidi" w:cstheme="majorBidi"/>
          <w:sz w:val="24"/>
        </w:rPr>
        <w:t>The assessment of learning achievement aims to provide information on the achievement of learning objectives</w:t>
      </w:r>
      <w:r w:rsidR="00B26012">
        <w:t xml:space="preserve"> </w:t>
      </w:r>
      <w:r w:rsidRPr="00554EFB">
        <w:fldChar w:fldCharType="begin" w:fldLock="1"/>
      </w:r>
      <w:r w:rsidRPr="00554EFB">
        <w:instrText>ADDIN CSL_CITATION {"citationItems":[{"id":"ITEM-1","itemData":{"DOI":"10.1080/0142159022020687","ISSN":"0142159X","abstract":"Learning outcomes are broad statements of what is achieved and assessed at the end of a course of study. The concept of learning outcomes and outcome-based education is high on today's education agenda. The idea has features in common with the move to instructional objectives which became fashionable in the 1960s, but which never had the impact on education practice that it merited. Five important differences between learning outcomes and instructional objectives can be recognized: (1) Learning outcomes, if set out appropriately, are intuitive and user friendly. They can be used easily in curriculum planning, in teaching and learning and in assessment. (2) Learning outcomes are broad statements and are usually designed round a framework of 8-12 higher order outcomes. (3) The outcomes recognize the authentic interaction and integration in clinical practice of knowledge, skills and attitudes and the artificiality of separating these. (4) Learning outcomes represent what is achieved and assessed at the end of a course of study and not only the aspirations or what is intended to be achieved. (5) A design-down approach encourages ownership of the outcomes by teachers and students.","author":[{"dropping-particle":"","family":"Harden","given":"R. M.","non-dropping-particle":"","parse-names":false,"suffix":""}],"container-title":"Medical Teacher","id":"ITEM-1","issue":"2","issued":{"date-parts":[["2002"]]},"page":"151-155","title":"Learning outcomes and instructional objectives: Is there a difference?","type":"article-journal","volume":"24"},"uris":["http://www.mendeley.com/documents/?uuid=7529bef8-24a7-41e1-99a9-42dad1cfd8a2"]}],"mendeley":{"formattedCitation":"(1)","plainTextFormattedCitation":"(1)","previouslyFormattedCitation":"(1)"},"properties":{"noteIndex":0},"schema":"https://github.com/citation-style-language/schema/raw/master/csl-citation.json"}</w:instrText>
      </w:r>
      <w:r w:rsidRPr="00554EFB">
        <w:fldChar w:fldCharType="separate"/>
      </w:r>
      <w:r w:rsidRPr="00554EFB">
        <w:rPr>
          <w:noProof/>
        </w:rPr>
        <w:t>(1)</w:t>
      </w:r>
      <w:r w:rsidRPr="00554EFB">
        <w:fldChar w:fldCharType="end"/>
      </w:r>
      <w:r w:rsidRPr="00554EFB">
        <w:fldChar w:fldCharType="begin" w:fldLock="1"/>
      </w:r>
      <w:r w:rsidRPr="00554EFB">
        <w:instrText>ADDIN CSL_CITATION {"citationItems":[{"id":"ITEM-1","itemData":{"DOI":"10.4018/ijudh.2012070105","ISSN":"2156-180X","author":[{"dropping-particle":"","family":"Khan","given":"Tamkin","non-dropping-particle":"","parse-names":false,"suffix":""},{"dropping-particle":"","family":"Hande","given":"Shyamala","non-dropping-particle":"","parse-names":false,"suffix":""},{"dropping-particle":"","family":"Bedi","given":"Sanjay","non-dropping-particle":"","parse-names":false,"suffix":""},{"dropping-particle":"","family":"Singh","given":"Tejinder","non-dropping-particle":"","parse-names":false,"suffix":""},{"dropping-particle":"","family":"Kumar","given":"Vinay","non-dropping-particle":"","parse-names":false,"suffix":""}],"container-title":"International Journal of User-Driven Healthcare","id":"ITEM-1","issue":"3","issued":{"date-parts":[["2012"]]},"page":"44-62","title":"Learning Objectives: “Perfect is the Enemy of Good!”","type":"article-journal","volume":"2"},"uris":["http://www.mendeley.com/documents/?uuid=101d7ec6-7bf1-4ead-b38d-83dafc0b35bf"]}],"mendeley":{"formattedCitation":"(2)","plainTextFormattedCitation":"(2)","previouslyFormattedCitation":"(2)"},"properties":{"noteIndex":0},"schema":"https://github.com/citation-style-language/schema/raw/master/csl-citation.json"}</w:instrText>
      </w:r>
      <w:r w:rsidRPr="00554EFB">
        <w:fldChar w:fldCharType="separate"/>
      </w:r>
      <w:r w:rsidRPr="00554EFB">
        <w:rPr>
          <w:noProof/>
        </w:rPr>
        <w:t>(2)</w:t>
      </w:r>
      <w:r w:rsidRPr="00554EFB">
        <w:fldChar w:fldCharType="end"/>
      </w:r>
      <w:r w:rsidRPr="00554EFB">
        <w:t xml:space="preserve">. Through assessment of learning achievement, a lecturer may identify the relative position of each student in comparison to their fellow classmates as well as their success in passing the course. Lecturer may also figure out which student is strong or weak in certain tasks. The assessment process of learning achievement at the study program level is the personal right of each lecturer, and therefore is confidential. In regard to this, the assessment process has never been evaluated of the study program, which means that the quality of the assessment instrument or test items have not been identified. </w:t>
      </w:r>
    </w:p>
    <w:p w14:paraId="5DDB4FBF" w14:textId="4DEE06A8" w:rsidR="0028619E" w:rsidRDefault="00E80062" w:rsidP="0028619E">
      <w:pPr>
        <w:ind w:firstLine="284"/>
        <w:jc w:val="both"/>
      </w:pPr>
      <w:r w:rsidRPr="00554EFB">
        <w:t>There are several levels of cognitive learning assessment, namely LOTS/ lower order thinking skills, MOTS/middle order thinking skills and HOTS/higher order thinking skil</w:t>
      </w:r>
      <w:r w:rsidR="00B26012">
        <w:t xml:space="preserve">ls </w:t>
      </w:r>
      <w:r w:rsidRPr="00554EFB">
        <w:fldChar w:fldCharType="begin" w:fldLock="1"/>
      </w:r>
      <w:r w:rsidRPr="00554EFB">
        <w:instrText>ADDIN CSL_CITATION {"citationItems":[{"id":"ITEM-1","itemData":{"DOI":"10.9790/7388-0701052632","ISBN":"7388070105263","ISSN":"2320737X","abstract":"TIMMS and PISA survey results illustrate that the indonesian student's ability to think scientifically is low. It is because of students are less trained in solving HOTS. Then, lack or unavailability the assessment instrument designed to train HOTS, so it is necessary to develop the assessment instrument of HOTS. Model adapt the model development of Borg &amp; Gall. The purpose of thisresearchare to determine the indicators and the effectiveness of the HOTS assessment instrument as assessment for learning for a high school students. The assessment instrument was developed based on HOTS indicators include the ability to analyze (C4), evaluate (C5), and create (C6). Results of the research are: (1) indicator of the ability to analyze (C4) which has been developed are ability to analysis of factual, conceptual, procedural, and metacognitive knowledge; (2) indicator of the ability to evaluate (C5) which has been developed are ability to evaluate of factual, conceptual, procedural, and metacognitive knowledge; (3) Indicator of the ability to create (C6) that has been developed are ability to create of conceptual, procedural, and metacognitive knowledge; (4) the HOTS assessment instrument as assessment for learning is effective to train student's HOTS and effective measure student's thinking skills in accordance with the level of each student's thinking.","author":[{"dropping-particle":"","family":"Kusuma","given":"Merta Dhewa","non-dropping-particle":"","parse-names":false,"suffix":""},{"dropping-particle":"","family":"Rosidin","given":"Undang","non-dropping-particle":"","parse-names":false,"suffix":""},{"dropping-particle":"","family":"Abdurrahman","given":"Abdurrahman","non-dropping-particle":"","parse-names":false,"suffix":""},{"dropping-particle":"","family":"Suyatna","given":"Agus","non-dropping-particle":"","parse-names":false,"suffix":""}],"container-title":"IOSR Journal of Research &amp; Method in Education (IOSRJRME)","id":"ITEM-1","issue":"01","issued":{"date-parts":[["2017"]]},"page":"26-32","title":"The Development of Higher Order Thinking Skill (Hots) Instrument Assessment In Physics Study","type":"article-journal","volume":"07"},"uris":["http://www.mendeley.com/documents/?uuid=e051908e-6e70-428c-ad23-0fe9d3ddc22f"]}],"mendeley":{"formattedCitation":"(3)","plainTextFormattedCitation":"(3)","previouslyFormattedCitation":"(3)"},"properties":{"noteIndex":0},"schema":"https://github.com/citation-style-language/schema/raw/master/csl-citation.json"}</w:instrText>
      </w:r>
      <w:r w:rsidRPr="00554EFB">
        <w:fldChar w:fldCharType="separate"/>
      </w:r>
      <w:r w:rsidRPr="00554EFB">
        <w:rPr>
          <w:noProof/>
        </w:rPr>
        <w:t>(3)</w:t>
      </w:r>
      <w:r w:rsidRPr="00554EFB">
        <w:fldChar w:fldCharType="end"/>
      </w:r>
      <w:r w:rsidRPr="00554EFB">
        <w:t xml:space="preserve">. In accordance with the high competition level of the global job market, there is a demand that learning achievements must address the HOT level. By addressing the HOT, it is expected that students master the abilities of problem solving, critical thinking, creative thinking, reasoning, </w:t>
      </w:r>
      <w:proofErr w:type="spellStart"/>
      <w:r w:rsidRPr="00554EFB">
        <w:t>dan</w:t>
      </w:r>
      <w:proofErr w:type="spellEnd"/>
      <w:r w:rsidRPr="00554EFB">
        <w:t xml:space="preserve"> de</w:t>
      </w:r>
      <w:r w:rsidR="00FB00CA">
        <w:t xml:space="preserve">cision making </w:t>
      </w:r>
      <w:r w:rsidRPr="00554EFB">
        <w:fldChar w:fldCharType="begin" w:fldLock="1"/>
      </w:r>
      <w:r w:rsidRPr="00554EFB">
        <w:instrText>ADDIN CSL_CITATION {"citationItems":[{"id":"ITEM-1","itemData":{"author":[{"dropping-particle":"","family":"Kemendikbud","given":"","non-dropping-particle":"","parse-names":false,"suffix":""}],"container-title":"Kementrian Pendidikan dan Kebudayaan","id":"ITEM-1","issued":{"date-parts":[["2017"]]},"number-of-pages":"48","title":"Modul Penyusunan Soal HOTS","type":"book"},"uris":["http://www.mendeley.com/documents/?uuid=f7867e00-e106-431e-bba1-b968b30fe581"]}],"mendeley":{"formattedCitation":"(4)","plainTextFormattedCitation":"(4)","previouslyFormattedCitation":"(4)"},"properties":{"noteIndex":0},"schema":"https://github.com/citation-style-language/schema/raw/master/csl-citation.json"}</w:instrText>
      </w:r>
      <w:r w:rsidRPr="00554EFB">
        <w:fldChar w:fldCharType="separate"/>
      </w:r>
      <w:r w:rsidRPr="00554EFB">
        <w:rPr>
          <w:noProof/>
        </w:rPr>
        <w:t>(4)</w:t>
      </w:r>
      <w:r w:rsidRPr="00554EFB">
        <w:fldChar w:fldCharType="end"/>
      </w:r>
      <w:r w:rsidRPr="00554EFB">
        <w:fldChar w:fldCharType="begin" w:fldLock="1"/>
      </w:r>
      <w:r w:rsidRPr="00554EFB">
        <w:instrText>ADDIN CSL_CITATION {"citationItems":[{"id":"ITEM-1","itemData":{"abstract":"The main aim of this study is to observe the application of Higher Order Thinking Skills (HOTS) in teaching and learning through Communication component and Spiritual, Attitudes and Values component in preschool. This study was conducted using qualitative method and also using Daily Lesson Plan (DLP) of a practicum teacher at the kindergarten that was located in Ipoh, Perak. This study also uses Hermeneutics Method. This method is used to interpret the DLP texts that were written by the practicum teacher. A total of 13 Daily Lesson Plans from the week nine until the fifteenth week were reviewed by focusing on Communication component that was Malay language and English and also Moral Education for the Spiritual, Attitudes and Values component. The researcher analyses the Higher Order Thinking Skills in teaching and learning in preschool through Communication component and Spiritual, Attitudes and Values component. It was found that teachers uses only three levels of Higher Order Thinking Skills, i. e. application, analysis and evaluation in teaching and learning. However, only twice the level of thinking, created was used by teacher. Teaching and learning that was carried out did not include an attractive teaching aids. As a way to overcome the problem of teachers in teaching and learning, practical teacher must have wide knowledge through extensive reading in order to implement the various activities and more interesting. Keywords:","author":[{"dropping-particle":"","family":"Nachiappan","given":"Suppiah","non-dropping-particle":"","parse-names":false,"suffix":""},{"dropping-particle":"","family":"Damahuri","given":"Afiqah Ahmad","non-dropping-particle":"","parse-names":false,"suffix":""},{"dropping-particle":"","family":"Ganaprakasam","given":"Charles","non-dropping-particle":"","parse-names":false,"suffix":""},{"dropping-particle":"","family":"Suffian","given":"Sandra","non-dropping-particle":"","parse-names":false,"suffix":""}],"container-title":"International Journal of Early Childhood Education and Care","id":"ITEM-1","issue":"1","issued":{"date-parts":[["2018"]]},"page":"24-32","title":"Application of Higher Order Thinking Skills (HOTS) in teaching and learning through communication component and spiritual, attitudes and values component in preschool","type":"article-journal","volume":"7"},"uris":["http://www.mendeley.com/documents/?uuid=f32e6698-8301-4932-81a5-43c9de436242"]}],"mendeley":{"formattedCitation":"(5)","plainTextFormattedCitation":"(5)","previouslyFormattedCitation":"(5)"},"properties":{"noteIndex":0},"schema":"https://github.com/citation-style-language/schema/raw/master/csl-citation.json"}</w:instrText>
      </w:r>
      <w:r w:rsidRPr="00554EFB">
        <w:fldChar w:fldCharType="separate"/>
      </w:r>
      <w:r w:rsidRPr="00554EFB">
        <w:rPr>
          <w:noProof/>
        </w:rPr>
        <w:t>(5)</w:t>
      </w:r>
      <w:r w:rsidRPr="00554EFB">
        <w:fldChar w:fldCharType="end"/>
      </w:r>
      <w:r w:rsidRPr="00554EFB">
        <w:t>. However, in the typical cognitive learning assessment, most only address the elements of LOTs, namely remembering and comprehension.</w:t>
      </w:r>
    </w:p>
    <w:p w14:paraId="34D00B23" w14:textId="77777777" w:rsidR="0028619E" w:rsidRDefault="00E80062" w:rsidP="0028619E">
      <w:pPr>
        <w:ind w:firstLine="284"/>
        <w:jc w:val="both"/>
        <w:rPr>
          <w:rFonts w:asciiTheme="majorBidi" w:hAnsiTheme="majorBidi" w:cstheme="majorBidi"/>
          <w:sz w:val="24"/>
        </w:rPr>
      </w:pPr>
      <w:r w:rsidRPr="00554EFB">
        <w:rPr>
          <w:rFonts w:asciiTheme="majorBidi" w:hAnsiTheme="majorBidi" w:cstheme="majorBidi"/>
          <w:sz w:val="24"/>
        </w:rPr>
        <w:t xml:space="preserve">Based on these problems, this study attempts to analyze the quality of test items in the cognitive learning </w:t>
      </w:r>
      <w:proofErr w:type="spellStart"/>
      <w:r w:rsidRPr="00554EFB">
        <w:rPr>
          <w:rFonts w:asciiTheme="majorBidi" w:hAnsiTheme="majorBidi" w:cstheme="majorBidi"/>
          <w:sz w:val="24"/>
        </w:rPr>
        <w:t>learning</w:t>
      </w:r>
      <w:proofErr w:type="spellEnd"/>
      <w:r w:rsidRPr="00554EFB">
        <w:rPr>
          <w:rFonts w:asciiTheme="majorBidi" w:hAnsiTheme="majorBidi" w:cstheme="majorBidi"/>
          <w:sz w:val="24"/>
        </w:rPr>
        <w:t xml:space="preserve"> achievements at the Food Engineering Study Program. This study aims to: (1) examine theoretically the quality of cognitive learning assessment test items; (2) examine the empirical quality of the multiple choice test items; (3) identify the distribution of LOTs, MOTs, and HOTs cognitive levels in the test items of the cognitive learning achievement at the </w:t>
      </w:r>
      <w:r w:rsidR="0028619E">
        <w:rPr>
          <w:rFonts w:asciiTheme="majorBidi" w:hAnsiTheme="majorBidi" w:cstheme="majorBidi"/>
          <w:sz w:val="24"/>
        </w:rPr>
        <w:t>Food Engineering Study Program.</w:t>
      </w:r>
    </w:p>
    <w:p w14:paraId="5205664D" w14:textId="2C480DAA" w:rsidR="00E80062" w:rsidRDefault="00E80062" w:rsidP="0028619E">
      <w:pPr>
        <w:ind w:firstLine="284"/>
        <w:jc w:val="both"/>
        <w:rPr>
          <w:rFonts w:asciiTheme="majorBidi" w:hAnsiTheme="majorBidi" w:cstheme="majorBidi"/>
          <w:szCs w:val="22"/>
        </w:rPr>
      </w:pPr>
      <w:r w:rsidRPr="0028619E">
        <w:rPr>
          <w:rFonts w:asciiTheme="majorBidi" w:hAnsiTheme="majorBidi" w:cstheme="majorBidi"/>
          <w:szCs w:val="22"/>
        </w:rPr>
        <w:lastRenderedPageBreak/>
        <w:t>Bloom classifies cognitive competence into six levels, from low to high as illustrated in Figure 1. The lowest cognitive level is the LOTs, while the highest is the HOTs, which includes analysis, evaluation, and creation. Bloom’s cognitive domains can be seen in Figure 1.</w:t>
      </w:r>
    </w:p>
    <w:p w14:paraId="215D21C5" w14:textId="77777777" w:rsidR="00B26012" w:rsidRPr="0028619E" w:rsidRDefault="00B26012" w:rsidP="0028619E">
      <w:pPr>
        <w:ind w:firstLine="284"/>
        <w:jc w:val="both"/>
      </w:pPr>
    </w:p>
    <w:p w14:paraId="343282BF" w14:textId="1DB25847" w:rsidR="00E80062" w:rsidRPr="00554EFB" w:rsidRDefault="0028619E" w:rsidP="0028619E">
      <w:pPr>
        <w:jc w:val="center"/>
        <w:rPr>
          <w:rFonts w:asciiTheme="majorBidi" w:hAnsiTheme="majorBidi" w:cstheme="majorBidi"/>
          <w:iCs/>
          <w:sz w:val="24"/>
          <w:lang w:eastAsia="id-ID"/>
        </w:rPr>
      </w:pPr>
      <w:r>
        <w:rPr>
          <w:noProof/>
        </w:rPr>
        <w:drawing>
          <wp:inline distT="0" distB="0" distL="0" distR="0" wp14:anchorId="6F4360EE" wp14:editId="5DF153C3">
            <wp:extent cx="1728548" cy="1460249"/>
            <wp:effectExtent l="0" t="0" r="508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736829" cy="1467245"/>
                    </a:xfrm>
                    <a:prstGeom prst="rect">
                      <a:avLst/>
                    </a:prstGeom>
                  </pic:spPr>
                </pic:pic>
              </a:graphicData>
            </a:graphic>
          </wp:inline>
        </w:drawing>
      </w:r>
    </w:p>
    <w:p w14:paraId="10CEAD03" w14:textId="77777777" w:rsidR="00E80062" w:rsidRPr="0028619E" w:rsidRDefault="00E80062" w:rsidP="00EB44DF">
      <w:pPr>
        <w:pStyle w:val="Caption"/>
        <w:rPr>
          <w:rFonts w:asciiTheme="majorBidi" w:hAnsiTheme="majorBidi" w:cstheme="majorBidi"/>
          <w:b w:val="0"/>
          <w:sz w:val="22"/>
          <w:szCs w:val="22"/>
          <w:lang w:val="en-US"/>
        </w:rPr>
      </w:pPr>
      <w:bookmarkStart w:id="0" w:name="_Toc514096642"/>
      <w:bookmarkStart w:id="1" w:name="_Toc16083628"/>
      <w:r w:rsidRPr="0028619E">
        <w:rPr>
          <w:rFonts w:asciiTheme="majorBidi" w:hAnsiTheme="majorBidi" w:cstheme="majorBidi"/>
          <w:sz w:val="22"/>
          <w:szCs w:val="22"/>
          <w:lang w:val="en-US"/>
        </w:rPr>
        <w:t>Figure</w:t>
      </w:r>
      <w:r w:rsidRPr="0028619E">
        <w:rPr>
          <w:rFonts w:asciiTheme="majorBidi" w:hAnsiTheme="majorBidi" w:cstheme="majorBidi"/>
          <w:sz w:val="22"/>
          <w:szCs w:val="22"/>
        </w:rPr>
        <w:t xml:space="preserve"> </w:t>
      </w:r>
      <w:r w:rsidRPr="0028619E">
        <w:rPr>
          <w:rFonts w:asciiTheme="majorBidi" w:hAnsiTheme="majorBidi" w:cstheme="majorBidi"/>
          <w:sz w:val="22"/>
          <w:szCs w:val="22"/>
        </w:rPr>
        <w:fldChar w:fldCharType="begin"/>
      </w:r>
      <w:r w:rsidRPr="0028619E">
        <w:rPr>
          <w:rFonts w:asciiTheme="majorBidi" w:hAnsiTheme="majorBidi" w:cstheme="majorBidi"/>
          <w:sz w:val="22"/>
          <w:szCs w:val="22"/>
        </w:rPr>
        <w:instrText xml:space="preserve"> SEQ Gambar \* ARABIC </w:instrText>
      </w:r>
      <w:r w:rsidRPr="0028619E">
        <w:rPr>
          <w:rFonts w:asciiTheme="majorBidi" w:hAnsiTheme="majorBidi" w:cstheme="majorBidi"/>
          <w:sz w:val="22"/>
          <w:szCs w:val="22"/>
        </w:rPr>
        <w:fldChar w:fldCharType="separate"/>
      </w:r>
      <w:r w:rsidRPr="0028619E">
        <w:rPr>
          <w:rFonts w:asciiTheme="majorBidi" w:hAnsiTheme="majorBidi" w:cstheme="majorBidi"/>
          <w:noProof/>
          <w:sz w:val="22"/>
          <w:szCs w:val="22"/>
        </w:rPr>
        <w:t>1</w:t>
      </w:r>
      <w:r w:rsidRPr="0028619E">
        <w:rPr>
          <w:rFonts w:asciiTheme="majorBidi" w:hAnsiTheme="majorBidi" w:cstheme="majorBidi"/>
          <w:sz w:val="22"/>
          <w:szCs w:val="22"/>
        </w:rPr>
        <w:fldChar w:fldCharType="end"/>
      </w:r>
      <w:r w:rsidRPr="0028619E">
        <w:rPr>
          <w:rFonts w:asciiTheme="majorBidi" w:hAnsiTheme="majorBidi" w:cstheme="majorBidi"/>
          <w:sz w:val="22"/>
          <w:szCs w:val="22"/>
          <w:lang w:val="en-US"/>
        </w:rPr>
        <w:t>.</w:t>
      </w:r>
      <w:r w:rsidRPr="0028619E">
        <w:rPr>
          <w:rFonts w:asciiTheme="majorBidi" w:hAnsiTheme="majorBidi" w:cstheme="majorBidi"/>
          <w:b w:val="0"/>
          <w:sz w:val="22"/>
          <w:szCs w:val="22"/>
          <w:lang w:val="en-US"/>
        </w:rPr>
        <w:t xml:space="preserve"> </w:t>
      </w:r>
      <w:bookmarkEnd w:id="0"/>
      <w:bookmarkEnd w:id="1"/>
      <w:r w:rsidRPr="0028619E">
        <w:rPr>
          <w:rFonts w:asciiTheme="majorBidi" w:hAnsiTheme="majorBidi" w:cstheme="majorBidi"/>
          <w:b w:val="0"/>
          <w:sz w:val="22"/>
          <w:szCs w:val="22"/>
          <w:lang w:val="en-US"/>
        </w:rPr>
        <w:t>The Taxonomy of Cognitive Competence</w:t>
      </w:r>
    </w:p>
    <w:p w14:paraId="63CFF479" w14:textId="77777777" w:rsidR="00E80062" w:rsidRPr="0028619E" w:rsidRDefault="00E80062" w:rsidP="00EB44DF">
      <w:pPr>
        <w:pStyle w:val="Caption"/>
        <w:rPr>
          <w:rFonts w:asciiTheme="majorBidi" w:hAnsiTheme="majorBidi" w:cstheme="majorBidi"/>
          <w:sz w:val="22"/>
          <w:szCs w:val="22"/>
          <w:lang w:val="en-US"/>
        </w:rPr>
      </w:pPr>
      <w:r w:rsidRPr="0028619E">
        <w:rPr>
          <w:rFonts w:asciiTheme="majorBidi" w:hAnsiTheme="majorBidi" w:cstheme="majorBidi"/>
          <w:b w:val="0"/>
          <w:sz w:val="22"/>
          <w:szCs w:val="22"/>
          <w:lang w:val="en-US"/>
        </w:rPr>
        <w:t>(</w:t>
      </w:r>
      <w:proofErr w:type="spellStart"/>
      <w:r w:rsidRPr="0028619E">
        <w:rPr>
          <w:rFonts w:asciiTheme="majorBidi" w:hAnsiTheme="majorBidi" w:cstheme="majorBidi"/>
          <w:b w:val="0"/>
          <w:sz w:val="22"/>
          <w:szCs w:val="22"/>
          <w:lang w:val="en-US"/>
        </w:rPr>
        <w:t>Darmawan</w:t>
      </w:r>
      <w:proofErr w:type="spellEnd"/>
      <w:r w:rsidRPr="0028619E">
        <w:rPr>
          <w:rFonts w:asciiTheme="majorBidi" w:hAnsiTheme="majorBidi" w:cstheme="majorBidi"/>
          <w:b w:val="0"/>
          <w:sz w:val="22"/>
          <w:szCs w:val="22"/>
          <w:lang w:val="en-US"/>
        </w:rPr>
        <w:t xml:space="preserve">, </w:t>
      </w:r>
      <w:r w:rsidRPr="0028619E">
        <w:rPr>
          <w:rFonts w:asciiTheme="majorBidi" w:hAnsiTheme="majorBidi" w:cstheme="majorBidi"/>
          <w:sz w:val="22"/>
          <w:szCs w:val="22"/>
        </w:rPr>
        <w:t>2013: 3</w:t>
      </w:r>
      <w:r w:rsidRPr="0028619E">
        <w:rPr>
          <w:rFonts w:asciiTheme="majorBidi" w:hAnsiTheme="majorBidi" w:cstheme="majorBidi"/>
          <w:sz w:val="22"/>
          <w:szCs w:val="22"/>
          <w:lang w:val="en-US"/>
        </w:rPr>
        <w:t>2)</w:t>
      </w:r>
      <w:r w:rsidRPr="0028619E">
        <w:rPr>
          <w:rFonts w:asciiTheme="majorBidi" w:hAnsiTheme="majorBidi" w:cstheme="majorBidi"/>
          <w:sz w:val="22"/>
          <w:szCs w:val="22"/>
          <w:lang w:val="en-US"/>
        </w:rPr>
        <w:fldChar w:fldCharType="begin" w:fldLock="1"/>
      </w:r>
      <w:r w:rsidRPr="0028619E">
        <w:rPr>
          <w:rFonts w:asciiTheme="majorBidi" w:hAnsiTheme="majorBidi" w:cstheme="majorBidi"/>
          <w:sz w:val="22"/>
          <w:szCs w:val="22"/>
          <w:lang w:val="en-US"/>
        </w:rPr>
        <w:instrText>ADDIN CSL_CITATION {"citationItems":[{"id":"ITEM-1","itemData":{"DOI":"10.24246/j.sw.2013.v29.i1.p30-39","ISSN":"0854-5995","abstract":"&lt;p&gt;Fokus utama dalam tulisan ini adalah untuk mendeskripsikan perubahan Taksonomi Bloom diantaranya perubahan nama dalam taksonomi yang mengambil bentuk menjadi kata kerja, perubahan urutan taksonomi dimana evaluasi dalam taksonomi lama terdapat pada urutan akhir berubah menjadi urutan kelima dan sintesis dalam taksonomi lama diganti menjadi mencipta, dan perubahan sub kategori. Tulisan ini juga menguraikan tentang hal-hal penting dalam revisi taksonomi seperti pengetahuan metakognisi dan tabel taksonomi. Serta manfaat taksonomi revisi dalam belajar bermakna. Taksonomi Bloom menjadi kasifikasi pernyataan-pernyataan yang digunakan untuk memprediksi kemampuan peserta didik dalam belajar sebagai hasil dari kegiatan pembelajaran. Pengaruh taksonomi Bloom lama telah dirasakan sampai saat ini dan memberi manfaat yang sangat berharga. Revisi taksonomi Bloom meliputi perubahan nama dalam taksonomi dari kata benda menjadi kata kerja, urutan taksonomi yang melingkupi perubahan tata letak evaluasi,&lt;br /&gt;perubahan sintesa menjadi mencipta.&lt;/p&gt;","author":[{"dropping-particle":"","family":"Darmawan","given":"I Putu Ayub","non-dropping-particle":"","parse-names":false,"suffix":""},{"dropping-particle":"","family":"Sujoko","given":"Edy","non-dropping-particle":"","parse-names":false,"suffix":""}],"container-title":"Satya Widya","id":"ITEM-1","issue":"1","issued":{"date-parts":[["2013"]]},"page":"30","title":"Revisi Taksonomi Pembelajaran Benyamin S. Bloom","type":"article-journal","volume":"29"},"uris":["http://www.mendeley.com/documents/?uuid=42c6f5bf-0aab-4cc2-9f0e-c96c0a6c4830"]}],"mendeley":{"formattedCitation":"(6)","plainTextFormattedCitation":"(6)","previouslyFormattedCitation":"(6)"},"properties":{"noteIndex":0},"schema":"https://github.com/citation-style-language/schema/raw/master/csl-citation.json"}</w:instrText>
      </w:r>
      <w:r w:rsidRPr="0028619E">
        <w:rPr>
          <w:rFonts w:asciiTheme="majorBidi" w:hAnsiTheme="majorBidi" w:cstheme="majorBidi"/>
          <w:sz w:val="22"/>
          <w:szCs w:val="22"/>
          <w:lang w:val="en-US"/>
        </w:rPr>
        <w:fldChar w:fldCharType="separate"/>
      </w:r>
      <w:r w:rsidRPr="0028619E">
        <w:rPr>
          <w:rFonts w:asciiTheme="majorBidi" w:hAnsiTheme="majorBidi" w:cstheme="majorBidi"/>
          <w:b w:val="0"/>
          <w:noProof/>
          <w:sz w:val="22"/>
          <w:szCs w:val="22"/>
          <w:lang w:val="en-US"/>
        </w:rPr>
        <w:t>(6)</w:t>
      </w:r>
      <w:r w:rsidRPr="0028619E">
        <w:rPr>
          <w:rFonts w:asciiTheme="majorBidi" w:hAnsiTheme="majorBidi" w:cstheme="majorBidi"/>
          <w:sz w:val="22"/>
          <w:szCs w:val="22"/>
          <w:lang w:val="en-US"/>
        </w:rPr>
        <w:fldChar w:fldCharType="end"/>
      </w:r>
    </w:p>
    <w:p w14:paraId="3BE2C27D" w14:textId="77777777" w:rsidR="00E80062" w:rsidRPr="00554EFB" w:rsidRDefault="00E80062" w:rsidP="00EB44DF">
      <w:pPr>
        <w:rPr>
          <w:rFonts w:asciiTheme="majorBidi" w:hAnsiTheme="majorBidi" w:cstheme="majorBidi"/>
          <w:sz w:val="24"/>
        </w:rPr>
      </w:pPr>
    </w:p>
    <w:p w14:paraId="054C0AE8" w14:textId="57A83C71" w:rsidR="00E80062" w:rsidRPr="0028619E" w:rsidRDefault="00E80062" w:rsidP="0028619E">
      <w:pPr>
        <w:pStyle w:val="ListParagraph"/>
        <w:numPr>
          <w:ilvl w:val="1"/>
          <w:numId w:val="38"/>
        </w:numPr>
        <w:ind w:left="426" w:hanging="426"/>
        <w:rPr>
          <w:rFonts w:cs="Times New Roman"/>
          <w:bCs/>
          <w:i/>
          <w:szCs w:val="22"/>
          <w:lang w:val="id-ID"/>
        </w:rPr>
      </w:pPr>
      <w:r w:rsidRPr="0028619E">
        <w:rPr>
          <w:rFonts w:cs="Times New Roman"/>
          <w:bCs/>
          <w:i/>
          <w:szCs w:val="22"/>
          <w:lang w:val="id-ID"/>
        </w:rPr>
        <w:t xml:space="preserve">Remembering </w:t>
      </w:r>
    </w:p>
    <w:p w14:paraId="4A9AC877" w14:textId="7C97B1BB" w:rsidR="00E80062" w:rsidRPr="0028619E" w:rsidRDefault="00E80062" w:rsidP="008040BB">
      <w:pPr>
        <w:jc w:val="both"/>
        <w:rPr>
          <w:rFonts w:cs="Times New Roman"/>
          <w:szCs w:val="22"/>
        </w:rPr>
      </w:pPr>
      <w:r w:rsidRPr="0028619E">
        <w:rPr>
          <w:rFonts w:cs="Times New Roman"/>
          <w:szCs w:val="22"/>
          <w:lang w:eastAsia="id-ID"/>
        </w:rPr>
        <w:t>The ability to “remember” is demonstrated when the test participant can retell the past experience and reactions they have previously learned</w:t>
      </w:r>
      <w:r w:rsidRPr="0028619E">
        <w:rPr>
          <w:rStyle w:val="tlid-translation"/>
          <w:rFonts w:eastAsiaTheme="majorEastAsia" w:cs="Times New Roman"/>
          <w:szCs w:val="22"/>
        </w:rPr>
        <w:t xml:space="preserve"> (</w:t>
      </w:r>
      <w:proofErr w:type="spellStart"/>
      <w:r w:rsidRPr="0028619E">
        <w:rPr>
          <w:rStyle w:val="tlid-translation"/>
          <w:rFonts w:eastAsiaTheme="majorEastAsia" w:cs="Times New Roman"/>
          <w:szCs w:val="22"/>
        </w:rPr>
        <w:t>Bartlet</w:t>
      </w:r>
      <w:proofErr w:type="spellEnd"/>
      <w:r w:rsidRPr="0028619E">
        <w:rPr>
          <w:rStyle w:val="tlid-translation"/>
          <w:rFonts w:eastAsiaTheme="majorEastAsia" w:cs="Times New Roman"/>
          <w:szCs w:val="22"/>
        </w:rPr>
        <w:t>, 2010:1)</w:t>
      </w:r>
      <w:r w:rsidRPr="0028619E">
        <w:rPr>
          <w:rStyle w:val="tlid-translation"/>
          <w:rFonts w:eastAsiaTheme="majorEastAsia" w:cs="Times New Roman"/>
          <w:szCs w:val="22"/>
        </w:rPr>
        <w:fldChar w:fldCharType="begin" w:fldLock="1"/>
      </w:r>
      <w:r w:rsidRPr="0028619E">
        <w:rPr>
          <w:rStyle w:val="tlid-translation"/>
          <w:rFonts w:eastAsiaTheme="majorEastAsia" w:cs="Times New Roman"/>
          <w:szCs w:val="22"/>
        </w:rPr>
        <w:instrText>ADDIN CSL_CITATION {"citationItems":[{"id":"ITEM-1","itemData":{"DOI":"10.1017/cbo9780511759185.013","abstract":"Bartlett, F. (1932). Remembering: A study in Experimental and Social Psychology. Cambridge: Cambridge University Press.","author":[{"dropping-particle":"","family":"Bartlett","given":"Frederic C.","non-dropping-particle":"","parse-names":false,"suffix":""},{"dropping-particle":"","family":"Kintsch","given":"Walter","non-dropping-particle":"","parse-names":false,"suffix":""},{"dropping-particle":"","family":"Bartlett","given":"Frederic C.","non-dropping-particle":"","parse-names":false,"suffix":""},{"dropping-particle":"","family":"Kintsch","given":"Walter","non-dropping-particle":"","parse-names":false,"suffix":""}],"container-title":"Remembering","id":"ITEM-1","issued":{"date-parts":[["2010"]]},"page":"197-214","title":"A Theory of Remembering","type":"article-journal"},"uris":["http://www.mendeley.com/documents/?uuid=8a1e7e64-37d2-4dc6-ac28-9ea0c5c24c0f"]}],"mendeley":{"formattedCitation":"(7)","plainTextFormattedCitation":"(7)","previouslyFormattedCitation":"(7)"},"properties":{"noteIndex":0},"schema":"https://github.com/citation-style-language/schema/raw/master/csl-citation.json"}</w:instrText>
      </w:r>
      <w:r w:rsidRPr="0028619E">
        <w:rPr>
          <w:rStyle w:val="tlid-translation"/>
          <w:rFonts w:eastAsiaTheme="majorEastAsia" w:cs="Times New Roman"/>
          <w:szCs w:val="22"/>
        </w:rPr>
        <w:fldChar w:fldCharType="separate"/>
      </w:r>
      <w:r w:rsidRPr="0028619E">
        <w:rPr>
          <w:rStyle w:val="tlid-translation"/>
          <w:rFonts w:eastAsiaTheme="majorEastAsia" w:cs="Times New Roman"/>
          <w:noProof/>
          <w:szCs w:val="22"/>
        </w:rPr>
        <w:t>(7)</w:t>
      </w:r>
      <w:r w:rsidRPr="0028619E">
        <w:rPr>
          <w:rStyle w:val="tlid-translation"/>
          <w:rFonts w:eastAsiaTheme="majorEastAsia" w:cs="Times New Roman"/>
          <w:szCs w:val="22"/>
        </w:rPr>
        <w:fldChar w:fldCharType="end"/>
      </w:r>
      <w:r w:rsidRPr="0028619E">
        <w:rPr>
          <w:rStyle w:val="tlid-translation"/>
          <w:rFonts w:eastAsiaTheme="majorEastAsia" w:cs="Times New Roman"/>
          <w:szCs w:val="22"/>
        </w:rPr>
        <w:t>. Assessment of learning achievement should not address the “remembering” aspect as it may drive students to cheat and be less effective in training students to think creatively in solving problems</w:t>
      </w:r>
      <w:r w:rsidRPr="0028619E">
        <w:rPr>
          <w:rFonts w:cs="Times New Roman"/>
          <w:szCs w:val="22"/>
          <w:lang w:eastAsia="id-ID"/>
        </w:rPr>
        <w:t xml:space="preserve">. </w:t>
      </w:r>
      <w:r w:rsidRPr="0028619E">
        <w:rPr>
          <w:rFonts w:cs="Times New Roman"/>
          <w:szCs w:val="22"/>
        </w:rPr>
        <w:t>Examples of the “remembering” level test items</w:t>
      </w:r>
    </w:p>
    <w:p w14:paraId="151EB68D" w14:textId="2DCEBF02" w:rsidR="00E80062" w:rsidRPr="008040BB" w:rsidRDefault="00E80062" w:rsidP="008040BB">
      <w:pPr>
        <w:jc w:val="both"/>
        <w:rPr>
          <w:rFonts w:cs="Times New Roman"/>
          <w:szCs w:val="22"/>
          <w:lang w:eastAsia="id-ID"/>
        </w:rPr>
      </w:pPr>
      <w:r w:rsidRPr="008040BB">
        <w:rPr>
          <w:rFonts w:cs="Times New Roman"/>
          <w:szCs w:val="22"/>
          <w:lang w:eastAsia="id-ID"/>
        </w:rPr>
        <w:t xml:space="preserve">What is the </w:t>
      </w:r>
      <w:r w:rsidRPr="008040BB">
        <w:rPr>
          <w:rFonts w:cs="Times New Roman"/>
          <w:b/>
          <w:bCs/>
          <w:szCs w:val="22"/>
          <w:lang w:eastAsia="id-ID"/>
        </w:rPr>
        <w:t xml:space="preserve">definition </w:t>
      </w:r>
      <w:r w:rsidRPr="008040BB">
        <w:rPr>
          <w:rFonts w:cs="Times New Roman"/>
          <w:szCs w:val="22"/>
          <w:lang w:eastAsia="id-ID"/>
        </w:rPr>
        <w:t>of food processing technique</w:t>
      </w:r>
      <w:proofErr w:type="gramStart"/>
      <w:r w:rsidRPr="008040BB">
        <w:rPr>
          <w:rFonts w:cs="Times New Roman"/>
          <w:szCs w:val="22"/>
          <w:lang w:eastAsia="id-ID"/>
        </w:rPr>
        <w:t>?</w:t>
      </w:r>
      <w:r w:rsidR="008040BB">
        <w:rPr>
          <w:rFonts w:cs="Times New Roman"/>
          <w:szCs w:val="22"/>
          <w:lang w:eastAsia="id-ID"/>
        </w:rPr>
        <w:t>,</w:t>
      </w:r>
      <w:proofErr w:type="gramEnd"/>
      <w:r w:rsidR="008040BB">
        <w:rPr>
          <w:rFonts w:cs="Times New Roman"/>
          <w:szCs w:val="22"/>
          <w:lang w:eastAsia="id-ID"/>
        </w:rPr>
        <w:t xml:space="preserve"> </w:t>
      </w:r>
      <w:r w:rsidR="00B97E83" w:rsidRPr="008040BB">
        <w:rPr>
          <w:rFonts w:cs="Times New Roman"/>
          <w:b/>
          <w:bCs/>
          <w:szCs w:val="22"/>
          <w:u w:val="single"/>
          <w:lang w:eastAsia="id-ID"/>
        </w:rPr>
        <w:t xml:space="preserve">Mention </w:t>
      </w:r>
      <w:r w:rsidR="00B97E83" w:rsidRPr="008040BB">
        <w:rPr>
          <w:rFonts w:cs="Times New Roman"/>
          <w:szCs w:val="22"/>
          <w:lang w:eastAsia="id-ID"/>
        </w:rPr>
        <w:t>10</w:t>
      </w:r>
      <w:r w:rsidRPr="008040BB">
        <w:rPr>
          <w:rFonts w:cs="Times New Roman"/>
          <w:szCs w:val="22"/>
          <w:lang w:eastAsia="id-ID"/>
        </w:rPr>
        <w:t xml:space="preserve"> traditional food from West Java</w:t>
      </w:r>
    </w:p>
    <w:p w14:paraId="564DEAAE" w14:textId="77777777" w:rsidR="00E80062" w:rsidRPr="0028619E" w:rsidRDefault="00E80062" w:rsidP="00EB44DF">
      <w:pPr>
        <w:pStyle w:val="ListParagraph"/>
        <w:ind w:left="0"/>
        <w:jc w:val="both"/>
        <w:rPr>
          <w:rFonts w:cs="Times New Roman"/>
          <w:szCs w:val="22"/>
          <w:lang w:eastAsia="id-ID"/>
        </w:rPr>
      </w:pPr>
    </w:p>
    <w:p w14:paraId="0630FC8A" w14:textId="1C103D77" w:rsidR="00E80062" w:rsidRPr="0028619E" w:rsidRDefault="00E80062" w:rsidP="0028619E">
      <w:pPr>
        <w:pStyle w:val="ListParagraph"/>
        <w:numPr>
          <w:ilvl w:val="1"/>
          <w:numId w:val="38"/>
        </w:numPr>
        <w:ind w:left="426" w:hanging="426"/>
        <w:rPr>
          <w:rFonts w:cs="Times New Roman"/>
          <w:bCs/>
          <w:i/>
          <w:szCs w:val="22"/>
          <w:lang w:val="id-ID"/>
        </w:rPr>
      </w:pPr>
      <w:r w:rsidRPr="0028619E">
        <w:rPr>
          <w:rFonts w:cs="Times New Roman"/>
          <w:bCs/>
          <w:i/>
          <w:szCs w:val="22"/>
          <w:lang w:val="id-ID"/>
        </w:rPr>
        <w:t>Comprehension</w:t>
      </w:r>
    </w:p>
    <w:p w14:paraId="2543735B" w14:textId="41ACE216" w:rsidR="00E80062" w:rsidRDefault="00E80062" w:rsidP="0028619E">
      <w:pPr>
        <w:jc w:val="both"/>
        <w:rPr>
          <w:rFonts w:cs="Times New Roman"/>
          <w:szCs w:val="22"/>
          <w:lang w:eastAsia="id-ID"/>
        </w:rPr>
      </w:pPr>
      <w:r w:rsidRPr="0028619E">
        <w:rPr>
          <w:rFonts w:cs="Times New Roman"/>
          <w:szCs w:val="22"/>
          <w:lang w:eastAsia="id-ID"/>
        </w:rPr>
        <w:t>Once an individual obtains information or knowledge, they will save the information into memory, which they can retrieve and express in their own words. If the student expresses information in the exact way they receive it, they may not be in the comprehension level yet, and still in the realm of remembering or memoriz</w:t>
      </w:r>
      <w:r w:rsidR="00FB00CA">
        <w:rPr>
          <w:rFonts w:cs="Times New Roman"/>
          <w:szCs w:val="22"/>
          <w:lang w:eastAsia="id-ID"/>
        </w:rPr>
        <w:t>ing. C</w:t>
      </w:r>
      <w:r w:rsidRPr="0028619E">
        <w:rPr>
          <w:rFonts w:cs="Times New Roman"/>
          <w:szCs w:val="22"/>
        </w:rPr>
        <w:t xml:space="preserve">omprehension is an ability to understand the meaning of a concept or an action </w:t>
      </w:r>
      <w:r w:rsidRPr="0028619E">
        <w:rPr>
          <w:rFonts w:cs="Times New Roman"/>
          <w:szCs w:val="22"/>
        </w:rPr>
        <w:fldChar w:fldCharType="begin" w:fldLock="1"/>
      </w:r>
      <w:r w:rsidRPr="0028619E">
        <w:rPr>
          <w:rFonts w:cs="Times New Roman"/>
          <w:szCs w:val="22"/>
        </w:rPr>
        <w:instrText>ADDIN CSL_CITATION {"citationItems":[{"id":"ITEM-1","itemData":{"author":[{"dropping-particle":"","family":"Wang","given":"Yingxu","non-dropping-particle":"","parse-names":false,"suffix":""}],"container-title":"Journal of Cognitive Informatics and Natural Intelligence","id":"ITEM-1","issue":"5","issued":{"date-parts":[["2017"]]},"page":"1-14","title":"The Cognitive Process of Comprehension: A Formal Description","type":"article-journal","volume":"4"},"uris":["http://www.mendeley.com/documents/?uuid=20ad0120-8e69-4909-950b-630414cc799d"]}],"mendeley":{"formattedCitation":"(8)","plainTextFormattedCitation":"(8)","previouslyFormattedCitation":"(8)"},"properties":{"noteIndex":0},"schema":"https://github.com/citation-style-language/schema/raw/master/csl-citation.json"}</w:instrText>
      </w:r>
      <w:r w:rsidRPr="0028619E">
        <w:rPr>
          <w:rFonts w:cs="Times New Roman"/>
          <w:szCs w:val="22"/>
        </w:rPr>
        <w:fldChar w:fldCharType="separate"/>
      </w:r>
      <w:r w:rsidRPr="0028619E">
        <w:rPr>
          <w:rFonts w:cs="Times New Roman"/>
          <w:noProof/>
          <w:szCs w:val="22"/>
        </w:rPr>
        <w:t>(8)</w:t>
      </w:r>
      <w:r w:rsidRPr="0028619E">
        <w:rPr>
          <w:rFonts w:cs="Times New Roman"/>
          <w:szCs w:val="22"/>
        </w:rPr>
        <w:fldChar w:fldCharType="end"/>
      </w:r>
      <w:r w:rsidR="00FB00CA">
        <w:rPr>
          <w:rFonts w:cs="Times New Roman"/>
          <w:szCs w:val="22"/>
        </w:rPr>
        <w:t xml:space="preserve"> </w:t>
      </w:r>
      <w:r w:rsidRPr="0028619E">
        <w:rPr>
          <w:rFonts w:cs="Times New Roman"/>
          <w:szCs w:val="22"/>
        </w:rPr>
        <w:fldChar w:fldCharType="begin" w:fldLock="1"/>
      </w:r>
      <w:r w:rsidRPr="0028619E">
        <w:rPr>
          <w:rFonts w:cs="Times New Roman"/>
          <w:szCs w:val="22"/>
        </w:rPr>
        <w:instrText>ADDIN CSL_CITATION {"citationItems":[{"id":"ITEM-1","itemData":{"DOI":"10.1016/j.sbspro.2013.10.277","ISSN":"18770428","abstract":"Questioning is widely acknowledged as an effective instructional strategy used by teachers in their interaction with students for variety of purposes. In educational practices, the analysis of classroom questions asked by teachers is of particular benefits. This paper investigates the effectiveness of machine learning techniques on analyzing teacher's classroom questions by automatically classifying them into different cognitive levels identified in Bloom's taxonomy. More specifically, this paper reports on three of the most effective machine learning techniques for text classification: k-Nearest Neighbors, Naïve Bayes, and Support Vector Machine using term frequency as a term selection approach. In doing so, a dataset of questions has been collected and classified manually into Bloom's cognitive levels. Preprocessing steps have been applied to convert questions into a representation suitable for machine learning techniques. Using this dataset, the performance of the three machine learning techniques has been evaluated. The results show a comparable performance of k-Nearest Neighbor and Naïve Bayes and a superior performance of Support Vector Machine in term of F1 and accuracy. Moreover the results also indicate that machine learning techniques show different levels of sensitivity to the number of terms used for question representation.","author":[{"dropping-particle":"","family":"Yahya","given":"Anwar Ali","non-dropping-particle":"","parse-names":false,"suffix":""},{"dropping-particle":"","family":"Osman","given":"Addin","non-dropping-particle":"","parse-names":false,"suffix":""},{"dropping-particle":"","family":"Taleb","given":"Ahmad","non-dropping-particle":"","parse-names":false,"suffix":""},{"dropping-particle":"","family":"Alattab","given":"Ahmed Abdu","non-dropping-particle":"","parse-names":false,"suffix":""}],"container-title":"Procedia - Social and Behavioral Sciences","id":"ITEM-1","issued":{"date-parts":[["2013"]]},"page":"587-595","publisher":"Elsevier B.V.","title":"Analyzing the Cognitive Level of Classroom Questions Using Machine Learning Techniques","type":"article-journal","volume":"97"},"uris":["http://www.mendeley.com/documents/?uuid=af7d0383-8e99-4004-8dfc-63c08721e43e"]}],"mendeley":{"formattedCitation":"(9)","plainTextFormattedCitation":"(9)","previouslyFormattedCitation":"(9)"},"properties":{"noteIndex":0},"schema":"https://github.com/citation-style-language/schema/raw/master/csl-citation.json"}</w:instrText>
      </w:r>
      <w:r w:rsidRPr="0028619E">
        <w:rPr>
          <w:rFonts w:cs="Times New Roman"/>
          <w:szCs w:val="22"/>
        </w:rPr>
        <w:fldChar w:fldCharType="separate"/>
      </w:r>
      <w:r w:rsidRPr="0028619E">
        <w:rPr>
          <w:rFonts w:cs="Times New Roman"/>
          <w:noProof/>
          <w:szCs w:val="22"/>
        </w:rPr>
        <w:t>(9)</w:t>
      </w:r>
      <w:r w:rsidRPr="0028619E">
        <w:rPr>
          <w:rFonts w:cs="Times New Roman"/>
          <w:szCs w:val="22"/>
        </w:rPr>
        <w:fldChar w:fldCharType="end"/>
      </w:r>
      <w:r w:rsidRPr="0028619E">
        <w:rPr>
          <w:rFonts w:cs="Times New Roman"/>
          <w:szCs w:val="22"/>
        </w:rPr>
        <w:t xml:space="preserve"> states that measuring comprehension focuses on organization of ideas, interpretation of information, and translation.  Examples of the comprehension level test items</w:t>
      </w:r>
      <w:r w:rsidR="0028619E">
        <w:rPr>
          <w:rFonts w:cs="Times New Roman"/>
          <w:szCs w:val="22"/>
        </w:rPr>
        <w:t xml:space="preserve">. </w:t>
      </w:r>
      <w:r w:rsidRPr="0028619E">
        <w:rPr>
          <w:rFonts w:cs="Times New Roman"/>
          <w:szCs w:val="22"/>
          <w:lang w:eastAsia="id-ID"/>
        </w:rPr>
        <w:t xml:space="preserve">What is the </w:t>
      </w:r>
      <w:r w:rsidRPr="0028619E">
        <w:rPr>
          <w:rFonts w:cs="Times New Roman"/>
          <w:b/>
          <w:bCs/>
          <w:szCs w:val="22"/>
          <w:lang w:eastAsia="id-ID"/>
        </w:rPr>
        <w:t xml:space="preserve">difference </w:t>
      </w:r>
      <w:r w:rsidRPr="0028619E">
        <w:rPr>
          <w:rFonts w:cs="Times New Roman"/>
          <w:szCs w:val="22"/>
          <w:lang w:eastAsia="id-ID"/>
        </w:rPr>
        <w:t>between sponge and creaming method in the cake batter?</w:t>
      </w:r>
    </w:p>
    <w:p w14:paraId="39922BCD" w14:textId="77777777" w:rsidR="0028619E" w:rsidRPr="0028619E" w:rsidRDefault="0028619E" w:rsidP="0028619E">
      <w:pPr>
        <w:jc w:val="both"/>
        <w:rPr>
          <w:rFonts w:cs="Times New Roman"/>
          <w:szCs w:val="22"/>
          <w:lang w:eastAsia="id-ID"/>
        </w:rPr>
      </w:pPr>
    </w:p>
    <w:p w14:paraId="27AD21BB" w14:textId="1B97DDD1" w:rsidR="00E80062" w:rsidRPr="0028619E" w:rsidRDefault="00E80062" w:rsidP="0028619E">
      <w:pPr>
        <w:pStyle w:val="ListParagraph"/>
        <w:numPr>
          <w:ilvl w:val="1"/>
          <w:numId w:val="38"/>
        </w:numPr>
        <w:ind w:left="426" w:hanging="426"/>
        <w:rPr>
          <w:rFonts w:cs="Times New Roman"/>
          <w:bCs/>
          <w:i/>
          <w:szCs w:val="22"/>
          <w:lang w:val="id-ID"/>
        </w:rPr>
      </w:pPr>
      <w:r w:rsidRPr="0028619E">
        <w:rPr>
          <w:rFonts w:cs="Times New Roman"/>
          <w:bCs/>
          <w:i/>
          <w:szCs w:val="22"/>
          <w:lang w:val="id-ID"/>
        </w:rPr>
        <w:t xml:space="preserve"> Application </w:t>
      </w:r>
    </w:p>
    <w:p w14:paraId="212D0C52" w14:textId="3E6B94D9" w:rsidR="00E80062" w:rsidRPr="0028619E" w:rsidRDefault="00E80062" w:rsidP="0028619E">
      <w:pPr>
        <w:jc w:val="both"/>
        <w:rPr>
          <w:rFonts w:cs="Times New Roman"/>
          <w:szCs w:val="22"/>
          <w:lang w:eastAsia="id-ID"/>
        </w:rPr>
      </w:pPr>
      <w:r w:rsidRPr="0028619E">
        <w:rPr>
          <w:rFonts w:cs="Times New Roman"/>
          <w:szCs w:val="22"/>
          <w:lang w:eastAsia="id-ID"/>
        </w:rPr>
        <w:t>The application level of the cognitive competence is concerned with “the ability to use and apply the learned ideas, procedures, methods, formulas, theories, and information in a work conditio</w:t>
      </w:r>
      <w:r w:rsidR="00FB00CA">
        <w:rPr>
          <w:rFonts w:cs="Times New Roman"/>
          <w:szCs w:val="22"/>
          <w:lang w:eastAsia="id-ID"/>
        </w:rPr>
        <w:t xml:space="preserve">n or other new contexts” </w:t>
      </w:r>
      <w:r w:rsidRPr="0028619E">
        <w:rPr>
          <w:rFonts w:cs="Times New Roman"/>
          <w:szCs w:val="22"/>
        </w:rPr>
        <w:t xml:space="preserve">This allows learners to use knowledge, skills, or techniques in new situations through </w:t>
      </w:r>
      <w:r w:rsidRPr="0028619E">
        <w:rPr>
          <w:rStyle w:val="Emphasis"/>
          <w:rFonts w:eastAsiaTheme="majorEastAsia" w:cs="Times New Roman"/>
          <w:szCs w:val="22"/>
        </w:rPr>
        <w:t xml:space="preserve">application </w:t>
      </w:r>
      <w:r w:rsidRPr="0028619E">
        <w:rPr>
          <w:rStyle w:val="Emphasis"/>
          <w:rFonts w:eastAsiaTheme="majorEastAsia" w:cs="Times New Roman"/>
          <w:szCs w:val="22"/>
        </w:rPr>
        <w:fldChar w:fldCharType="begin" w:fldLock="1"/>
      </w:r>
      <w:r w:rsidRPr="0028619E">
        <w:rPr>
          <w:rStyle w:val="Emphasis"/>
          <w:rFonts w:eastAsiaTheme="majorEastAsia" w:cs="Times New Roman"/>
          <w:szCs w:val="22"/>
        </w:rPr>
        <w:instrText>ADDIN CSL_CITATION {"citationItems":[{"id":"ITEM-1","itemData":{"DOI":"10.3163/1536-5050.103.3.010","ISBN":"0000000000000","ISSN":"1536-5050","PMID":"26213509","abstract":"Information professionals who train or instruct others can use Bloom's taxonomy to write learning objectives that describe the skills and abilities that they desire their learners to master and demonstrate. Bloom's taxonomy differentiates between cognitive skill levels and calls attention to learning objectives that require higher levels of cognitive skills and, therefore, lead to deeper learning and transfer of knowledge and skills to a greater variety of tasks and contexts. As learners, we know from experience that some learning tasks are more difficult than others. To take an example from elementary school, knowing our multiplication tables by rote requires a qualitatively different type of thinking than does applying our multiplication skills through solving ''word prob-lems.'' And in both cases, a teacher could assess our knowledge and skills in either of these types of thinking by asking us to demonstrate those skills in action, in other words, by doing something that is observable and measurable. With the publication in 1956 of the Taxonomy of Educational Objectives: The Classification of Educational Goals, an educational classic was born that powerfully incorporated these concepts to create a classification of cognitive skills [1]. The classification system came to be called Bloom's taxonomy, after Benjamin Bloom, one of the editors of the volume, and has had significant and lasting influence on the teaching and learning process at all levels of education to the present day. Bloom's taxonomy contains six categories of cogni-tive skills ranging from lower-order skills that require less cognitive processing to higher-order skills that require deeper learning and a greater degree of cognitive processing (Figure 1). The differentiation into categories of higher-order and lower-order skills arose later; Bloom himself did not use these terms. Knowledge is the foundational cognitive skill and refers to the retention of specific, discrete pieces of information like facts and definitions or methodology, such as the sequence of events in a step-by-step process. Knowledge can be assessed by straightforward means, for example, multiple choice or short-answer questions that require the retrieval or recognition of information, for example, ''Name five sources of drug information.'' Health professionals must have command of vast amounts of knowledge such as protocols, interactions, and medical terminology that are committed to memory, but simple recall of fact…","author":[{"dropping-particle":"","family":"Adams","given":"N. E.","non-dropping-particle":"","parse-names":false,"suffix":""}],"container-title":"Journal of the Medical Library Association : JMLA,","id":"ITEM-1","issue":"July","issued":{"date-parts":[["2015"]]},"page":"152-153","title":"Bloom’s taxonomy of cognitive learning objectives.","type":"article-journal","volume":"103"},"uris":["http://www.mendeley.com/documents/?uuid=57af25c7-b851-48eb-9c2d-2124b0655bf5"]}],"mendeley":{"formattedCitation":"(10)","plainTextFormattedCitation":"(10)","previouslyFormattedCitation":"(10)"},"properties":{"noteIndex":0},"schema":"https://github.com/citation-style-language/schema/raw/master/csl-citation.json"}</w:instrText>
      </w:r>
      <w:r w:rsidRPr="0028619E">
        <w:rPr>
          <w:rStyle w:val="Emphasis"/>
          <w:rFonts w:eastAsiaTheme="majorEastAsia" w:cs="Times New Roman"/>
          <w:szCs w:val="22"/>
        </w:rPr>
        <w:fldChar w:fldCharType="separate"/>
      </w:r>
      <w:r w:rsidRPr="0028619E">
        <w:rPr>
          <w:rStyle w:val="Emphasis"/>
          <w:rFonts w:eastAsiaTheme="majorEastAsia" w:cs="Times New Roman"/>
          <w:noProof/>
          <w:szCs w:val="22"/>
        </w:rPr>
        <w:t>(10)</w:t>
      </w:r>
      <w:r w:rsidRPr="0028619E">
        <w:rPr>
          <w:rStyle w:val="Emphasis"/>
          <w:rFonts w:eastAsiaTheme="majorEastAsia" w:cs="Times New Roman"/>
          <w:szCs w:val="22"/>
        </w:rPr>
        <w:fldChar w:fldCharType="end"/>
      </w:r>
      <w:r w:rsidRPr="0028619E">
        <w:rPr>
          <w:rStyle w:val="Emphasis"/>
          <w:rFonts w:eastAsiaTheme="majorEastAsia" w:cs="Times New Roman"/>
          <w:szCs w:val="22"/>
        </w:rPr>
        <w:t xml:space="preserve">. </w:t>
      </w:r>
      <w:r w:rsidRPr="0028619E">
        <w:rPr>
          <w:rStyle w:val="Emphasis"/>
          <w:rFonts w:eastAsiaTheme="majorEastAsia" w:cs="Times New Roman"/>
          <w:i w:val="0"/>
          <w:iCs w:val="0"/>
          <w:szCs w:val="22"/>
        </w:rPr>
        <w:t>The assessment of learning achievement in this level can be done by proposing a problem that is similar to the previously learned materials, and asking students to solve the problem using their knowledge with similar methods or procedures</w:t>
      </w:r>
      <w:r w:rsidR="0028619E">
        <w:rPr>
          <w:rFonts w:cs="Times New Roman"/>
          <w:szCs w:val="22"/>
          <w:lang w:eastAsia="id-ID"/>
        </w:rPr>
        <w:t xml:space="preserve">. </w:t>
      </w:r>
      <w:r w:rsidRPr="0028619E">
        <w:rPr>
          <w:rFonts w:cs="Times New Roman"/>
          <w:szCs w:val="22"/>
        </w:rPr>
        <w:t>Examples of the application level test items</w:t>
      </w:r>
    </w:p>
    <w:p w14:paraId="0D93E4F3" w14:textId="77777777" w:rsidR="0028619E" w:rsidRPr="00994E16" w:rsidRDefault="00E80062" w:rsidP="00994E16">
      <w:pPr>
        <w:rPr>
          <w:rFonts w:cs="Times New Roman"/>
          <w:szCs w:val="22"/>
          <w:lang w:eastAsia="id-ID"/>
        </w:rPr>
      </w:pPr>
      <w:r w:rsidRPr="00994E16">
        <w:rPr>
          <w:rFonts w:cs="Times New Roman"/>
          <w:szCs w:val="22"/>
          <w:u w:val="single"/>
          <w:lang w:eastAsia="id-ID"/>
        </w:rPr>
        <w:t>Determine</w:t>
      </w:r>
      <w:r w:rsidRPr="00994E16">
        <w:rPr>
          <w:rFonts w:cs="Times New Roman"/>
          <w:szCs w:val="22"/>
          <w:lang w:eastAsia="id-ID"/>
        </w:rPr>
        <w:t xml:space="preserve"> the amount of ingredients required to make 100 portions of fried noodle!</w:t>
      </w:r>
    </w:p>
    <w:p w14:paraId="6C5AA735" w14:textId="7DC2F858" w:rsidR="00E80062" w:rsidRPr="00994E16" w:rsidRDefault="00E80062" w:rsidP="00994E16">
      <w:pPr>
        <w:rPr>
          <w:rFonts w:cs="Times New Roman"/>
          <w:szCs w:val="22"/>
          <w:lang w:eastAsia="id-ID"/>
        </w:rPr>
      </w:pPr>
      <w:r w:rsidRPr="00994E16">
        <w:rPr>
          <w:rFonts w:cs="Times New Roman"/>
          <w:szCs w:val="22"/>
          <w:u w:val="single"/>
          <w:lang w:eastAsia="id-ID"/>
        </w:rPr>
        <w:t>Modify</w:t>
      </w:r>
      <w:r w:rsidRPr="00994E16">
        <w:rPr>
          <w:rFonts w:cs="Times New Roman"/>
          <w:szCs w:val="22"/>
          <w:lang w:eastAsia="id-ID"/>
        </w:rPr>
        <w:t xml:space="preserve"> the recipe for potato croquette into taro croquette!</w:t>
      </w:r>
    </w:p>
    <w:p w14:paraId="6CCD8B98" w14:textId="77777777" w:rsidR="00E80062" w:rsidRPr="0028619E" w:rsidRDefault="00E80062" w:rsidP="00EB44DF">
      <w:pPr>
        <w:pStyle w:val="ListParagraph"/>
        <w:ind w:left="0"/>
        <w:rPr>
          <w:rFonts w:cs="Times New Roman"/>
          <w:szCs w:val="22"/>
          <w:lang w:eastAsia="id-ID"/>
        </w:rPr>
      </w:pPr>
      <w:r w:rsidRPr="0028619E">
        <w:rPr>
          <w:rFonts w:cs="Times New Roman"/>
          <w:szCs w:val="22"/>
          <w:lang w:eastAsia="id-ID"/>
        </w:rPr>
        <w:t xml:space="preserve"> </w:t>
      </w:r>
    </w:p>
    <w:p w14:paraId="2471436D" w14:textId="3BBE3F68" w:rsidR="00E80062" w:rsidRPr="0028619E" w:rsidRDefault="00E80062" w:rsidP="0028619E">
      <w:pPr>
        <w:pStyle w:val="ListParagraph"/>
        <w:numPr>
          <w:ilvl w:val="1"/>
          <w:numId w:val="38"/>
        </w:numPr>
        <w:ind w:left="426" w:hanging="426"/>
        <w:rPr>
          <w:rFonts w:cs="Times New Roman"/>
          <w:bCs/>
          <w:i/>
          <w:szCs w:val="22"/>
          <w:lang w:val="id-ID"/>
        </w:rPr>
      </w:pPr>
      <w:r w:rsidRPr="0028619E">
        <w:rPr>
          <w:rFonts w:cs="Times New Roman"/>
          <w:bCs/>
          <w:i/>
          <w:szCs w:val="22"/>
          <w:lang w:val="id-ID"/>
        </w:rPr>
        <w:t>Analysis</w:t>
      </w:r>
    </w:p>
    <w:p w14:paraId="28347428" w14:textId="0E2C165F" w:rsidR="00E80062" w:rsidRPr="0028619E" w:rsidRDefault="00E80062" w:rsidP="00EB44DF">
      <w:pPr>
        <w:jc w:val="both"/>
        <w:rPr>
          <w:rFonts w:cs="Times New Roman"/>
          <w:szCs w:val="22"/>
        </w:rPr>
      </w:pPr>
      <w:r w:rsidRPr="0028619E">
        <w:rPr>
          <w:rFonts w:cs="Times New Roman"/>
          <w:szCs w:val="22"/>
          <w:lang w:eastAsia="id-ID"/>
        </w:rPr>
        <w:t xml:space="preserve">The analysis level of cognitive competence measures </w:t>
      </w:r>
      <w:r w:rsidRPr="0028619E">
        <w:rPr>
          <w:rFonts w:cs="Times New Roman"/>
          <w:i/>
          <w:iCs/>
          <w:szCs w:val="22"/>
          <w:lang w:eastAsia="id-ID"/>
        </w:rPr>
        <w:t>the ability to separate materials or concepts into groups based on any similarity or difference to be reorganized in more comprehensible structures</w:t>
      </w:r>
      <w:r w:rsidRPr="0028619E">
        <w:rPr>
          <w:rFonts w:cs="Times New Roman"/>
          <w:i/>
          <w:szCs w:val="22"/>
          <w:lang w:eastAsia="id-ID"/>
        </w:rPr>
        <w:t xml:space="preserve"> </w:t>
      </w:r>
    </w:p>
    <w:p w14:paraId="11CEEA64" w14:textId="2B620F96" w:rsidR="00E80062" w:rsidRDefault="00E80062" w:rsidP="00994E16">
      <w:pPr>
        <w:jc w:val="both"/>
        <w:rPr>
          <w:rFonts w:cs="Times New Roman"/>
          <w:szCs w:val="22"/>
        </w:rPr>
      </w:pPr>
      <w:r w:rsidRPr="00994E16">
        <w:rPr>
          <w:rFonts w:cs="Times New Roman"/>
          <w:szCs w:val="22"/>
        </w:rPr>
        <w:t>What makes the texture of mayonna</w:t>
      </w:r>
      <w:r w:rsidR="00994E16">
        <w:rPr>
          <w:rFonts w:cs="Times New Roman"/>
          <w:szCs w:val="22"/>
        </w:rPr>
        <w:t>ise to break or not homogenous</w:t>
      </w:r>
      <w:proofErr w:type="gramStart"/>
      <w:r w:rsidR="00994E16">
        <w:rPr>
          <w:rFonts w:cs="Times New Roman"/>
          <w:szCs w:val="22"/>
        </w:rPr>
        <w:t>?,</w:t>
      </w:r>
      <w:proofErr w:type="gramEnd"/>
      <w:r w:rsidR="00994E16">
        <w:rPr>
          <w:rFonts w:cs="Times New Roman"/>
          <w:szCs w:val="22"/>
        </w:rPr>
        <w:t xml:space="preserve"> </w:t>
      </w:r>
      <w:r w:rsidRPr="00994E16">
        <w:rPr>
          <w:rFonts w:cs="Times New Roman"/>
          <w:szCs w:val="22"/>
        </w:rPr>
        <w:t>What makes a sponge cake fails to rise?</w:t>
      </w:r>
      <w:r w:rsidR="00994E16">
        <w:rPr>
          <w:rFonts w:cs="Times New Roman"/>
          <w:szCs w:val="22"/>
        </w:rPr>
        <w:t xml:space="preserve">, </w:t>
      </w:r>
      <w:r w:rsidRPr="00994E16">
        <w:rPr>
          <w:rFonts w:cs="Times New Roman"/>
          <w:szCs w:val="22"/>
        </w:rPr>
        <w:t>Why does a case hardening occur when frozen meat is boiled?</w:t>
      </w:r>
    </w:p>
    <w:p w14:paraId="595E51BC" w14:textId="77777777" w:rsidR="00994E16" w:rsidRPr="00994E16" w:rsidRDefault="00994E16" w:rsidP="00994E16">
      <w:pPr>
        <w:jc w:val="both"/>
        <w:rPr>
          <w:rFonts w:cs="Times New Roman"/>
          <w:szCs w:val="22"/>
        </w:rPr>
      </w:pPr>
    </w:p>
    <w:p w14:paraId="4A02B9F9" w14:textId="6BFCB951" w:rsidR="00E80062" w:rsidRPr="00994E16" w:rsidRDefault="00E80062" w:rsidP="00994E16">
      <w:pPr>
        <w:pStyle w:val="ListParagraph"/>
        <w:numPr>
          <w:ilvl w:val="1"/>
          <w:numId w:val="38"/>
        </w:numPr>
        <w:ind w:left="426" w:hanging="426"/>
        <w:rPr>
          <w:rFonts w:cs="Times New Roman"/>
          <w:bCs/>
          <w:i/>
          <w:szCs w:val="22"/>
          <w:lang w:val="id-ID"/>
        </w:rPr>
      </w:pPr>
      <w:r w:rsidRPr="00994E16">
        <w:rPr>
          <w:rFonts w:cs="Times New Roman"/>
          <w:bCs/>
          <w:i/>
          <w:szCs w:val="22"/>
          <w:lang w:val="id-ID"/>
        </w:rPr>
        <w:t>Evaluation</w:t>
      </w:r>
    </w:p>
    <w:p w14:paraId="65A54F69" w14:textId="11B33070" w:rsidR="00E80062" w:rsidRPr="0028619E" w:rsidRDefault="00E80062" w:rsidP="00EB44DF">
      <w:pPr>
        <w:jc w:val="both"/>
        <w:rPr>
          <w:rFonts w:cs="Times New Roman"/>
          <w:szCs w:val="22"/>
        </w:rPr>
      </w:pPr>
      <w:r w:rsidRPr="0028619E">
        <w:rPr>
          <w:rFonts w:cs="Times New Roman"/>
          <w:szCs w:val="22"/>
        </w:rPr>
        <w:t>Evaluation is a high level of cognitive competence in which learners can identify the criteria of a correct answer, give an example of the correct answer, and provide a solution or know how to fix a wrong answer. It is evident by the ability to criticize a job or a product, determine the conformity of a process or product in regard to a problem, or examine the inconsistency of a theory</w:t>
      </w:r>
      <w:r w:rsidR="00FB00CA">
        <w:rPr>
          <w:rStyle w:val="tlid-translation"/>
          <w:rFonts w:eastAsiaTheme="majorEastAsia" w:cs="Times New Roman"/>
          <w:szCs w:val="22"/>
        </w:rPr>
        <w:t xml:space="preserve"> </w:t>
      </w:r>
      <w:r w:rsidRPr="0028619E">
        <w:rPr>
          <w:rFonts w:cs="Times New Roman"/>
          <w:szCs w:val="22"/>
        </w:rPr>
        <w:fldChar w:fldCharType="begin" w:fldLock="1"/>
      </w:r>
      <w:r w:rsidRPr="0028619E">
        <w:rPr>
          <w:rFonts w:cs="Times New Roman"/>
          <w:szCs w:val="22"/>
        </w:rPr>
        <w:instrText>ADDIN CSL_CITATION {"citationItems":[{"id":"ITEM-1","itemData":{"DOI":"10.5688/ajpe777155","ISSN":"00029459","abstract":"Questions have long been used as a teaching tool by teachers and preceptors to assess students' knowledge, promote comprehension, and stimulate critical thinking. Well-crafted questions lead to new insights, generate discussion, and promote the comprehensive exploration of subject matter. Poorly constructed questions can stifle learning by creating confusion, intimidating students, and limiting creative thinking. Teachers most often ask lower-order, convergent questions that rely on students' factual recall of prior knowledge rather than asking higher-order, divergent questions that promote deep thinking, requiring students to analyze and evaluate concepts. This review summarizes the taxonomy of questions, provides strategies for formulating effective questions, and explores practical considerations to enhance student engagement and promote critical thinking. These concepts can be applied in the classroom and in experiential learning environments.","author":[{"dropping-particle":"","family":"Tofade","given":"Toyin","non-dropping-particle":"","parse-names":false,"suffix":""},{"dropping-particle":"","family":"Elsner","given":"Jamie","non-dropping-particle":"","parse-names":false,"suffix":""},{"dropping-particle":"","family":"Haines","given":"Stuart T.","non-dropping-particle":"","parse-names":false,"suffix":""}],"container-title":"American Journal of Pharmaceutical Education","id":"ITEM-1","issue":"7","issued":{"date-parts":[["2013"]]},"title":"Best practice strategies for effective use of questions as a teaching tool","type":"article-journal","volume":"77"},"uris":["http://www.mendeley.com/documents/?uuid=ad0bc362-1c9b-42d7-8cc4-cb69bc299984"]}],"mendeley":{"formattedCitation":"(11)","plainTextFormattedCitation":"(11)","previouslyFormattedCitation":"(11)"},"properties":{"noteIndex":0},"schema":"https://github.com/citation-style-language/schema/raw/master/csl-citation.json"}</w:instrText>
      </w:r>
      <w:r w:rsidRPr="0028619E">
        <w:rPr>
          <w:rFonts w:cs="Times New Roman"/>
          <w:szCs w:val="22"/>
        </w:rPr>
        <w:fldChar w:fldCharType="separate"/>
      </w:r>
      <w:r w:rsidRPr="0028619E">
        <w:rPr>
          <w:rFonts w:cs="Times New Roman"/>
          <w:noProof/>
          <w:szCs w:val="22"/>
        </w:rPr>
        <w:t>(11)</w:t>
      </w:r>
      <w:r w:rsidRPr="0028619E">
        <w:rPr>
          <w:rFonts w:cs="Times New Roman"/>
          <w:szCs w:val="22"/>
        </w:rPr>
        <w:fldChar w:fldCharType="end"/>
      </w:r>
      <w:r w:rsidRPr="0028619E">
        <w:rPr>
          <w:rFonts w:cs="Times New Roman"/>
          <w:szCs w:val="22"/>
        </w:rPr>
        <w:t>.</w:t>
      </w:r>
    </w:p>
    <w:p w14:paraId="11E453B4" w14:textId="77777777" w:rsidR="00E80062" w:rsidRPr="0028619E" w:rsidRDefault="00E80062" w:rsidP="00EB44DF">
      <w:pPr>
        <w:jc w:val="both"/>
        <w:rPr>
          <w:rFonts w:cs="Times New Roman"/>
          <w:szCs w:val="22"/>
          <w:lang w:eastAsia="id-ID"/>
        </w:rPr>
      </w:pPr>
      <w:r w:rsidRPr="0028619E">
        <w:rPr>
          <w:rFonts w:cs="Times New Roman"/>
          <w:szCs w:val="22"/>
        </w:rPr>
        <w:t>Examples of evaluation level test items</w:t>
      </w:r>
    </w:p>
    <w:p w14:paraId="57FC5584" w14:textId="43A9423A" w:rsidR="00E80062" w:rsidRDefault="00E80062" w:rsidP="008040BB">
      <w:pPr>
        <w:jc w:val="both"/>
        <w:rPr>
          <w:rFonts w:cs="Times New Roman"/>
          <w:szCs w:val="22"/>
        </w:rPr>
      </w:pPr>
      <w:r w:rsidRPr="0028619E">
        <w:rPr>
          <w:rFonts w:cs="Times New Roman"/>
          <w:szCs w:val="22"/>
        </w:rPr>
        <w:t xml:space="preserve">In assessing student ability in conducting an evaluation, teacher must first set a standard or criteria. Evaluation on the learning results can be done by giving assignments or tasks that address </w:t>
      </w:r>
      <w:r w:rsidR="008040BB">
        <w:rPr>
          <w:rFonts w:cs="Times New Roman"/>
          <w:szCs w:val="22"/>
        </w:rPr>
        <w:t xml:space="preserve">the learning objectives, e.g.   </w:t>
      </w:r>
      <w:r w:rsidRPr="0028619E">
        <w:rPr>
          <w:rFonts w:cs="Times New Roman"/>
          <w:szCs w:val="22"/>
        </w:rPr>
        <w:t>The following is a standard pineapple tart recipe. Find ingredients that do not belong in the recipe.</w:t>
      </w:r>
      <w:r w:rsidR="008040BB">
        <w:rPr>
          <w:rFonts w:cs="Times New Roman"/>
          <w:szCs w:val="22"/>
        </w:rPr>
        <w:t xml:space="preserve"> </w:t>
      </w:r>
      <w:r w:rsidRPr="0028619E">
        <w:rPr>
          <w:rFonts w:cs="Times New Roman"/>
          <w:szCs w:val="22"/>
        </w:rPr>
        <w:t xml:space="preserve">Assess the creativity of the </w:t>
      </w:r>
      <w:proofErr w:type="spellStart"/>
      <w:r w:rsidRPr="0028619E">
        <w:rPr>
          <w:rFonts w:cs="Times New Roman"/>
          <w:i/>
          <w:iCs/>
          <w:szCs w:val="22"/>
        </w:rPr>
        <w:t>tumpeng</w:t>
      </w:r>
      <w:proofErr w:type="spellEnd"/>
      <w:r w:rsidRPr="0028619E">
        <w:rPr>
          <w:rFonts w:cs="Times New Roman"/>
          <w:i/>
          <w:iCs/>
          <w:szCs w:val="22"/>
        </w:rPr>
        <w:t xml:space="preserve"> </w:t>
      </w:r>
      <w:proofErr w:type="spellStart"/>
      <w:r w:rsidRPr="0028619E">
        <w:rPr>
          <w:rFonts w:cs="Times New Roman"/>
          <w:i/>
          <w:iCs/>
          <w:szCs w:val="22"/>
        </w:rPr>
        <w:t>nasi</w:t>
      </w:r>
      <w:proofErr w:type="spellEnd"/>
      <w:r w:rsidRPr="0028619E">
        <w:rPr>
          <w:rFonts w:cs="Times New Roman"/>
          <w:i/>
          <w:iCs/>
          <w:szCs w:val="22"/>
        </w:rPr>
        <w:t xml:space="preserve"> </w:t>
      </w:r>
      <w:proofErr w:type="spellStart"/>
      <w:r w:rsidRPr="0028619E">
        <w:rPr>
          <w:rFonts w:cs="Times New Roman"/>
          <w:i/>
          <w:iCs/>
          <w:szCs w:val="22"/>
        </w:rPr>
        <w:t>kuning</w:t>
      </w:r>
      <w:proofErr w:type="spellEnd"/>
      <w:r w:rsidRPr="0028619E">
        <w:rPr>
          <w:rFonts w:cs="Times New Roman"/>
          <w:szCs w:val="22"/>
        </w:rPr>
        <w:t xml:space="preserve"> (traditional dish of turmeric rice shaped as a cone with various side dishes) presentation using the assessment rubric.   </w:t>
      </w:r>
    </w:p>
    <w:p w14:paraId="66F9BCD8" w14:textId="77777777" w:rsidR="00994E16" w:rsidRPr="0028619E" w:rsidRDefault="00994E16" w:rsidP="008040BB">
      <w:pPr>
        <w:pStyle w:val="ListParagraph"/>
        <w:ind w:left="0"/>
        <w:jc w:val="both"/>
        <w:rPr>
          <w:rFonts w:cs="Times New Roman"/>
          <w:szCs w:val="22"/>
        </w:rPr>
      </w:pPr>
    </w:p>
    <w:p w14:paraId="06699634" w14:textId="72A2B4A9" w:rsidR="00E80062" w:rsidRPr="0028619E" w:rsidRDefault="00E80062" w:rsidP="00994E16">
      <w:pPr>
        <w:pStyle w:val="ListParagraph"/>
        <w:numPr>
          <w:ilvl w:val="1"/>
          <w:numId w:val="38"/>
        </w:numPr>
        <w:ind w:left="426" w:hanging="426"/>
        <w:rPr>
          <w:rFonts w:cs="Times New Roman"/>
          <w:b/>
          <w:szCs w:val="22"/>
        </w:rPr>
      </w:pPr>
      <w:r w:rsidRPr="00994E16">
        <w:rPr>
          <w:rFonts w:cs="Times New Roman"/>
          <w:bCs/>
          <w:i/>
          <w:szCs w:val="22"/>
          <w:lang w:val="id-ID"/>
        </w:rPr>
        <w:t>Synthesis/Creation</w:t>
      </w:r>
    </w:p>
    <w:p w14:paraId="0BF18616" w14:textId="5848B6C9" w:rsidR="00E80062" w:rsidRPr="0028619E" w:rsidRDefault="00E80062" w:rsidP="00994E16">
      <w:pPr>
        <w:jc w:val="both"/>
        <w:rPr>
          <w:rFonts w:cs="Times New Roman"/>
          <w:szCs w:val="22"/>
          <w:lang w:eastAsia="id-ID"/>
        </w:rPr>
      </w:pPr>
      <w:r w:rsidRPr="0028619E">
        <w:rPr>
          <w:rFonts w:cs="Times New Roman"/>
          <w:szCs w:val="22"/>
          <w:lang w:eastAsia="id-ID"/>
        </w:rPr>
        <w:t xml:space="preserve">Having the competence to synthesize or create in this context implies that the student has possessed various knowledge which they use to develop either a plan/program, a proposal, a form of scientific work, a report, practicum preparation, design, etc. Creation is indicated by the ability to combine elements of learning to create a whole new </w:t>
      </w:r>
      <w:r w:rsidR="00F6640F" w:rsidRPr="0028619E">
        <w:rPr>
          <w:rFonts w:cs="Times New Roman"/>
          <w:szCs w:val="22"/>
          <w:lang w:eastAsia="id-ID"/>
        </w:rPr>
        <w:t>thing</w:t>
      </w:r>
      <w:r w:rsidRPr="0028619E">
        <w:rPr>
          <w:rFonts w:cs="Times New Roman"/>
          <w:szCs w:val="22"/>
          <w:lang w:eastAsia="id-ID"/>
        </w:rPr>
        <w:t>, and utilize them to produce a new form, pattern or structure</w:t>
      </w:r>
      <w:r w:rsidR="00994E16">
        <w:rPr>
          <w:rFonts w:cs="Times New Roman"/>
          <w:szCs w:val="22"/>
          <w:lang w:eastAsia="id-ID"/>
        </w:rPr>
        <w:t xml:space="preserve">. </w:t>
      </w:r>
      <w:r w:rsidRPr="0028619E">
        <w:rPr>
          <w:rFonts w:cs="Times New Roman"/>
          <w:szCs w:val="22"/>
        </w:rPr>
        <w:t>Examples of creation level test items</w:t>
      </w:r>
      <w:r w:rsidR="00994E16">
        <w:rPr>
          <w:rFonts w:cs="Times New Roman"/>
          <w:szCs w:val="22"/>
          <w:lang w:eastAsia="id-ID"/>
        </w:rPr>
        <w:t xml:space="preserve"> </w:t>
      </w:r>
      <w:proofErr w:type="gramStart"/>
      <w:r w:rsidRPr="0028619E">
        <w:rPr>
          <w:rFonts w:cs="Times New Roman"/>
          <w:szCs w:val="22"/>
        </w:rPr>
        <w:t>A</w:t>
      </w:r>
      <w:proofErr w:type="gramEnd"/>
      <w:r w:rsidRPr="0028619E">
        <w:rPr>
          <w:rFonts w:cs="Times New Roman"/>
          <w:szCs w:val="22"/>
        </w:rPr>
        <w:t xml:space="preserve"> project or assignment is typically used in assessing student learning results in the synthesis level. Teacher prepares rubric to assess student learning results. The examples of assignment instructions based on the learning objectives can be seen below.</w:t>
      </w:r>
    </w:p>
    <w:p w14:paraId="49508024" w14:textId="57E2A2E7" w:rsidR="00E80062" w:rsidRDefault="00E80062" w:rsidP="00994E16">
      <w:pPr>
        <w:pStyle w:val="ListParagraph"/>
        <w:ind w:left="0"/>
        <w:jc w:val="both"/>
        <w:rPr>
          <w:rFonts w:cs="Times New Roman"/>
          <w:szCs w:val="22"/>
        </w:rPr>
      </w:pPr>
      <w:r w:rsidRPr="0028619E">
        <w:rPr>
          <w:rFonts w:cs="Times New Roman"/>
          <w:szCs w:val="22"/>
        </w:rPr>
        <w:t xml:space="preserve">Develop a family lunch menu with variations in ingredients, </w:t>
      </w:r>
      <w:r w:rsidR="008040BB">
        <w:rPr>
          <w:rFonts w:cs="Times New Roman"/>
          <w:szCs w:val="22"/>
        </w:rPr>
        <w:t>cooking techniques, and tastes</w:t>
      </w:r>
      <w:proofErr w:type="gramStart"/>
      <w:r w:rsidR="008040BB">
        <w:rPr>
          <w:rFonts w:cs="Times New Roman"/>
          <w:szCs w:val="22"/>
        </w:rPr>
        <w:t>!,</w:t>
      </w:r>
      <w:proofErr w:type="gramEnd"/>
      <w:r w:rsidR="008040BB">
        <w:rPr>
          <w:rFonts w:cs="Times New Roman"/>
          <w:szCs w:val="22"/>
        </w:rPr>
        <w:t xml:space="preserve"> </w:t>
      </w:r>
      <w:r w:rsidRPr="0028619E">
        <w:rPr>
          <w:rFonts w:cs="Times New Roman"/>
          <w:szCs w:val="22"/>
        </w:rPr>
        <w:t>D</w:t>
      </w:r>
      <w:r w:rsidR="008040BB">
        <w:rPr>
          <w:rFonts w:cs="Times New Roman"/>
          <w:szCs w:val="22"/>
        </w:rPr>
        <w:t xml:space="preserve">evelop a catering business plan, </w:t>
      </w:r>
      <w:r w:rsidRPr="0028619E">
        <w:rPr>
          <w:rFonts w:cs="Times New Roman"/>
          <w:szCs w:val="22"/>
        </w:rPr>
        <w:t xml:space="preserve">Design a marketing strategy for </w:t>
      </w:r>
      <w:proofErr w:type="spellStart"/>
      <w:r w:rsidRPr="0028619E">
        <w:rPr>
          <w:rFonts w:cs="Times New Roman"/>
          <w:i/>
          <w:iCs/>
          <w:szCs w:val="22"/>
        </w:rPr>
        <w:t>dodol</w:t>
      </w:r>
      <w:proofErr w:type="spellEnd"/>
      <w:r w:rsidRPr="0028619E">
        <w:rPr>
          <w:rFonts w:cs="Times New Roman"/>
          <w:i/>
          <w:iCs/>
          <w:szCs w:val="22"/>
        </w:rPr>
        <w:t xml:space="preserve"> </w:t>
      </w:r>
      <w:proofErr w:type="spellStart"/>
      <w:r w:rsidRPr="0028619E">
        <w:rPr>
          <w:rFonts w:cs="Times New Roman"/>
          <w:i/>
          <w:iCs/>
          <w:szCs w:val="22"/>
        </w:rPr>
        <w:t>carica</w:t>
      </w:r>
      <w:proofErr w:type="spellEnd"/>
      <w:r w:rsidR="008040BB">
        <w:rPr>
          <w:rFonts w:cs="Times New Roman"/>
          <w:szCs w:val="22"/>
        </w:rPr>
        <w:t xml:space="preserve">! </w:t>
      </w:r>
      <w:r w:rsidRPr="0028619E">
        <w:rPr>
          <w:rFonts w:cs="Times New Roman"/>
          <w:szCs w:val="22"/>
        </w:rPr>
        <w:t>Design a table setting for a buffet menu</w:t>
      </w:r>
      <w:r w:rsidR="008040BB">
        <w:rPr>
          <w:rFonts w:cs="Times New Roman"/>
          <w:szCs w:val="22"/>
        </w:rPr>
        <w:t>.</w:t>
      </w:r>
    </w:p>
    <w:p w14:paraId="14149E54" w14:textId="77777777" w:rsidR="008040BB" w:rsidRPr="0028619E" w:rsidRDefault="008040BB" w:rsidP="00994E16">
      <w:pPr>
        <w:pStyle w:val="ListParagraph"/>
        <w:ind w:left="0"/>
        <w:jc w:val="both"/>
        <w:rPr>
          <w:rFonts w:cs="Times New Roman"/>
          <w:szCs w:val="22"/>
        </w:rPr>
      </w:pPr>
    </w:p>
    <w:p w14:paraId="71E2370C" w14:textId="77777777" w:rsidR="008040BB" w:rsidRDefault="00E80062" w:rsidP="008040BB">
      <w:pPr>
        <w:numPr>
          <w:ilvl w:val="0"/>
          <w:numId w:val="38"/>
        </w:numPr>
        <w:tabs>
          <w:tab w:val="num" w:pos="360"/>
        </w:tabs>
        <w:ind w:left="360"/>
        <w:rPr>
          <w:b/>
          <w:bCs/>
          <w:lang w:val="id-ID"/>
        </w:rPr>
      </w:pPr>
      <w:r w:rsidRPr="008040BB">
        <w:rPr>
          <w:b/>
          <w:bCs/>
          <w:lang w:val="id-ID"/>
        </w:rPr>
        <w:t>Method</w:t>
      </w:r>
      <w:r w:rsidR="008040BB" w:rsidRPr="008040BB">
        <w:rPr>
          <w:b/>
          <w:bCs/>
          <w:lang w:val="id-ID"/>
        </w:rPr>
        <w:t>s</w:t>
      </w:r>
    </w:p>
    <w:p w14:paraId="6099DAAB" w14:textId="77777777" w:rsidR="00FB00CA" w:rsidRPr="008040BB" w:rsidRDefault="00FB00CA" w:rsidP="00FB00CA">
      <w:pPr>
        <w:ind w:left="360"/>
        <w:rPr>
          <w:b/>
          <w:bCs/>
          <w:lang w:val="id-ID"/>
        </w:rPr>
      </w:pPr>
    </w:p>
    <w:p w14:paraId="138BADB1" w14:textId="4956730C" w:rsidR="00E80062" w:rsidRPr="0028619E" w:rsidRDefault="00E80062" w:rsidP="00EB44DF">
      <w:pPr>
        <w:jc w:val="both"/>
        <w:rPr>
          <w:rFonts w:cs="Times New Roman"/>
          <w:szCs w:val="22"/>
        </w:rPr>
      </w:pPr>
      <w:r w:rsidRPr="008040BB">
        <w:rPr>
          <w:rFonts w:cs="Times New Roman"/>
          <w:szCs w:val="22"/>
        </w:rPr>
        <w:t xml:space="preserve">The study used a document analysis approach carried out in the Food Engineering Education Study Program, Department of </w:t>
      </w:r>
      <w:r w:rsidR="005B0769" w:rsidRPr="008040BB">
        <w:rPr>
          <w:rFonts w:cs="Times New Roman"/>
          <w:szCs w:val="22"/>
        </w:rPr>
        <w:t>Fashion and Food Engineering Education, Faculty of Engineering,</w:t>
      </w:r>
      <w:r w:rsidRPr="008040BB">
        <w:rPr>
          <w:rFonts w:cs="Times New Roman"/>
          <w:szCs w:val="22"/>
        </w:rPr>
        <w:t xml:space="preserve"> Yogyakarta</w:t>
      </w:r>
      <w:r w:rsidR="005B0769" w:rsidRPr="008040BB">
        <w:rPr>
          <w:rFonts w:cs="Times New Roman"/>
          <w:szCs w:val="22"/>
        </w:rPr>
        <w:t xml:space="preserve"> State University</w:t>
      </w:r>
      <w:r w:rsidRPr="008040BB">
        <w:rPr>
          <w:rFonts w:cs="Times New Roman"/>
          <w:szCs w:val="22"/>
        </w:rPr>
        <w:t xml:space="preserve"> in 2019. The source of data in this study is the test items document for the written examination for theory courses and the answer sheet for multiple choice questions. The data collection instruments are item study cards publ</w:t>
      </w:r>
      <w:r w:rsidR="00FB00CA">
        <w:rPr>
          <w:rFonts w:cs="Times New Roman"/>
          <w:szCs w:val="22"/>
        </w:rPr>
        <w:t xml:space="preserve">ished by </w:t>
      </w:r>
      <w:proofErr w:type="spellStart"/>
      <w:r w:rsidR="00FB00CA">
        <w:rPr>
          <w:rFonts w:cs="Times New Roman"/>
          <w:szCs w:val="22"/>
        </w:rPr>
        <w:t>Puslitbagsisjian</w:t>
      </w:r>
      <w:proofErr w:type="spellEnd"/>
      <w:r w:rsidR="00FB00CA">
        <w:rPr>
          <w:rFonts w:cs="Times New Roman"/>
          <w:szCs w:val="22"/>
        </w:rPr>
        <w:t xml:space="preserve"> </w:t>
      </w:r>
      <w:r w:rsidRPr="008040BB">
        <w:rPr>
          <w:rFonts w:cs="Times New Roman"/>
          <w:szCs w:val="22"/>
        </w:rPr>
        <w:fldChar w:fldCharType="begin" w:fldLock="1"/>
      </w:r>
      <w:r w:rsidRPr="008040BB">
        <w:rPr>
          <w:rFonts w:cs="Times New Roman"/>
          <w:szCs w:val="22"/>
        </w:rPr>
        <w:instrText>ADDIN CSL_CITATION {"citationItems":[{"id":"ITEM-1","itemData":{"author":[{"dropping-particle":"","family":"Puslitbangsisjian","given":"","non-dropping-particle":"","parse-names":false,"suffix":""}],"id":"ITEM-1","issued":{"date-parts":[["1996"]]},"title":"Bahan penataran pengujian pendidikan","type":"book"},"uris":["http://www.mendeley.com/documents/?uuid=997037a0-d1f7-418b-bea6-af45f24e4eec"]}],"mendeley":{"formattedCitation":"(12)","plainTextFormattedCitation":"(12)","previouslyFormattedCitation":"(12)"},"properties":{"noteIndex":0},"schema":"https://github.com/citation-style-language/schema/raw/master/csl-citation.json"}</w:instrText>
      </w:r>
      <w:r w:rsidRPr="008040BB">
        <w:rPr>
          <w:rFonts w:cs="Times New Roman"/>
          <w:szCs w:val="22"/>
        </w:rPr>
        <w:fldChar w:fldCharType="separate"/>
      </w:r>
      <w:r w:rsidRPr="008040BB">
        <w:rPr>
          <w:rFonts w:cs="Times New Roman"/>
          <w:noProof/>
          <w:szCs w:val="22"/>
        </w:rPr>
        <w:t>(12)</w:t>
      </w:r>
      <w:r w:rsidRPr="008040BB">
        <w:rPr>
          <w:rFonts w:cs="Times New Roman"/>
          <w:szCs w:val="22"/>
        </w:rPr>
        <w:fldChar w:fldCharType="end"/>
      </w:r>
      <w:r w:rsidRPr="008040BB">
        <w:rPr>
          <w:rFonts w:cs="Times New Roman"/>
          <w:szCs w:val="22"/>
        </w:rPr>
        <w:t xml:space="preserve"> with exceptions of some no longer relevant criteria. The study cards for essay questions are presented in Table 1, while those for multiple choice questions can be seen in Table 2, as quoted by</w:t>
      </w:r>
      <w:r w:rsidR="00FB00CA">
        <w:rPr>
          <w:rFonts w:cs="Times New Roman"/>
          <w:szCs w:val="22"/>
        </w:rPr>
        <w:t xml:space="preserve"> Thomas M. </w:t>
      </w:r>
      <w:proofErr w:type="spellStart"/>
      <w:r w:rsidR="00FB00CA">
        <w:rPr>
          <w:rFonts w:cs="Times New Roman"/>
          <w:szCs w:val="22"/>
        </w:rPr>
        <w:t>Haladyn</w:t>
      </w:r>
      <w:proofErr w:type="spellEnd"/>
      <w:r w:rsidR="008040BB">
        <w:rPr>
          <w:rFonts w:cs="Times New Roman"/>
          <w:szCs w:val="22"/>
        </w:rPr>
        <w:t>.</w:t>
      </w:r>
    </w:p>
    <w:p w14:paraId="760AA712" w14:textId="5929A766" w:rsidR="008040BB" w:rsidRPr="008040BB" w:rsidRDefault="00E80062" w:rsidP="008040BB">
      <w:pPr>
        <w:pStyle w:val="Caption"/>
        <w:rPr>
          <w:b w:val="0"/>
          <w:sz w:val="22"/>
          <w:szCs w:val="22"/>
          <w:lang w:val="sv-SE"/>
        </w:rPr>
      </w:pPr>
      <w:bookmarkStart w:id="2" w:name="_Toc514096600"/>
      <w:bookmarkStart w:id="3" w:name="_Toc16083594"/>
      <w:r w:rsidRPr="008040BB">
        <w:rPr>
          <w:sz w:val="22"/>
          <w:szCs w:val="22"/>
        </w:rPr>
        <w:t xml:space="preserve">Table </w:t>
      </w:r>
      <w:r w:rsidRPr="008040BB">
        <w:rPr>
          <w:sz w:val="22"/>
          <w:szCs w:val="22"/>
          <w:lang w:val="en-US"/>
        </w:rPr>
        <w:t>1</w:t>
      </w:r>
      <w:r w:rsidRPr="008040BB">
        <w:rPr>
          <w:b w:val="0"/>
          <w:sz w:val="22"/>
          <w:szCs w:val="22"/>
          <w:lang w:val="en-US"/>
        </w:rPr>
        <w:t>.</w:t>
      </w:r>
      <w:r w:rsidRPr="008040BB">
        <w:rPr>
          <w:b w:val="0"/>
          <w:sz w:val="22"/>
          <w:szCs w:val="22"/>
          <w:lang w:val="sv-SE"/>
        </w:rPr>
        <w:t xml:space="preserve"> Essay Questions </w:t>
      </w:r>
      <w:bookmarkEnd w:id="2"/>
      <w:bookmarkEnd w:id="3"/>
      <w:r w:rsidRPr="008040BB">
        <w:rPr>
          <w:b w:val="0"/>
          <w:sz w:val="22"/>
          <w:szCs w:val="22"/>
          <w:lang w:val="sv-SE"/>
        </w:rPr>
        <w:t>Study</w:t>
      </w:r>
    </w:p>
    <w:p w14:paraId="6BC4B34D" w14:textId="20288D30" w:rsidR="008040BB" w:rsidRDefault="008040BB" w:rsidP="008040BB">
      <w:pPr>
        <w:pStyle w:val="Caption"/>
        <w:rPr>
          <w:sz w:val="22"/>
          <w:szCs w:val="22"/>
        </w:rPr>
      </w:pPr>
      <w:bookmarkStart w:id="4" w:name="_Toc514096614"/>
      <w:bookmarkStart w:id="5" w:name="_Toc16083595"/>
      <w:r>
        <w:rPr>
          <w:noProof/>
          <w:lang w:val="en-US"/>
        </w:rPr>
        <w:drawing>
          <wp:inline distT="0" distB="0" distL="0" distR="0" wp14:anchorId="3C3D96B9" wp14:editId="4E0128A7">
            <wp:extent cx="2769167" cy="7876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19493" cy="801967"/>
                    </a:xfrm>
                    <a:prstGeom prst="rect">
                      <a:avLst/>
                    </a:prstGeom>
                  </pic:spPr>
                </pic:pic>
              </a:graphicData>
            </a:graphic>
          </wp:inline>
        </w:drawing>
      </w:r>
    </w:p>
    <w:p w14:paraId="366C8FBF" w14:textId="77777777" w:rsidR="00E80062" w:rsidRPr="008040BB" w:rsidRDefault="00E80062" w:rsidP="008040BB">
      <w:pPr>
        <w:pStyle w:val="Caption"/>
        <w:rPr>
          <w:b w:val="0"/>
          <w:sz w:val="22"/>
          <w:szCs w:val="22"/>
          <w:lang w:val="en-US"/>
        </w:rPr>
      </w:pPr>
      <w:r w:rsidRPr="008040BB">
        <w:rPr>
          <w:sz w:val="22"/>
          <w:szCs w:val="22"/>
        </w:rPr>
        <w:t xml:space="preserve">Table </w:t>
      </w:r>
      <w:r w:rsidRPr="008040BB">
        <w:rPr>
          <w:sz w:val="22"/>
          <w:szCs w:val="22"/>
          <w:lang w:val="en-US"/>
        </w:rPr>
        <w:t>2</w:t>
      </w:r>
      <w:r w:rsidRPr="008040BB">
        <w:rPr>
          <w:b w:val="0"/>
          <w:sz w:val="22"/>
          <w:szCs w:val="22"/>
        </w:rPr>
        <w:t xml:space="preserve">. </w:t>
      </w:r>
      <w:bookmarkEnd w:id="4"/>
      <w:bookmarkEnd w:id="5"/>
      <w:r w:rsidRPr="008040BB">
        <w:rPr>
          <w:b w:val="0"/>
          <w:sz w:val="22"/>
          <w:szCs w:val="22"/>
          <w:lang w:val="en-US"/>
        </w:rPr>
        <w:t>Multiple Choice Questions Study Cards</w:t>
      </w:r>
    </w:p>
    <w:p w14:paraId="6175778C" w14:textId="7489FF04" w:rsidR="008040BB" w:rsidRDefault="008040BB" w:rsidP="008040BB">
      <w:pPr>
        <w:pStyle w:val="ListParagraph"/>
        <w:ind w:left="0"/>
        <w:jc w:val="center"/>
        <w:rPr>
          <w:rFonts w:cs="Times New Roman"/>
          <w:szCs w:val="22"/>
        </w:rPr>
      </w:pPr>
      <w:r>
        <w:rPr>
          <w:noProof/>
        </w:rPr>
        <w:lastRenderedPageBreak/>
        <w:drawing>
          <wp:inline distT="0" distB="0" distL="0" distR="0" wp14:anchorId="0B47E116" wp14:editId="59177901">
            <wp:extent cx="2863330" cy="1158844"/>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30557" cy="1186052"/>
                    </a:xfrm>
                    <a:prstGeom prst="rect">
                      <a:avLst/>
                    </a:prstGeom>
                  </pic:spPr>
                </pic:pic>
              </a:graphicData>
            </a:graphic>
          </wp:inline>
        </w:drawing>
      </w:r>
    </w:p>
    <w:p w14:paraId="7278243A" w14:textId="77777777" w:rsidR="008040BB" w:rsidRDefault="008040BB" w:rsidP="00EB44DF">
      <w:pPr>
        <w:pStyle w:val="ListParagraph"/>
        <w:ind w:left="0"/>
        <w:jc w:val="both"/>
        <w:rPr>
          <w:rFonts w:cs="Times New Roman"/>
          <w:szCs w:val="22"/>
        </w:rPr>
      </w:pPr>
    </w:p>
    <w:p w14:paraId="609B73E3" w14:textId="533C1365" w:rsidR="00E80062" w:rsidRPr="0028619E" w:rsidRDefault="00E80062" w:rsidP="008040BB">
      <w:pPr>
        <w:pStyle w:val="ListParagraph"/>
        <w:ind w:left="0" w:firstLine="284"/>
        <w:jc w:val="both"/>
        <w:rPr>
          <w:rFonts w:cs="Times New Roman"/>
          <w:szCs w:val="22"/>
        </w:rPr>
      </w:pPr>
      <w:r w:rsidRPr="0028619E">
        <w:rPr>
          <w:rFonts w:cs="Times New Roman"/>
          <w:szCs w:val="22"/>
        </w:rPr>
        <w:t xml:space="preserve">Data analysis was used </w:t>
      </w:r>
      <w:r w:rsidR="00BB6670" w:rsidRPr="00BB6670">
        <w:rPr>
          <w:rFonts w:cs="Times New Roman"/>
          <w:color w:val="333333"/>
        </w:rPr>
        <w:t>descriptive statistical analysis</w:t>
      </w:r>
      <w:r w:rsidR="00BB6670" w:rsidRPr="0028619E">
        <w:rPr>
          <w:rFonts w:cs="Times New Roman"/>
          <w:szCs w:val="22"/>
        </w:rPr>
        <w:t xml:space="preserve"> </w:t>
      </w:r>
      <w:r w:rsidR="00FB00CA">
        <w:rPr>
          <w:rFonts w:cs="Times New Roman"/>
          <w:szCs w:val="22"/>
        </w:rPr>
        <w:t>(13</w:t>
      </w:r>
      <w:r w:rsidR="00BB6670">
        <w:rPr>
          <w:rFonts w:cs="Times New Roman"/>
          <w:szCs w:val="22"/>
        </w:rPr>
        <w:t xml:space="preserve">) </w:t>
      </w:r>
      <w:r w:rsidRPr="0028619E">
        <w:rPr>
          <w:rFonts w:cs="Times New Roman"/>
          <w:szCs w:val="22"/>
        </w:rPr>
        <w:t xml:space="preserve">on the empirical study of the multiple-choice test item responses. The analyzed substances involved reliability, difficulty level, discriminating power, and item correlation. The following formula was used to calculate the item difficulty level. </w:t>
      </w:r>
      <w:r w:rsidRPr="0028619E">
        <w:rPr>
          <w:rStyle w:val="tlid-translation"/>
          <w:rFonts w:eastAsiaTheme="majorEastAsia" w:cs="Times New Roman"/>
          <w:szCs w:val="22"/>
        </w:rPr>
        <w:t>An item is considered easy when the percentage of the correct answer is more than 75%, moderately difficult between 25 and 75, and difficult, when it is less than 25 (</w:t>
      </w:r>
      <w:proofErr w:type="spellStart"/>
      <w:r w:rsidRPr="0028619E">
        <w:rPr>
          <w:rFonts w:cs="Times New Roman"/>
          <w:szCs w:val="22"/>
        </w:rPr>
        <w:t>Michela</w:t>
      </w:r>
      <w:proofErr w:type="spellEnd"/>
      <w:r w:rsidRPr="0028619E">
        <w:rPr>
          <w:rFonts w:cs="Times New Roman"/>
          <w:szCs w:val="22"/>
        </w:rPr>
        <w:t xml:space="preserve"> </w:t>
      </w:r>
      <w:proofErr w:type="spellStart"/>
      <w:r w:rsidRPr="0028619E">
        <w:rPr>
          <w:rFonts w:cs="Times New Roman"/>
          <w:szCs w:val="22"/>
        </w:rPr>
        <w:t>Gnaldi</w:t>
      </w:r>
      <w:proofErr w:type="spellEnd"/>
      <w:r w:rsidRPr="0028619E">
        <w:rPr>
          <w:rFonts w:cs="Times New Roman"/>
          <w:szCs w:val="22"/>
        </w:rPr>
        <w:t xml:space="preserve"> 2013: 5)</w:t>
      </w:r>
      <w:r w:rsidRPr="0028619E">
        <w:rPr>
          <w:rFonts w:cs="Times New Roman"/>
          <w:szCs w:val="22"/>
        </w:rPr>
        <w:fldChar w:fldCharType="begin" w:fldLock="1"/>
      </w:r>
      <w:r w:rsidRPr="0028619E">
        <w:rPr>
          <w:rFonts w:cs="Times New Roman"/>
          <w:szCs w:val="22"/>
        </w:rPr>
        <w:instrText>ADDIN CSL_CITATION {"citationItems":[{"id":"ITEM-1","itemData":{"ISSN":"2094-0734","abstract":"The aim of the paper is to outline how different psychometric methods can be used for item analysis in the field of standardized educational assessment, with reference to an Italian case study. The research is stimulated by the increasing relevance acknowledged to standardized tests within the Italian context in the last few years. Further, the authors believe that conducting a rigorous analysis of pretested items represents a fundamental requirement for a fair and effective learning evaluation. In particular, the joint use of indicators derived from classical test theory and item response theory models is discussed. The main results of analysis of pretested items for the 2009 Italian National Test of reading comprehension in the second grade of primary school show that, despite the two methods being consistent, both proved important in highlighting different item properties and in detecting weak items. (PsycINFO Database Record (c) 2013 APA, all rights reserved). (journal abstract)","author":[{"dropping-particle":"","family":"Gnaldi","given":"Michela","non-dropping-particle":"","parse-names":false,"suffix":""},{"dropping-particle":"","family":"Matteucci","given":"Mariagiulia","non-dropping-particle":"","parse-names":false,"suffix":""},{"dropping-particle":"","family":"Mignani","given":"Stefania","non-dropping-particle":"","parse-names":false,"suffix":""},{"dropping-particle":"","family":"Falocci","given":"Nicola","non-dropping-particle":"","parse-names":false,"suffix":""}],"container-title":"The International Journal of Educational and Psychological Assessment","id":"ITEM-1","issue":"2","issued":{"date-parts":[["2013"]]},"page":"78-92","title":"Methods of item analysis in standardized student assessment: An application to an Italian case study.","type":"article-journal","volume":"12"},"uris":["http://www.mendeley.com/documents/?uuid=d89a5036-6fa9-41c6-b9ff-caa9cc05b6c2"]}],"mendeley":{"formattedCitation":"(13)","plainTextFormattedCitation":"(13)","previouslyFormattedCitation":"(13)"},"properties":{"noteIndex":0},"schema":"https://github.com/citation-style-language/schema/raw/master/csl-citation.json"}</w:instrText>
      </w:r>
      <w:r w:rsidRPr="0028619E">
        <w:rPr>
          <w:rFonts w:cs="Times New Roman"/>
          <w:szCs w:val="22"/>
        </w:rPr>
        <w:fldChar w:fldCharType="separate"/>
      </w:r>
      <w:r w:rsidR="00505E9D">
        <w:rPr>
          <w:rFonts w:cs="Times New Roman"/>
          <w:noProof/>
          <w:szCs w:val="22"/>
        </w:rPr>
        <w:t>(14</w:t>
      </w:r>
      <w:r w:rsidRPr="0028619E">
        <w:rPr>
          <w:rFonts w:cs="Times New Roman"/>
          <w:noProof/>
          <w:szCs w:val="22"/>
        </w:rPr>
        <w:t>)</w:t>
      </w:r>
      <w:r w:rsidRPr="0028619E">
        <w:rPr>
          <w:rFonts w:cs="Times New Roman"/>
          <w:szCs w:val="22"/>
        </w:rPr>
        <w:fldChar w:fldCharType="end"/>
      </w:r>
      <w:r w:rsidRPr="0028619E">
        <w:rPr>
          <w:rFonts w:cs="Times New Roman"/>
          <w:szCs w:val="22"/>
        </w:rPr>
        <w:t xml:space="preserve">. </w:t>
      </w:r>
    </w:p>
    <w:p w14:paraId="2DCD985C" w14:textId="77777777" w:rsidR="00E80062" w:rsidRPr="0028619E" w:rsidRDefault="00E80062" w:rsidP="00EB44DF">
      <w:pPr>
        <w:autoSpaceDE w:val="0"/>
        <w:autoSpaceDN w:val="0"/>
        <w:adjustRightInd w:val="0"/>
        <w:jc w:val="both"/>
        <w:rPr>
          <w:rFonts w:cs="Times New Roman"/>
          <w:b/>
          <w:szCs w:val="22"/>
        </w:rPr>
      </w:pPr>
    </w:p>
    <w:p w14:paraId="435ABF03" w14:textId="3E0CE105" w:rsidR="00E80062" w:rsidRDefault="00E80062" w:rsidP="00B26012">
      <w:pPr>
        <w:pStyle w:val="ListParagraph"/>
        <w:numPr>
          <w:ilvl w:val="0"/>
          <w:numId w:val="38"/>
        </w:numPr>
        <w:autoSpaceDE w:val="0"/>
        <w:autoSpaceDN w:val="0"/>
        <w:adjustRightInd w:val="0"/>
        <w:ind w:left="426"/>
        <w:jc w:val="both"/>
        <w:rPr>
          <w:rFonts w:cs="Times New Roman"/>
          <w:b/>
          <w:szCs w:val="22"/>
        </w:rPr>
      </w:pPr>
      <w:r w:rsidRPr="00B26012">
        <w:rPr>
          <w:rFonts w:cs="Times New Roman"/>
          <w:b/>
          <w:szCs w:val="22"/>
        </w:rPr>
        <w:t>Results</w:t>
      </w:r>
    </w:p>
    <w:p w14:paraId="42C0DF69" w14:textId="77777777" w:rsidR="00FB00CA" w:rsidRPr="00B26012" w:rsidRDefault="00FB00CA" w:rsidP="00FB00CA">
      <w:pPr>
        <w:pStyle w:val="ListParagraph"/>
        <w:autoSpaceDE w:val="0"/>
        <w:autoSpaceDN w:val="0"/>
        <w:adjustRightInd w:val="0"/>
        <w:ind w:left="426"/>
        <w:jc w:val="both"/>
        <w:rPr>
          <w:rFonts w:cs="Times New Roman"/>
          <w:b/>
          <w:szCs w:val="22"/>
        </w:rPr>
      </w:pPr>
    </w:p>
    <w:p w14:paraId="374061D9" w14:textId="77B7C179" w:rsidR="009F54A3" w:rsidRPr="009F7CC0" w:rsidRDefault="00A06BFD" w:rsidP="009F7CC0">
      <w:pPr>
        <w:autoSpaceDE w:val="0"/>
        <w:autoSpaceDN w:val="0"/>
        <w:adjustRightInd w:val="0"/>
        <w:jc w:val="both"/>
        <w:rPr>
          <w:rFonts w:cs="Times New Roman"/>
          <w:b/>
          <w:szCs w:val="22"/>
        </w:rPr>
      </w:pPr>
      <w:r w:rsidRPr="009F7CC0">
        <w:rPr>
          <w:rFonts w:cs="Times New Roman"/>
          <w:szCs w:val="22"/>
        </w:rPr>
        <w:t>There are two items that “do not address the indicators” as the assessment of learning achievement has been conducted in various forms, namely structured assignments, class participation, and the mid-term examination. Items with no” clear line between question and expected answer” are those with short answers.</w:t>
      </w:r>
      <w:r w:rsidR="009F54A3" w:rsidRPr="009F7CC0">
        <w:rPr>
          <w:rFonts w:cs="Times New Roman"/>
          <w:szCs w:val="22"/>
        </w:rPr>
        <w:t xml:space="preserve"> </w:t>
      </w:r>
      <w:r w:rsidR="009F54A3" w:rsidRPr="009F7CC0">
        <w:rPr>
          <w:rFonts w:cs="Times New Roman"/>
          <w:szCs w:val="22"/>
          <w:lang w:eastAsia="id-ID"/>
        </w:rPr>
        <w:t xml:space="preserve">There are no questions or instructions designed to obtain detailed answers in the Basic Patisserie course as most question items can be addressed with short answers. </w:t>
      </w:r>
      <w:r w:rsidR="009F54A3" w:rsidRPr="009F7CC0">
        <w:rPr>
          <w:rFonts w:cs="Times New Roman"/>
          <w:szCs w:val="22"/>
        </w:rPr>
        <w:t xml:space="preserve">The theoretical study on multiple-choice items is conducted on the criteria for low quality items. Most questions with moderate difficulty level have distractors that work well. Some answers are similar to each other, resulting in students tricked into selecting the wrong answer. There are four items leading to the right answer, namely on the duties of a vice principal. Homogenous and logical answer choices from the material aspect result in questions with a high level of difficulty. Test participants are not distracted by the length difference of the answer choices as the correct answer is the most selected. </w:t>
      </w:r>
    </w:p>
    <w:p w14:paraId="3BF6A184" w14:textId="0DD42AF3" w:rsidR="009F54A3" w:rsidRPr="0028619E" w:rsidRDefault="009F54A3" w:rsidP="00EB44DF">
      <w:pPr>
        <w:jc w:val="both"/>
        <w:rPr>
          <w:rFonts w:cs="Times New Roman"/>
          <w:szCs w:val="22"/>
        </w:rPr>
      </w:pPr>
      <w:r w:rsidRPr="0028619E">
        <w:rPr>
          <w:rFonts w:cs="Times New Roman"/>
          <w:szCs w:val="22"/>
        </w:rPr>
        <w:t xml:space="preserve">Questions in the Education Management course are categorized as easy. There are only 15% difficult and very difficult questions from the total question items. Easy questions are made to give a sense of satisfaction for students and allow them to get a good score and pass the examination. Easy questions do not necessarily mean bad questions, as they may indicate that the test takers are smart and have the abilities to answer correctly. Easy questions result in a low item discriminating power. When more than half of the questions are in the “easy” category, many test takers from the lower group can answer correctly. The negative discriminating power implies that many of the lower group answer correctly by guessing, while the upper group has more incorrect answers. This kind of question requires re-examination for improvement. There is a good item distribution of the HOT level with &gt;50% in the essay questions. This </w:t>
      </w:r>
      <w:r w:rsidR="00B97E83" w:rsidRPr="0028619E">
        <w:rPr>
          <w:rFonts w:cs="Times New Roman"/>
          <w:szCs w:val="22"/>
        </w:rPr>
        <w:t>addresses</w:t>
      </w:r>
      <w:r w:rsidRPr="0028619E">
        <w:rPr>
          <w:rFonts w:cs="Times New Roman"/>
          <w:szCs w:val="22"/>
        </w:rPr>
        <w:t xml:space="preserve"> the demands of the increasingly competitive global job market.</w:t>
      </w:r>
    </w:p>
    <w:p w14:paraId="7F9F1D11" w14:textId="77777777" w:rsidR="009F54A3" w:rsidRPr="0028619E" w:rsidRDefault="009F54A3" w:rsidP="00EB44DF">
      <w:pPr>
        <w:jc w:val="both"/>
        <w:rPr>
          <w:rFonts w:cs="Times New Roman"/>
          <w:szCs w:val="22"/>
        </w:rPr>
      </w:pPr>
    </w:p>
    <w:p w14:paraId="162B0665" w14:textId="77777777" w:rsidR="009F54A3" w:rsidRDefault="009F54A3" w:rsidP="00B26012">
      <w:pPr>
        <w:pStyle w:val="ListParagraph"/>
        <w:numPr>
          <w:ilvl w:val="0"/>
          <w:numId w:val="38"/>
        </w:numPr>
        <w:autoSpaceDE w:val="0"/>
        <w:autoSpaceDN w:val="0"/>
        <w:adjustRightInd w:val="0"/>
        <w:ind w:left="426" w:hanging="426"/>
        <w:jc w:val="both"/>
        <w:rPr>
          <w:rFonts w:cs="Times New Roman"/>
          <w:b/>
          <w:szCs w:val="22"/>
        </w:rPr>
      </w:pPr>
      <w:r w:rsidRPr="0028619E">
        <w:rPr>
          <w:rFonts w:cs="Times New Roman"/>
          <w:b/>
          <w:szCs w:val="22"/>
        </w:rPr>
        <w:t>Conclusion</w:t>
      </w:r>
    </w:p>
    <w:p w14:paraId="7C479130" w14:textId="77777777" w:rsidR="00FB00CA" w:rsidRPr="0028619E" w:rsidRDefault="00FB00CA" w:rsidP="00FB00CA">
      <w:pPr>
        <w:pStyle w:val="ListParagraph"/>
        <w:autoSpaceDE w:val="0"/>
        <w:autoSpaceDN w:val="0"/>
        <w:adjustRightInd w:val="0"/>
        <w:ind w:left="426"/>
        <w:jc w:val="both"/>
        <w:rPr>
          <w:rFonts w:cs="Times New Roman"/>
          <w:b/>
          <w:szCs w:val="22"/>
        </w:rPr>
      </w:pPr>
    </w:p>
    <w:p w14:paraId="0BA115DB" w14:textId="77777777" w:rsidR="009F54A3" w:rsidRPr="0028619E" w:rsidRDefault="009F54A3" w:rsidP="00EB44DF">
      <w:pPr>
        <w:jc w:val="both"/>
        <w:rPr>
          <w:rFonts w:cs="Times New Roman"/>
          <w:szCs w:val="22"/>
        </w:rPr>
      </w:pPr>
      <w:r w:rsidRPr="0028619E">
        <w:rPr>
          <w:rFonts w:cs="Times New Roman"/>
          <w:szCs w:val="22"/>
        </w:rPr>
        <w:t xml:space="preserve">Based on the theoretical study of the essay questions, it is found that two courses, Food &amp; Tourism and Food Quality Control, do not address the indicators as the assessment has been done based on the assignments and the mid-term examination. Questions with short answer are prone to double interpretation and unclear expected answers. The essay questions in the Basic Patisserie course have short answers instead of detailed ones. The findings of theoretical study on the multiple-choice questions show 5 items leading to the correct answer, 1 item with different lengths of answer choices, and 2 items with highly homogenous answer options. The questions have addressed the indicators of having one correct answer option and no </w:t>
      </w:r>
      <w:r w:rsidRPr="0028619E">
        <w:rPr>
          <w:rFonts w:cs="Times New Roman"/>
          <w:szCs w:val="22"/>
        </w:rPr>
        <w:lastRenderedPageBreak/>
        <w:t xml:space="preserve">double negative statements. The theoretical study on multiple-choice questions also show most questions are in the “easy” category, hence the low discriminating power. Easy questions are resulted from the students’ mastery on the learning material. The distribution of the cognitive level in the essay questions for the academic year 2018/2019 consists of 16 LOTs items, 23 MOTs items, and 45 HOTs items. </w:t>
      </w:r>
    </w:p>
    <w:p w14:paraId="3DD018C6" w14:textId="7EB8B91E" w:rsidR="009F54A3" w:rsidRPr="0028619E" w:rsidRDefault="009F54A3" w:rsidP="00EB44DF">
      <w:pPr>
        <w:jc w:val="both"/>
        <w:rPr>
          <w:rFonts w:cs="Times New Roman"/>
          <w:szCs w:val="22"/>
        </w:rPr>
      </w:pPr>
    </w:p>
    <w:p w14:paraId="6F06C539" w14:textId="77777777" w:rsidR="007F4F96" w:rsidRPr="0028619E" w:rsidRDefault="007F4F96" w:rsidP="00EB44DF">
      <w:pPr>
        <w:pStyle w:val="Default"/>
        <w:outlineLvl w:val="0"/>
        <w:rPr>
          <w:sz w:val="22"/>
          <w:szCs w:val="22"/>
          <w:lang w:val="en-US"/>
        </w:rPr>
      </w:pPr>
      <w:r w:rsidRPr="0028619E">
        <w:rPr>
          <w:b/>
          <w:bCs/>
          <w:sz w:val="22"/>
          <w:szCs w:val="22"/>
          <w:lang w:val="en-US"/>
        </w:rPr>
        <w:t>Funding</w:t>
      </w:r>
    </w:p>
    <w:p w14:paraId="71C90D72" w14:textId="55E80FCB" w:rsidR="007F4F96" w:rsidRPr="0028619E" w:rsidRDefault="007F4F96" w:rsidP="00EB44DF">
      <w:pPr>
        <w:jc w:val="both"/>
        <w:rPr>
          <w:rFonts w:cs="Times New Roman"/>
          <w:szCs w:val="22"/>
        </w:rPr>
      </w:pPr>
      <w:r w:rsidRPr="0028619E">
        <w:rPr>
          <w:rFonts w:cs="Times New Roman"/>
          <w:szCs w:val="22"/>
        </w:rPr>
        <w:t>This work was supported by</w:t>
      </w:r>
      <w:r w:rsidR="00A24C10" w:rsidRPr="0028619E">
        <w:rPr>
          <w:rFonts w:cs="Times New Roman"/>
          <w:szCs w:val="22"/>
        </w:rPr>
        <w:t xml:space="preserve"> the</w:t>
      </w:r>
      <w:r w:rsidRPr="0028619E">
        <w:rPr>
          <w:rFonts w:cs="Times New Roman"/>
          <w:szCs w:val="22"/>
        </w:rPr>
        <w:t xml:space="preserve"> Competitiveness Growth Program of the Federal Autonomous Educational Institution of Higher Professional Education National Researc</w:t>
      </w:r>
      <w:bookmarkStart w:id="6" w:name="_GoBack"/>
      <w:bookmarkEnd w:id="6"/>
      <w:r w:rsidRPr="0028619E">
        <w:rPr>
          <w:rFonts w:cs="Times New Roman"/>
          <w:szCs w:val="22"/>
        </w:rPr>
        <w:t xml:space="preserve">h Nuclear University </w:t>
      </w:r>
      <w:proofErr w:type="spellStart"/>
      <w:r w:rsidRPr="0028619E">
        <w:rPr>
          <w:rFonts w:cs="Times New Roman"/>
          <w:szCs w:val="22"/>
        </w:rPr>
        <w:t>MEPhI</w:t>
      </w:r>
      <w:proofErr w:type="spellEnd"/>
      <w:r w:rsidRPr="0028619E">
        <w:rPr>
          <w:rFonts w:cs="Times New Roman"/>
          <w:szCs w:val="22"/>
        </w:rPr>
        <w:t xml:space="preserve"> (Moscow Engineering Physics Institute) under Grant No. [</w:t>
      </w:r>
      <w:r w:rsidRPr="0028619E">
        <w:rPr>
          <w:rFonts w:cs="Times New Roman"/>
          <w:bCs/>
          <w:szCs w:val="22"/>
        </w:rPr>
        <w:t>R07GM589654]</w:t>
      </w:r>
      <w:r w:rsidRPr="0028619E">
        <w:rPr>
          <w:rFonts w:cs="Times New Roman"/>
          <w:szCs w:val="22"/>
        </w:rPr>
        <w:t>.</w:t>
      </w:r>
    </w:p>
    <w:p w14:paraId="4915C46D" w14:textId="77777777" w:rsidR="007F4F96" w:rsidRPr="0028619E" w:rsidRDefault="007F4F96" w:rsidP="00EB44DF">
      <w:pPr>
        <w:autoSpaceDE w:val="0"/>
        <w:autoSpaceDN w:val="0"/>
        <w:adjustRightInd w:val="0"/>
        <w:jc w:val="both"/>
        <w:rPr>
          <w:rFonts w:cs="Times New Roman"/>
          <w:szCs w:val="22"/>
        </w:rPr>
      </w:pPr>
    </w:p>
    <w:p w14:paraId="631D66BB" w14:textId="77777777" w:rsidR="007F4F96" w:rsidRPr="0028619E" w:rsidRDefault="007F4F96" w:rsidP="00EB44DF">
      <w:pPr>
        <w:autoSpaceDE w:val="0"/>
        <w:autoSpaceDN w:val="0"/>
        <w:adjustRightInd w:val="0"/>
        <w:jc w:val="both"/>
        <w:outlineLvl w:val="0"/>
        <w:rPr>
          <w:rFonts w:cs="Times New Roman"/>
          <w:b/>
          <w:szCs w:val="22"/>
        </w:rPr>
      </w:pPr>
      <w:r w:rsidRPr="0028619E">
        <w:rPr>
          <w:rFonts w:cs="Times New Roman"/>
          <w:b/>
          <w:szCs w:val="22"/>
        </w:rPr>
        <w:t>Acknowledgement</w:t>
      </w:r>
    </w:p>
    <w:p w14:paraId="79FB0BAA" w14:textId="4B18FF2E" w:rsidR="007F4F96" w:rsidRPr="0028619E" w:rsidRDefault="007F4F96" w:rsidP="00EB44DF">
      <w:pPr>
        <w:autoSpaceDE w:val="0"/>
        <w:autoSpaceDN w:val="0"/>
        <w:adjustRightInd w:val="0"/>
        <w:jc w:val="both"/>
        <w:rPr>
          <w:rFonts w:cs="Times New Roman"/>
          <w:szCs w:val="22"/>
        </w:rPr>
      </w:pPr>
      <w:r w:rsidRPr="0028619E">
        <w:rPr>
          <w:rFonts w:cs="Times New Roman"/>
          <w:szCs w:val="22"/>
        </w:rPr>
        <w:t>The authors would like to thank their colleague</w:t>
      </w:r>
      <w:r w:rsidR="00F67E6D" w:rsidRPr="0028619E">
        <w:rPr>
          <w:rFonts w:cs="Times New Roman"/>
          <w:szCs w:val="22"/>
        </w:rPr>
        <w:t>s</w:t>
      </w:r>
      <w:r w:rsidRPr="0028619E">
        <w:rPr>
          <w:rFonts w:cs="Times New Roman"/>
          <w:szCs w:val="22"/>
        </w:rPr>
        <w:t xml:space="preserve"> for their contribution and support to the research. They are also thankful to all the reviewers who gave their valuable inputs to the manuscript and helped in completing the paper.</w:t>
      </w:r>
    </w:p>
    <w:p w14:paraId="1A912D79" w14:textId="77777777" w:rsidR="007F4F96" w:rsidRPr="0028619E" w:rsidRDefault="007F4F96" w:rsidP="00EB44DF">
      <w:pPr>
        <w:autoSpaceDE w:val="0"/>
        <w:autoSpaceDN w:val="0"/>
        <w:adjustRightInd w:val="0"/>
        <w:jc w:val="both"/>
        <w:rPr>
          <w:rFonts w:cs="Times New Roman"/>
          <w:szCs w:val="22"/>
        </w:rPr>
      </w:pPr>
    </w:p>
    <w:p w14:paraId="4E8A2C2F" w14:textId="77777777" w:rsidR="007F4F96" w:rsidRPr="00B26012" w:rsidRDefault="007F4F96" w:rsidP="00B26012">
      <w:pPr>
        <w:pStyle w:val="ListParagraph"/>
        <w:numPr>
          <w:ilvl w:val="0"/>
          <w:numId w:val="38"/>
        </w:numPr>
        <w:autoSpaceDE w:val="0"/>
        <w:autoSpaceDN w:val="0"/>
        <w:adjustRightInd w:val="0"/>
        <w:ind w:left="426"/>
        <w:jc w:val="both"/>
        <w:rPr>
          <w:rFonts w:cs="Times New Roman"/>
          <w:b/>
          <w:szCs w:val="22"/>
        </w:rPr>
      </w:pPr>
      <w:r w:rsidRPr="00B26012">
        <w:rPr>
          <w:rFonts w:cs="Times New Roman"/>
          <w:b/>
          <w:szCs w:val="22"/>
        </w:rPr>
        <w:t>References</w:t>
      </w:r>
    </w:p>
    <w:p w14:paraId="14B76D3B" w14:textId="77777777" w:rsidR="00505E9D" w:rsidRDefault="00505E9D" w:rsidP="00B26012">
      <w:pPr>
        <w:pStyle w:val="section"/>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4"/>
        <w:gridCol w:w="8690"/>
      </w:tblGrid>
      <w:tr w:rsidR="00505E9D" w:rsidRPr="00B26012" w14:paraId="2B7933B7" w14:textId="77777777" w:rsidTr="00B26012">
        <w:tc>
          <w:tcPr>
            <w:tcW w:w="704" w:type="dxa"/>
          </w:tcPr>
          <w:p w14:paraId="1B6880D0" w14:textId="3E89D1C8" w:rsidR="00505E9D" w:rsidRPr="00B26012" w:rsidRDefault="00B26012" w:rsidP="00B26012">
            <w:pPr>
              <w:pStyle w:val="section"/>
              <w:rPr>
                <w:lang w:val="en-ID"/>
              </w:rPr>
            </w:pPr>
            <w:r>
              <w:rPr>
                <w:lang w:val="en-ID"/>
              </w:rPr>
              <w:t>[1]</w:t>
            </w:r>
          </w:p>
        </w:tc>
        <w:tc>
          <w:tcPr>
            <w:tcW w:w="8690" w:type="dxa"/>
          </w:tcPr>
          <w:p w14:paraId="132271EC" w14:textId="74B65E64" w:rsidR="00505E9D" w:rsidRPr="00B26012" w:rsidRDefault="00B26012" w:rsidP="00B26012">
            <w:pPr>
              <w:pStyle w:val="section"/>
              <w:rPr>
                <w:color w:val="auto"/>
                <w:lang w:val="en-US"/>
              </w:rPr>
            </w:pPr>
            <w:r w:rsidRPr="00B26012">
              <w:t xml:space="preserve">Harden RM. </w:t>
            </w:r>
            <w:r w:rsidRPr="00B26012">
              <w:rPr>
                <w:i/>
              </w:rPr>
              <w:t>Learning outcomes and instructional objectives: Is there a difference?</w:t>
            </w:r>
            <w:r w:rsidRPr="00B26012">
              <w:t xml:space="preserve"> Med Teach. 2002;24(2):151–5</w:t>
            </w:r>
          </w:p>
        </w:tc>
      </w:tr>
      <w:tr w:rsidR="00505E9D" w:rsidRPr="00B26012" w14:paraId="7034ECD9" w14:textId="77777777" w:rsidTr="00B26012">
        <w:tc>
          <w:tcPr>
            <w:tcW w:w="704" w:type="dxa"/>
          </w:tcPr>
          <w:p w14:paraId="63C1CA2C" w14:textId="3157FC01" w:rsidR="00505E9D" w:rsidRPr="00B26012" w:rsidRDefault="00B26012" w:rsidP="00B26012">
            <w:pPr>
              <w:pStyle w:val="section"/>
              <w:rPr>
                <w:lang w:val="en-ID"/>
              </w:rPr>
            </w:pPr>
            <w:r>
              <w:rPr>
                <w:lang w:val="en-ID"/>
              </w:rPr>
              <w:t>[2]</w:t>
            </w:r>
          </w:p>
        </w:tc>
        <w:tc>
          <w:tcPr>
            <w:tcW w:w="8690" w:type="dxa"/>
          </w:tcPr>
          <w:p w14:paraId="1C75D9E5" w14:textId="17704A25" w:rsidR="00505E9D" w:rsidRPr="00B26012" w:rsidRDefault="00B26012" w:rsidP="00B26012">
            <w:pPr>
              <w:pStyle w:val="section"/>
              <w:rPr>
                <w:color w:val="auto"/>
                <w:lang w:val="en-US"/>
              </w:rPr>
            </w:pPr>
            <w:r w:rsidRPr="00B26012">
              <w:t>Khan T, Han</w:t>
            </w:r>
            <w:r>
              <w:t xml:space="preserve">de S, Bedi S, Singh T, Kumar V 2012 </w:t>
            </w:r>
            <w:r w:rsidRPr="00B26012">
              <w:rPr>
                <w:i/>
              </w:rPr>
              <w:t>Learning Objectives: “Perfect is the Enemy of Good!” Int J User-Driven Healthc</w:t>
            </w:r>
            <w:r>
              <w:t xml:space="preserve"> </w:t>
            </w:r>
            <w:r w:rsidRPr="00B26012">
              <w:t>;2(3):44–62</w:t>
            </w:r>
          </w:p>
        </w:tc>
      </w:tr>
      <w:tr w:rsidR="00505E9D" w:rsidRPr="00B26012" w14:paraId="098A0798" w14:textId="77777777" w:rsidTr="00B26012">
        <w:tc>
          <w:tcPr>
            <w:tcW w:w="704" w:type="dxa"/>
          </w:tcPr>
          <w:p w14:paraId="396F25B0" w14:textId="176B738E" w:rsidR="00505E9D" w:rsidRPr="00B26012" w:rsidRDefault="00B26012" w:rsidP="00B26012">
            <w:pPr>
              <w:pStyle w:val="section"/>
              <w:rPr>
                <w:lang w:val="en-ID"/>
              </w:rPr>
            </w:pPr>
            <w:r>
              <w:rPr>
                <w:lang w:val="en-ID"/>
              </w:rPr>
              <w:t>[3]</w:t>
            </w:r>
          </w:p>
        </w:tc>
        <w:tc>
          <w:tcPr>
            <w:tcW w:w="8690" w:type="dxa"/>
          </w:tcPr>
          <w:p w14:paraId="7805974B" w14:textId="04E8E4A4" w:rsidR="00505E9D" w:rsidRPr="00B26012" w:rsidRDefault="00B26012" w:rsidP="00B26012">
            <w:pPr>
              <w:pStyle w:val="section"/>
              <w:rPr>
                <w:color w:val="auto"/>
                <w:lang w:val="en-US"/>
              </w:rPr>
            </w:pPr>
            <w:r w:rsidRPr="00B26012">
              <w:t>Kusuma MD, Rosid</w:t>
            </w:r>
            <w:r>
              <w:t xml:space="preserve">in U, Abdurrahman A, Suyatna A 2017 </w:t>
            </w:r>
            <w:r w:rsidRPr="00B26012">
              <w:rPr>
                <w:i/>
              </w:rPr>
              <w:t>The Development of Higher Order Thinking Skill (Hots) Instrument Assessment In Physics Study</w:t>
            </w:r>
            <w:r>
              <w:t xml:space="preserve"> IOSR J Res Method Educ</w:t>
            </w:r>
            <w:r w:rsidRPr="00B26012">
              <w:t>;07(01):26–32</w:t>
            </w:r>
          </w:p>
        </w:tc>
      </w:tr>
      <w:tr w:rsidR="00505E9D" w:rsidRPr="00B26012" w14:paraId="6A3CE401" w14:textId="77777777" w:rsidTr="00B26012">
        <w:tc>
          <w:tcPr>
            <w:tcW w:w="704" w:type="dxa"/>
          </w:tcPr>
          <w:p w14:paraId="0F5202B3" w14:textId="103CC31D" w:rsidR="00505E9D" w:rsidRPr="00B26012" w:rsidRDefault="00B26012" w:rsidP="00B26012">
            <w:pPr>
              <w:pStyle w:val="section"/>
              <w:rPr>
                <w:lang w:val="en-ID"/>
              </w:rPr>
            </w:pPr>
            <w:r>
              <w:rPr>
                <w:lang w:val="en-ID"/>
              </w:rPr>
              <w:t>[4]</w:t>
            </w:r>
          </w:p>
        </w:tc>
        <w:tc>
          <w:tcPr>
            <w:tcW w:w="8690" w:type="dxa"/>
          </w:tcPr>
          <w:p w14:paraId="583E5482" w14:textId="67D13762" w:rsidR="00505E9D" w:rsidRPr="00B26012" w:rsidRDefault="00B26012" w:rsidP="00B26012">
            <w:pPr>
              <w:pStyle w:val="section"/>
              <w:rPr>
                <w:color w:val="auto"/>
                <w:lang w:val="en-US"/>
              </w:rPr>
            </w:pPr>
            <w:r>
              <w:t>Kemendikbud</w:t>
            </w:r>
            <w:r w:rsidRPr="00B26012">
              <w:t xml:space="preserve"> </w:t>
            </w:r>
            <w:r>
              <w:rPr>
                <w:lang w:val="en-ID"/>
              </w:rPr>
              <w:t xml:space="preserve">2017 </w:t>
            </w:r>
            <w:r w:rsidRPr="00B26012">
              <w:t xml:space="preserve">Modul Penyusunan Soal HOTS. </w:t>
            </w:r>
            <w:r w:rsidRPr="00B26012">
              <w:rPr>
                <w:i/>
              </w:rPr>
              <w:t>Kement</w:t>
            </w:r>
            <w:r w:rsidRPr="00B26012">
              <w:rPr>
                <w:i/>
              </w:rPr>
              <w:t>rian Pendidikan dan Kebudayaan</w:t>
            </w:r>
            <w:r w:rsidRPr="00B26012">
              <w:t xml:space="preserve"> 48 p.</w:t>
            </w:r>
          </w:p>
        </w:tc>
      </w:tr>
      <w:tr w:rsidR="00505E9D" w:rsidRPr="00B26012" w14:paraId="097B7E8A" w14:textId="77777777" w:rsidTr="00B26012">
        <w:tc>
          <w:tcPr>
            <w:tcW w:w="704" w:type="dxa"/>
          </w:tcPr>
          <w:p w14:paraId="3D03DFF7" w14:textId="0615EFAD" w:rsidR="00505E9D" w:rsidRPr="00B26012" w:rsidRDefault="00B26012" w:rsidP="00B26012">
            <w:pPr>
              <w:pStyle w:val="section"/>
              <w:rPr>
                <w:lang w:val="en-ID"/>
              </w:rPr>
            </w:pPr>
            <w:r>
              <w:rPr>
                <w:lang w:val="en-ID"/>
              </w:rPr>
              <w:t>[5]</w:t>
            </w:r>
          </w:p>
        </w:tc>
        <w:tc>
          <w:tcPr>
            <w:tcW w:w="8690" w:type="dxa"/>
          </w:tcPr>
          <w:p w14:paraId="58B3EC42" w14:textId="60E8275E" w:rsidR="00505E9D" w:rsidRPr="00B26012" w:rsidRDefault="00B26012" w:rsidP="00B26012">
            <w:pPr>
              <w:pStyle w:val="section"/>
              <w:rPr>
                <w:color w:val="auto"/>
                <w:lang w:val="en-US"/>
              </w:rPr>
            </w:pPr>
            <w:r w:rsidRPr="00B26012">
              <w:t>Nachiappan S, Damahur</w:t>
            </w:r>
            <w:r>
              <w:t>i AA, Ganaprakasam C, Suffian S 2018</w:t>
            </w:r>
            <w:r w:rsidRPr="00B26012">
              <w:t xml:space="preserve"> </w:t>
            </w:r>
            <w:r w:rsidRPr="00B26012">
              <w:rPr>
                <w:i/>
              </w:rPr>
              <w:t>Application of Higher Order Thinking Skills (HOTS) in teaching and learning through communication component and spiritual, attitudes and values component in preschool</w:t>
            </w:r>
            <w:r w:rsidRPr="00B26012">
              <w:t xml:space="preserve"> In</w:t>
            </w:r>
            <w:r>
              <w:t>t J Early Child Educ Care</w:t>
            </w:r>
            <w:r>
              <w:rPr>
                <w:lang w:val="en-ID"/>
              </w:rPr>
              <w:t xml:space="preserve"> </w:t>
            </w:r>
            <w:r w:rsidRPr="00B26012">
              <w:t>7(1):24–32</w:t>
            </w:r>
          </w:p>
        </w:tc>
      </w:tr>
      <w:tr w:rsidR="00505E9D" w:rsidRPr="00B26012" w14:paraId="7FCCA174" w14:textId="77777777" w:rsidTr="00B26012">
        <w:tc>
          <w:tcPr>
            <w:tcW w:w="704" w:type="dxa"/>
          </w:tcPr>
          <w:p w14:paraId="61B23073" w14:textId="129885E9" w:rsidR="00505E9D" w:rsidRPr="00B26012" w:rsidRDefault="00B26012" w:rsidP="00B26012">
            <w:pPr>
              <w:pStyle w:val="section"/>
              <w:rPr>
                <w:lang w:val="en-ID"/>
              </w:rPr>
            </w:pPr>
            <w:r>
              <w:rPr>
                <w:lang w:val="en-ID"/>
              </w:rPr>
              <w:t>[6]</w:t>
            </w:r>
          </w:p>
        </w:tc>
        <w:tc>
          <w:tcPr>
            <w:tcW w:w="8690" w:type="dxa"/>
          </w:tcPr>
          <w:p w14:paraId="0BF98E16" w14:textId="77F16A8A" w:rsidR="00505E9D" w:rsidRPr="00B26012" w:rsidRDefault="00B26012" w:rsidP="00B26012">
            <w:pPr>
              <w:pStyle w:val="section"/>
              <w:rPr>
                <w:color w:val="auto"/>
                <w:lang w:val="en-US"/>
              </w:rPr>
            </w:pPr>
            <w:r>
              <w:t xml:space="preserve">Darmawan IPA, Sujoko E 2013 </w:t>
            </w:r>
            <w:r w:rsidRPr="00B26012">
              <w:t>Revisi Taksonomi Pembelajaran Benyamin S</w:t>
            </w:r>
            <w:r>
              <w:t>. Bloom. Satya Widya</w:t>
            </w:r>
            <w:r w:rsidRPr="00B26012">
              <w:t>;29(1):30</w:t>
            </w:r>
          </w:p>
        </w:tc>
      </w:tr>
      <w:tr w:rsidR="00505E9D" w:rsidRPr="00B26012" w14:paraId="0B91C722" w14:textId="77777777" w:rsidTr="00B26012">
        <w:tc>
          <w:tcPr>
            <w:tcW w:w="704" w:type="dxa"/>
          </w:tcPr>
          <w:p w14:paraId="685AD992" w14:textId="0055E8C1" w:rsidR="00505E9D" w:rsidRPr="00B26012" w:rsidRDefault="00B26012" w:rsidP="00B26012">
            <w:pPr>
              <w:pStyle w:val="section"/>
              <w:rPr>
                <w:lang w:val="en-ID"/>
              </w:rPr>
            </w:pPr>
            <w:r>
              <w:rPr>
                <w:lang w:val="en-ID"/>
              </w:rPr>
              <w:t>[7]</w:t>
            </w:r>
          </w:p>
        </w:tc>
        <w:tc>
          <w:tcPr>
            <w:tcW w:w="8690" w:type="dxa"/>
          </w:tcPr>
          <w:p w14:paraId="0059AEC1" w14:textId="71DBBD4D" w:rsidR="00505E9D" w:rsidRPr="00B26012" w:rsidRDefault="00B26012" w:rsidP="00B26012">
            <w:pPr>
              <w:pStyle w:val="section"/>
              <w:rPr>
                <w:color w:val="auto"/>
                <w:lang w:val="en-US"/>
              </w:rPr>
            </w:pPr>
            <w:r w:rsidRPr="00B26012">
              <w:t xml:space="preserve">Bartlett FC, Kintsch W, Bartlett FC, Kintsch W. A </w:t>
            </w:r>
            <w:r>
              <w:rPr>
                <w:lang w:val="en-ID"/>
              </w:rPr>
              <w:t xml:space="preserve">2010 </w:t>
            </w:r>
            <w:r w:rsidRPr="00B26012">
              <w:rPr>
                <w:i/>
              </w:rPr>
              <w:t>Theory of Remembering. Remembering</w:t>
            </w:r>
            <w:r w:rsidRPr="00B26012">
              <w:t>;197–214</w:t>
            </w:r>
          </w:p>
        </w:tc>
      </w:tr>
      <w:tr w:rsidR="00505E9D" w:rsidRPr="00B26012" w14:paraId="23F873BA" w14:textId="77777777" w:rsidTr="00B26012">
        <w:tc>
          <w:tcPr>
            <w:tcW w:w="704" w:type="dxa"/>
          </w:tcPr>
          <w:p w14:paraId="72910C7C" w14:textId="7ACEF4EC" w:rsidR="00505E9D" w:rsidRPr="00B26012" w:rsidRDefault="00B26012" w:rsidP="00B26012">
            <w:pPr>
              <w:pStyle w:val="section"/>
              <w:rPr>
                <w:lang w:val="en-ID"/>
              </w:rPr>
            </w:pPr>
            <w:r>
              <w:rPr>
                <w:lang w:val="en-ID"/>
              </w:rPr>
              <w:t>[8]</w:t>
            </w:r>
          </w:p>
        </w:tc>
        <w:tc>
          <w:tcPr>
            <w:tcW w:w="8690" w:type="dxa"/>
          </w:tcPr>
          <w:p w14:paraId="4198F4E9" w14:textId="5F43457B" w:rsidR="00505E9D" w:rsidRPr="00B26012" w:rsidRDefault="00B26012" w:rsidP="00B26012">
            <w:pPr>
              <w:pStyle w:val="section"/>
              <w:rPr>
                <w:color w:val="auto"/>
                <w:lang w:val="en-US"/>
              </w:rPr>
            </w:pPr>
            <w:r>
              <w:t xml:space="preserve">Wang Y 2017 </w:t>
            </w:r>
            <w:r w:rsidRPr="00B26012">
              <w:rPr>
                <w:i/>
              </w:rPr>
              <w:t>The Cognitive Process of Comprehension: A Formal Description. J Cogn Informatics Nat Intell</w:t>
            </w:r>
            <w:r w:rsidRPr="00B26012">
              <w:t>;4(5):1–14</w:t>
            </w:r>
          </w:p>
        </w:tc>
      </w:tr>
      <w:tr w:rsidR="00B26012" w:rsidRPr="00B26012" w14:paraId="3572804E" w14:textId="77777777" w:rsidTr="00B26012">
        <w:tc>
          <w:tcPr>
            <w:tcW w:w="704" w:type="dxa"/>
          </w:tcPr>
          <w:p w14:paraId="388521A0" w14:textId="70970682" w:rsidR="00B26012" w:rsidRPr="00B26012" w:rsidRDefault="00B26012" w:rsidP="00B26012">
            <w:pPr>
              <w:pStyle w:val="section"/>
              <w:rPr>
                <w:lang w:val="en-ID"/>
              </w:rPr>
            </w:pPr>
            <w:r>
              <w:rPr>
                <w:lang w:val="en-ID"/>
              </w:rPr>
              <w:t>[9]</w:t>
            </w:r>
          </w:p>
        </w:tc>
        <w:tc>
          <w:tcPr>
            <w:tcW w:w="8690" w:type="dxa"/>
          </w:tcPr>
          <w:p w14:paraId="6667C160" w14:textId="54043B66" w:rsidR="00B26012" w:rsidRPr="00B26012" w:rsidRDefault="00B26012" w:rsidP="00B26012">
            <w:pPr>
              <w:pStyle w:val="section"/>
            </w:pPr>
            <w:r w:rsidRPr="00B26012">
              <w:t>Yahya A</w:t>
            </w:r>
            <w:r>
              <w:t>A, Osman A, Taleb A, Alattab AA</w:t>
            </w:r>
            <w:r>
              <w:rPr>
                <w:lang w:val="en-ID"/>
              </w:rPr>
              <w:t xml:space="preserve"> 2013</w:t>
            </w:r>
            <w:r w:rsidRPr="00B26012">
              <w:t xml:space="preserve"> </w:t>
            </w:r>
            <w:r w:rsidRPr="00B26012">
              <w:rPr>
                <w:i/>
              </w:rPr>
              <w:t>Analyzing the Cognitive Level of Classroom Questions Using Machine Learning Techniques</w:t>
            </w:r>
            <w:r w:rsidRPr="00B26012">
              <w:t>. Procedia -</w:t>
            </w:r>
            <w:r>
              <w:t xml:space="preserve"> Soc Behav Sci [Internet]. </w:t>
            </w:r>
            <w:r w:rsidRPr="00B26012">
              <w:t>97:587–95. Available from: http://dx.doi.org/10.1016/j.sbspro.2013.10.277</w:t>
            </w:r>
          </w:p>
        </w:tc>
      </w:tr>
      <w:tr w:rsidR="00B26012" w:rsidRPr="00B26012" w14:paraId="6936003D" w14:textId="77777777" w:rsidTr="00B26012">
        <w:tc>
          <w:tcPr>
            <w:tcW w:w="704" w:type="dxa"/>
          </w:tcPr>
          <w:p w14:paraId="5FDA4C99" w14:textId="6CE18C5B" w:rsidR="00B26012" w:rsidRPr="00B26012" w:rsidRDefault="00B26012" w:rsidP="00B26012">
            <w:pPr>
              <w:pStyle w:val="section"/>
              <w:rPr>
                <w:lang w:val="en-ID"/>
              </w:rPr>
            </w:pPr>
            <w:r>
              <w:rPr>
                <w:lang w:val="en-ID"/>
              </w:rPr>
              <w:t>[10]</w:t>
            </w:r>
          </w:p>
        </w:tc>
        <w:tc>
          <w:tcPr>
            <w:tcW w:w="8690" w:type="dxa"/>
          </w:tcPr>
          <w:p w14:paraId="54B97122" w14:textId="07A4F5C2" w:rsidR="00B26012" w:rsidRPr="00B26012" w:rsidRDefault="00B26012" w:rsidP="00B26012">
            <w:pPr>
              <w:pStyle w:val="section"/>
            </w:pPr>
            <w:r>
              <w:t xml:space="preserve">Adams NE 2015 </w:t>
            </w:r>
            <w:r w:rsidRPr="00B26012">
              <w:rPr>
                <w:i/>
              </w:rPr>
              <w:t>Bloom’s taxonomy o</w:t>
            </w:r>
            <w:r w:rsidRPr="00B26012">
              <w:rPr>
                <w:i/>
              </w:rPr>
              <w:t xml:space="preserve">f cognitive learning objectives </w:t>
            </w:r>
            <w:r w:rsidRPr="00B26012">
              <w:rPr>
                <w:i/>
              </w:rPr>
              <w:t xml:space="preserve"> J Med Libr Assoc  JMLA</w:t>
            </w:r>
            <w:r w:rsidRPr="00B26012">
              <w:t>, [Internet]. 2015;103(July):152–3. Available from: https://www.theguardian.com/science/shortcuts/2016/oct/30/what-protocol-aliens-make-contact-arrival</w:t>
            </w:r>
          </w:p>
        </w:tc>
      </w:tr>
      <w:tr w:rsidR="00B26012" w:rsidRPr="00B26012" w14:paraId="45A6DA0F" w14:textId="77777777" w:rsidTr="00B26012">
        <w:tc>
          <w:tcPr>
            <w:tcW w:w="704" w:type="dxa"/>
          </w:tcPr>
          <w:p w14:paraId="6328E265" w14:textId="7F3D35D5" w:rsidR="00B26012" w:rsidRPr="00B26012" w:rsidRDefault="00B26012" w:rsidP="00B26012">
            <w:pPr>
              <w:pStyle w:val="section"/>
              <w:rPr>
                <w:lang w:val="en-ID"/>
              </w:rPr>
            </w:pPr>
            <w:r>
              <w:rPr>
                <w:lang w:val="en-ID"/>
              </w:rPr>
              <w:t>[11]</w:t>
            </w:r>
          </w:p>
        </w:tc>
        <w:tc>
          <w:tcPr>
            <w:tcW w:w="8690" w:type="dxa"/>
          </w:tcPr>
          <w:p w14:paraId="328223DE" w14:textId="7BC95A0F" w:rsidR="00B26012" w:rsidRPr="00B26012" w:rsidRDefault="00B26012" w:rsidP="00B26012">
            <w:pPr>
              <w:pStyle w:val="section"/>
            </w:pPr>
            <w:r w:rsidRPr="00B26012">
              <w:t xml:space="preserve">Tofade T, </w:t>
            </w:r>
            <w:r>
              <w:t xml:space="preserve">Elsner J, Haines ST 2013 </w:t>
            </w:r>
            <w:r w:rsidRPr="00B26012">
              <w:rPr>
                <w:i/>
              </w:rPr>
              <w:t>Best practice strategies for effective use of questions as a teaching tool</w:t>
            </w:r>
            <w:r>
              <w:t xml:space="preserve"> Am J Pharm Educ</w:t>
            </w:r>
            <w:r w:rsidRPr="00B26012">
              <w:t>;77(7)</w:t>
            </w:r>
          </w:p>
        </w:tc>
      </w:tr>
      <w:tr w:rsidR="00B26012" w:rsidRPr="00B26012" w14:paraId="75EB5704" w14:textId="77777777" w:rsidTr="00B26012">
        <w:tc>
          <w:tcPr>
            <w:tcW w:w="704" w:type="dxa"/>
          </w:tcPr>
          <w:p w14:paraId="246F2B6A" w14:textId="6A47326C" w:rsidR="00B26012" w:rsidRPr="00B26012" w:rsidRDefault="00B26012" w:rsidP="00B26012">
            <w:pPr>
              <w:pStyle w:val="section"/>
              <w:rPr>
                <w:lang w:val="en-ID"/>
              </w:rPr>
            </w:pPr>
            <w:r>
              <w:rPr>
                <w:lang w:val="en-ID"/>
              </w:rPr>
              <w:t>[12]</w:t>
            </w:r>
          </w:p>
        </w:tc>
        <w:tc>
          <w:tcPr>
            <w:tcW w:w="8690" w:type="dxa"/>
          </w:tcPr>
          <w:p w14:paraId="57E13642" w14:textId="305B4F57" w:rsidR="00B26012" w:rsidRPr="00B26012" w:rsidRDefault="00B26012" w:rsidP="00B26012">
            <w:pPr>
              <w:pStyle w:val="section"/>
            </w:pPr>
            <w:r w:rsidRPr="00B26012">
              <w:t>Puslitbangsisjian. Bahan penataran pengujian pendidikan. 1996</w:t>
            </w:r>
          </w:p>
        </w:tc>
      </w:tr>
      <w:tr w:rsidR="00B26012" w:rsidRPr="00B26012" w14:paraId="45C357E3" w14:textId="77777777" w:rsidTr="00B26012">
        <w:tc>
          <w:tcPr>
            <w:tcW w:w="704" w:type="dxa"/>
          </w:tcPr>
          <w:p w14:paraId="29B60173" w14:textId="486657CA" w:rsidR="00B26012" w:rsidRPr="00B26012" w:rsidRDefault="00B26012" w:rsidP="00B26012">
            <w:pPr>
              <w:pStyle w:val="section"/>
              <w:rPr>
                <w:lang w:val="en-ID"/>
              </w:rPr>
            </w:pPr>
            <w:r>
              <w:rPr>
                <w:lang w:val="en-ID"/>
              </w:rPr>
              <w:t>[13]</w:t>
            </w:r>
          </w:p>
        </w:tc>
        <w:tc>
          <w:tcPr>
            <w:tcW w:w="8690" w:type="dxa"/>
          </w:tcPr>
          <w:p w14:paraId="4662577E" w14:textId="516911B6" w:rsidR="00B26012" w:rsidRPr="00B26012" w:rsidRDefault="00B26012" w:rsidP="00B26012">
            <w:pPr>
              <w:pStyle w:val="section"/>
            </w:pPr>
            <w:r w:rsidRPr="00B26012">
              <w:rPr>
                <w:rStyle w:val="nowrap"/>
                <w:color w:val="333333"/>
                <w:bdr w:val="none" w:sz="0" w:space="0" w:color="auto" w:frame="1"/>
              </w:rPr>
              <w:t>T M Wardhany</w:t>
            </w:r>
            <w:r w:rsidRPr="00B26012">
              <w:rPr>
                <w:color w:val="333333"/>
              </w:rPr>
              <w:t> and </w:t>
            </w:r>
            <w:r w:rsidRPr="00B26012">
              <w:rPr>
                <w:rStyle w:val="nowrap"/>
                <w:color w:val="333333"/>
                <w:bdr w:val="none" w:sz="0" w:space="0" w:color="auto" w:frame="1"/>
              </w:rPr>
              <w:t>S E Y Suprihatin</w:t>
            </w:r>
            <w:r w:rsidRPr="00B26012">
              <w:t xml:space="preserve"> 2020 The development of three-dimentional media chart to make golbi cleavage in sewing technology course </w:t>
            </w:r>
            <w:r w:rsidRPr="00B26012">
              <w:rPr>
                <w:iCs/>
              </w:rPr>
              <w:t>Journal of Physics: Conference Series</w:t>
            </w:r>
            <w:r w:rsidRPr="00B26012">
              <w:t xml:space="preserve"> </w:t>
            </w:r>
            <w:r w:rsidRPr="00B26012">
              <w:rPr>
                <w:b/>
                <w:bCs/>
              </w:rPr>
              <w:t>1446</w:t>
            </w:r>
            <w:r w:rsidRPr="00B26012">
              <w:t>, p. 012066</w:t>
            </w:r>
          </w:p>
        </w:tc>
      </w:tr>
      <w:tr w:rsidR="00B26012" w:rsidRPr="00B26012" w14:paraId="4DDBB58B" w14:textId="77777777" w:rsidTr="00B26012">
        <w:tc>
          <w:tcPr>
            <w:tcW w:w="704" w:type="dxa"/>
          </w:tcPr>
          <w:p w14:paraId="4620E843" w14:textId="1942B235" w:rsidR="00B26012" w:rsidRPr="00B26012" w:rsidRDefault="00B26012" w:rsidP="00B26012">
            <w:pPr>
              <w:pStyle w:val="section"/>
              <w:rPr>
                <w:lang w:val="en-ID"/>
              </w:rPr>
            </w:pPr>
            <w:r>
              <w:rPr>
                <w:lang w:val="en-ID"/>
              </w:rPr>
              <w:lastRenderedPageBreak/>
              <w:t>[14]</w:t>
            </w:r>
          </w:p>
        </w:tc>
        <w:tc>
          <w:tcPr>
            <w:tcW w:w="8690" w:type="dxa"/>
          </w:tcPr>
          <w:p w14:paraId="777B3CE3" w14:textId="6CE9FDF5" w:rsidR="00B26012" w:rsidRPr="00B26012" w:rsidRDefault="00B26012" w:rsidP="00B26012">
            <w:pPr>
              <w:pStyle w:val="section"/>
            </w:pPr>
            <w:r w:rsidRPr="00B26012">
              <w:t xml:space="preserve">Gnaldi M, Matteucci M, Mignani S, Falocci N. </w:t>
            </w:r>
            <w:r>
              <w:rPr>
                <w:lang w:val="en-ID"/>
              </w:rPr>
              <w:t xml:space="preserve">2013 </w:t>
            </w:r>
            <w:r w:rsidRPr="00B26012">
              <w:rPr>
                <w:i/>
              </w:rPr>
              <w:t>Methods of item analysis in standardized student assessment: An application to an Italian case study</w:t>
            </w:r>
            <w:r w:rsidRPr="00B26012">
              <w:t>. Int J Educ</w:t>
            </w:r>
            <w:r>
              <w:t xml:space="preserve"> Psychol Assess [Internet]</w:t>
            </w:r>
            <w:r w:rsidRPr="00B26012">
              <w:t>;12(2):78–92. Available from: http://search.ebscohost.com/login.aspx?direct=true&amp;AuthType=ip,url,cookie,uid&amp;db=psyh&amp;AN=2013-27692-005&amp;site=ehost-live&amp;scope=site%5Cnfalocci.nicola@crumbria.it%5Cnstefania.mignani@unibo.it%5Cnm.matteucci@unibo.it%5Cngnaldi@stat.unipg.it</w:t>
            </w:r>
          </w:p>
        </w:tc>
      </w:tr>
    </w:tbl>
    <w:p w14:paraId="6054FE09" w14:textId="591FE27B" w:rsidR="00F41C64" w:rsidRPr="0028619E" w:rsidRDefault="00F41C64" w:rsidP="00FB00CA">
      <w:pPr>
        <w:rPr>
          <w:rFonts w:cs="Times New Roman"/>
          <w:szCs w:val="22"/>
        </w:rPr>
      </w:pPr>
    </w:p>
    <w:sectPr w:rsidR="00F41C64" w:rsidRPr="0028619E" w:rsidSect="0028619E">
      <w:pgSz w:w="12240" w:h="15840"/>
      <w:pgMar w:top="226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663DE"/>
    <w:multiLevelType w:val="hybridMultilevel"/>
    <w:tmpl w:val="77BA9994"/>
    <w:lvl w:ilvl="0" w:tplc="ACD4AE7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E6572"/>
    <w:multiLevelType w:val="hybridMultilevel"/>
    <w:tmpl w:val="453EF204"/>
    <w:lvl w:ilvl="0" w:tplc="989E5A66">
      <w:start w:val="1"/>
      <w:numFmt w:val="lowerLetter"/>
      <w:lvlText w:val="%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2">
    <w:nsid w:val="0C327EAC"/>
    <w:multiLevelType w:val="hybridMultilevel"/>
    <w:tmpl w:val="A85A3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93CB8"/>
    <w:multiLevelType w:val="hybridMultilevel"/>
    <w:tmpl w:val="22BA7E3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C521D96"/>
    <w:multiLevelType w:val="hybridMultilevel"/>
    <w:tmpl w:val="8922682C"/>
    <w:lvl w:ilvl="0" w:tplc="04090017">
      <w:start w:val="1"/>
      <w:numFmt w:val="lowerLetter"/>
      <w:lvlText w:val="%1)"/>
      <w:lvlJc w:val="left"/>
      <w:pPr>
        <w:ind w:left="720" w:hanging="360"/>
      </w:pPr>
      <w:rPr>
        <w:rFonts w:cs="Times New Roman" w:hint="default"/>
        <w:b w:val="0"/>
        <w:sz w:val="22"/>
        <w:szCs w:val="22"/>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204937A9"/>
    <w:multiLevelType w:val="hybridMultilevel"/>
    <w:tmpl w:val="DF9C2420"/>
    <w:lvl w:ilvl="0" w:tplc="94EED858">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207C7C5B"/>
    <w:multiLevelType w:val="hybridMultilevel"/>
    <w:tmpl w:val="EAEE56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20DF518B"/>
    <w:multiLevelType w:val="multilevel"/>
    <w:tmpl w:val="FBEC13D2"/>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3D021E1"/>
    <w:multiLevelType w:val="hybridMultilevel"/>
    <w:tmpl w:val="FAE6FF9C"/>
    <w:lvl w:ilvl="0" w:tplc="94EED8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3FB0C68"/>
    <w:multiLevelType w:val="hybridMultilevel"/>
    <w:tmpl w:val="8A7405B8"/>
    <w:lvl w:ilvl="0" w:tplc="BB424DF2">
      <w:start w:val="1"/>
      <w:numFmt w:val="lowerLetter"/>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4B9101A"/>
    <w:multiLevelType w:val="hybridMultilevel"/>
    <w:tmpl w:val="16D0A274"/>
    <w:lvl w:ilvl="0" w:tplc="94EED858">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26596BD6"/>
    <w:multiLevelType w:val="hybridMultilevel"/>
    <w:tmpl w:val="851E4E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6F23A92"/>
    <w:multiLevelType w:val="hybridMultilevel"/>
    <w:tmpl w:val="6D70D2B8"/>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13">
    <w:nsid w:val="2740693E"/>
    <w:multiLevelType w:val="hybridMultilevel"/>
    <w:tmpl w:val="B05E827C"/>
    <w:lvl w:ilvl="0" w:tplc="04210019">
      <w:start w:val="1"/>
      <w:numFmt w:val="lowerLetter"/>
      <w:lvlText w:val="%1."/>
      <w:lvlJc w:val="left"/>
      <w:pPr>
        <w:ind w:left="360" w:hanging="360"/>
      </w:pPr>
      <w:rPr>
        <w:rFonts w:cs="Times New Roman" w:hint="default"/>
      </w:rPr>
    </w:lvl>
    <w:lvl w:ilvl="1" w:tplc="04210019" w:tentative="1">
      <w:start w:val="1"/>
      <w:numFmt w:val="lowerLetter"/>
      <w:lvlText w:val="%2."/>
      <w:lvlJc w:val="left"/>
      <w:pPr>
        <w:ind w:left="1080" w:hanging="360"/>
      </w:pPr>
      <w:rPr>
        <w:rFonts w:cs="Times New Roman"/>
      </w:rPr>
    </w:lvl>
    <w:lvl w:ilvl="2" w:tplc="0421001B" w:tentative="1">
      <w:start w:val="1"/>
      <w:numFmt w:val="lowerRoman"/>
      <w:lvlText w:val="%3."/>
      <w:lvlJc w:val="right"/>
      <w:pPr>
        <w:ind w:left="1800" w:hanging="180"/>
      </w:pPr>
      <w:rPr>
        <w:rFonts w:cs="Times New Roman"/>
      </w:rPr>
    </w:lvl>
    <w:lvl w:ilvl="3" w:tplc="0421000F" w:tentative="1">
      <w:start w:val="1"/>
      <w:numFmt w:val="decimal"/>
      <w:lvlText w:val="%4."/>
      <w:lvlJc w:val="left"/>
      <w:pPr>
        <w:ind w:left="2520" w:hanging="360"/>
      </w:pPr>
      <w:rPr>
        <w:rFonts w:cs="Times New Roman"/>
      </w:rPr>
    </w:lvl>
    <w:lvl w:ilvl="4" w:tplc="04210019" w:tentative="1">
      <w:start w:val="1"/>
      <w:numFmt w:val="lowerLetter"/>
      <w:lvlText w:val="%5."/>
      <w:lvlJc w:val="left"/>
      <w:pPr>
        <w:ind w:left="3240" w:hanging="360"/>
      </w:pPr>
      <w:rPr>
        <w:rFonts w:cs="Times New Roman"/>
      </w:rPr>
    </w:lvl>
    <w:lvl w:ilvl="5" w:tplc="0421001B" w:tentative="1">
      <w:start w:val="1"/>
      <w:numFmt w:val="lowerRoman"/>
      <w:lvlText w:val="%6."/>
      <w:lvlJc w:val="right"/>
      <w:pPr>
        <w:ind w:left="3960" w:hanging="180"/>
      </w:pPr>
      <w:rPr>
        <w:rFonts w:cs="Times New Roman"/>
      </w:rPr>
    </w:lvl>
    <w:lvl w:ilvl="6" w:tplc="0421000F" w:tentative="1">
      <w:start w:val="1"/>
      <w:numFmt w:val="decimal"/>
      <w:lvlText w:val="%7."/>
      <w:lvlJc w:val="left"/>
      <w:pPr>
        <w:ind w:left="4680" w:hanging="360"/>
      </w:pPr>
      <w:rPr>
        <w:rFonts w:cs="Times New Roman"/>
      </w:rPr>
    </w:lvl>
    <w:lvl w:ilvl="7" w:tplc="04210019" w:tentative="1">
      <w:start w:val="1"/>
      <w:numFmt w:val="lowerLetter"/>
      <w:lvlText w:val="%8."/>
      <w:lvlJc w:val="left"/>
      <w:pPr>
        <w:ind w:left="5400" w:hanging="360"/>
      </w:pPr>
      <w:rPr>
        <w:rFonts w:cs="Times New Roman"/>
      </w:rPr>
    </w:lvl>
    <w:lvl w:ilvl="8" w:tplc="0421001B" w:tentative="1">
      <w:start w:val="1"/>
      <w:numFmt w:val="lowerRoman"/>
      <w:lvlText w:val="%9."/>
      <w:lvlJc w:val="right"/>
      <w:pPr>
        <w:ind w:left="6120" w:hanging="180"/>
      </w:pPr>
      <w:rPr>
        <w:rFonts w:cs="Times New Roman"/>
      </w:rPr>
    </w:lvl>
  </w:abstractNum>
  <w:abstractNum w:abstractNumId="14">
    <w:nsid w:val="27A646CE"/>
    <w:multiLevelType w:val="hybridMultilevel"/>
    <w:tmpl w:val="357E6AA2"/>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nsid w:val="3D576EA2"/>
    <w:multiLevelType w:val="hybridMultilevel"/>
    <w:tmpl w:val="A050AB0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E1F5C0B"/>
    <w:multiLevelType w:val="hybridMultilevel"/>
    <w:tmpl w:val="53B48A0C"/>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FCD63F2"/>
    <w:multiLevelType w:val="hybridMultilevel"/>
    <w:tmpl w:val="02502BE0"/>
    <w:lvl w:ilvl="0" w:tplc="CE32E83C">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8">
    <w:nsid w:val="422A763B"/>
    <w:multiLevelType w:val="hybridMultilevel"/>
    <w:tmpl w:val="6492D5C8"/>
    <w:lvl w:ilvl="0" w:tplc="DD22F0F4">
      <w:start w:val="1"/>
      <w:numFmt w:val="lowerLetter"/>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9">
    <w:nsid w:val="450F11C2"/>
    <w:multiLevelType w:val="multilevel"/>
    <w:tmpl w:val="2B9C5E96"/>
    <w:lvl w:ilvl="0">
      <w:start w:val="1"/>
      <w:numFmt w:val="decimal"/>
      <w:lvlText w:val="%1."/>
      <w:lvlJc w:val="left"/>
      <w:pPr>
        <w:ind w:left="720" w:hanging="360"/>
      </w:pPr>
    </w:lvl>
    <w:lvl w:ilvl="1">
      <w:start w:val="1"/>
      <w:numFmt w:val="decimal"/>
      <w:isLgl/>
      <w:lvlText w:val="%1.%2."/>
      <w:lvlJc w:val="left"/>
      <w:pPr>
        <w:ind w:left="720" w:hanging="360"/>
      </w:pPr>
      <w:rPr>
        <w:rFonts w:hint="default"/>
        <w:b w:val="0"/>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0">
    <w:nsid w:val="452849B2"/>
    <w:multiLevelType w:val="hybridMultilevel"/>
    <w:tmpl w:val="0F0ED85C"/>
    <w:lvl w:ilvl="0" w:tplc="94EED8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F17AF4"/>
    <w:multiLevelType w:val="hybridMultilevel"/>
    <w:tmpl w:val="940E557A"/>
    <w:lvl w:ilvl="0" w:tplc="04210019">
      <w:start w:val="1"/>
      <w:numFmt w:val="lowerLetter"/>
      <w:lvlText w:val="%1."/>
      <w:lvlJc w:val="left"/>
      <w:pPr>
        <w:ind w:left="36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2">
    <w:nsid w:val="48884F88"/>
    <w:multiLevelType w:val="hybridMultilevel"/>
    <w:tmpl w:val="CD2E0D2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49DC47BE"/>
    <w:multiLevelType w:val="multilevel"/>
    <w:tmpl w:val="23281370"/>
    <w:lvl w:ilvl="0">
      <w:numFmt w:val="decimal"/>
      <w:lvlText w:val="%1"/>
      <w:lvlJc w:val="left"/>
      <w:pPr>
        <w:ind w:left="510" w:hanging="510"/>
      </w:pPr>
      <w:rPr>
        <w:rFonts w:hint="default"/>
      </w:rPr>
    </w:lvl>
    <w:lvl w:ilvl="1">
      <w:start w:val="1"/>
      <w:numFmt w:val="decimalZero"/>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A6D0693"/>
    <w:multiLevelType w:val="hybridMultilevel"/>
    <w:tmpl w:val="963AA320"/>
    <w:lvl w:ilvl="0" w:tplc="502899C0">
      <w:start w:val="33"/>
      <w:numFmt w:val="decimal"/>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25">
    <w:nsid w:val="4BC20BBE"/>
    <w:multiLevelType w:val="hybridMultilevel"/>
    <w:tmpl w:val="747AF2C0"/>
    <w:lvl w:ilvl="0" w:tplc="94EED8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2E61810"/>
    <w:multiLevelType w:val="hybridMultilevel"/>
    <w:tmpl w:val="9224FC2A"/>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74528F5"/>
    <w:multiLevelType w:val="hybridMultilevel"/>
    <w:tmpl w:val="D4EAC518"/>
    <w:lvl w:ilvl="0" w:tplc="0409000F">
      <w:start w:val="1"/>
      <w:numFmt w:val="decimal"/>
      <w:lvlText w:val="%1."/>
      <w:lvlJc w:val="left"/>
      <w:pPr>
        <w:ind w:left="502" w:hanging="360"/>
      </w:pPr>
      <w:rPr>
        <w:rFonts w:cs="Times New Roman" w:hint="default"/>
      </w:rPr>
    </w:lvl>
    <w:lvl w:ilvl="1" w:tplc="04090019" w:tentative="1">
      <w:start w:val="1"/>
      <w:numFmt w:val="lowerLetter"/>
      <w:lvlText w:val="%2."/>
      <w:lvlJc w:val="left"/>
      <w:pPr>
        <w:ind w:left="1582" w:hanging="360"/>
      </w:pPr>
      <w:rPr>
        <w:rFonts w:cs="Times New Roman"/>
      </w:rPr>
    </w:lvl>
    <w:lvl w:ilvl="2" w:tplc="0409001B" w:tentative="1">
      <w:start w:val="1"/>
      <w:numFmt w:val="lowerRoman"/>
      <w:lvlText w:val="%3."/>
      <w:lvlJc w:val="right"/>
      <w:pPr>
        <w:ind w:left="2302" w:hanging="180"/>
      </w:pPr>
      <w:rPr>
        <w:rFonts w:cs="Times New Roman"/>
      </w:rPr>
    </w:lvl>
    <w:lvl w:ilvl="3" w:tplc="0409000F" w:tentative="1">
      <w:start w:val="1"/>
      <w:numFmt w:val="decimal"/>
      <w:lvlText w:val="%4."/>
      <w:lvlJc w:val="left"/>
      <w:pPr>
        <w:ind w:left="3022" w:hanging="360"/>
      </w:pPr>
      <w:rPr>
        <w:rFonts w:cs="Times New Roman"/>
      </w:rPr>
    </w:lvl>
    <w:lvl w:ilvl="4" w:tplc="04090019" w:tentative="1">
      <w:start w:val="1"/>
      <w:numFmt w:val="lowerLetter"/>
      <w:lvlText w:val="%5."/>
      <w:lvlJc w:val="left"/>
      <w:pPr>
        <w:ind w:left="3742" w:hanging="360"/>
      </w:pPr>
      <w:rPr>
        <w:rFonts w:cs="Times New Roman"/>
      </w:rPr>
    </w:lvl>
    <w:lvl w:ilvl="5" w:tplc="0409001B" w:tentative="1">
      <w:start w:val="1"/>
      <w:numFmt w:val="lowerRoman"/>
      <w:lvlText w:val="%6."/>
      <w:lvlJc w:val="right"/>
      <w:pPr>
        <w:ind w:left="4462" w:hanging="180"/>
      </w:pPr>
      <w:rPr>
        <w:rFonts w:cs="Times New Roman"/>
      </w:rPr>
    </w:lvl>
    <w:lvl w:ilvl="6" w:tplc="0409000F" w:tentative="1">
      <w:start w:val="1"/>
      <w:numFmt w:val="decimal"/>
      <w:lvlText w:val="%7."/>
      <w:lvlJc w:val="left"/>
      <w:pPr>
        <w:ind w:left="5182" w:hanging="360"/>
      </w:pPr>
      <w:rPr>
        <w:rFonts w:cs="Times New Roman"/>
      </w:rPr>
    </w:lvl>
    <w:lvl w:ilvl="7" w:tplc="04090019" w:tentative="1">
      <w:start w:val="1"/>
      <w:numFmt w:val="lowerLetter"/>
      <w:lvlText w:val="%8."/>
      <w:lvlJc w:val="left"/>
      <w:pPr>
        <w:ind w:left="5902" w:hanging="360"/>
      </w:pPr>
      <w:rPr>
        <w:rFonts w:cs="Times New Roman"/>
      </w:rPr>
    </w:lvl>
    <w:lvl w:ilvl="8" w:tplc="0409001B" w:tentative="1">
      <w:start w:val="1"/>
      <w:numFmt w:val="lowerRoman"/>
      <w:lvlText w:val="%9."/>
      <w:lvlJc w:val="right"/>
      <w:pPr>
        <w:ind w:left="6622" w:hanging="180"/>
      </w:pPr>
      <w:rPr>
        <w:rFonts w:cs="Times New Roman"/>
      </w:rPr>
    </w:lvl>
  </w:abstractNum>
  <w:abstractNum w:abstractNumId="28">
    <w:nsid w:val="5D47470B"/>
    <w:multiLevelType w:val="multilevel"/>
    <w:tmpl w:val="2E5A8C08"/>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nsid w:val="60E50536"/>
    <w:multiLevelType w:val="hybridMultilevel"/>
    <w:tmpl w:val="731671EA"/>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720" w:hanging="360"/>
      </w:pPr>
      <w:rPr>
        <w:rFonts w:cs="Times New Roman"/>
      </w:rPr>
    </w:lvl>
    <w:lvl w:ilvl="2" w:tplc="A18E2E18">
      <w:start w:val="10"/>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3AD3947"/>
    <w:multiLevelType w:val="hybridMultilevel"/>
    <w:tmpl w:val="16D0A274"/>
    <w:lvl w:ilvl="0" w:tplc="94EED858">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1">
    <w:nsid w:val="67296AB9"/>
    <w:multiLevelType w:val="hybridMultilevel"/>
    <w:tmpl w:val="0CC2CAB8"/>
    <w:lvl w:ilvl="0" w:tplc="04090017">
      <w:start w:val="1"/>
      <w:numFmt w:val="lowerLetter"/>
      <w:lvlText w:val="%1)"/>
      <w:lvlJc w:val="left"/>
      <w:pPr>
        <w:ind w:left="1004" w:hanging="360"/>
      </w:pPr>
      <w:rPr>
        <w:rFonts w:cs="Times New Roman"/>
        <w:b w:val="0"/>
      </w:rPr>
    </w:lvl>
    <w:lvl w:ilvl="1" w:tplc="0C090019" w:tentative="1">
      <w:start w:val="1"/>
      <w:numFmt w:val="lowerLetter"/>
      <w:lvlText w:val="%2."/>
      <w:lvlJc w:val="left"/>
      <w:pPr>
        <w:ind w:left="1724" w:hanging="360"/>
      </w:pPr>
      <w:rPr>
        <w:rFonts w:cs="Times New Roman"/>
      </w:rPr>
    </w:lvl>
    <w:lvl w:ilvl="2" w:tplc="0C09001B" w:tentative="1">
      <w:start w:val="1"/>
      <w:numFmt w:val="lowerRoman"/>
      <w:lvlText w:val="%3."/>
      <w:lvlJc w:val="right"/>
      <w:pPr>
        <w:ind w:left="2444" w:hanging="180"/>
      </w:pPr>
      <w:rPr>
        <w:rFonts w:cs="Times New Roman"/>
      </w:rPr>
    </w:lvl>
    <w:lvl w:ilvl="3" w:tplc="0C09000F" w:tentative="1">
      <w:start w:val="1"/>
      <w:numFmt w:val="decimal"/>
      <w:lvlText w:val="%4."/>
      <w:lvlJc w:val="left"/>
      <w:pPr>
        <w:ind w:left="3164" w:hanging="360"/>
      </w:pPr>
      <w:rPr>
        <w:rFonts w:cs="Times New Roman"/>
      </w:rPr>
    </w:lvl>
    <w:lvl w:ilvl="4" w:tplc="0C090019" w:tentative="1">
      <w:start w:val="1"/>
      <w:numFmt w:val="lowerLetter"/>
      <w:lvlText w:val="%5."/>
      <w:lvlJc w:val="left"/>
      <w:pPr>
        <w:ind w:left="3884" w:hanging="360"/>
      </w:pPr>
      <w:rPr>
        <w:rFonts w:cs="Times New Roman"/>
      </w:rPr>
    </w:lvl>
    <w:lvl w:ilvl="5" w:tplc="0C09001B" w:tentative="1">
      <w:start w:val="1"/>
      <w:numFmt w:val="lowerRoman"/>
      <w:lvlText w:val="%6."/>
      <w:lvlJc w:val="right"/>
      <w:pPr>
        <w:ind w:left="4604" w:hanging="180"/>
      </w:pPr>
      <w:rPr>
        <w:rFonts w:cs="Times New Roman"/>
      </w:rPr>
    </w:lvl>
    <w:lvl w:ilvl="6" w:tplc="0C09000F" w:tentative="1">
      <w:start w:val="1"/>
      <w:numFmt w:val="decimal"/>
      <w:lvlText w:val="%7."/>
      <w:lvlJc w:val="left"/>
      <w:pPr>
        <w:ind w:left="5324" w:hanging="360"/>
      </w:pPr>
      <w:rPr>
        <w:rFonts w:cs="Times New Roman"/>
      </w:rPr>
    </w:lvl>
    <w:lvl w:ilvl="7" w:tplc="0C090019" w:tentative="1">
      <w:start w:val="1"/>
      <w:numFmt w:val="lowerLetter"/>
      <w:lvlText w:val="%8."/>
      <w:lvlJc w:val="left"/>
      <w:pPr>
        <w:ind w:left="6044" w:hanging="360"/>
      </w:pPr>
      <w:rPr>
        <w:rFonts w:cs="Times New Roman"/>
      </w:rPr>
    </w:lvl>
    <w:lvl w:ilvl="8" w:tplc="0C09001B" w:tentative="1">
      <w:start w:val="1"/>
      <w:numFmt w:val="lowerRoman"/>
      <w:lvlText w:val="%9."/>
      <w:lvlJc w:val="right"/>
      <w:pPr>
        <w:ind w:left="6764" w:hanging="180"/>
      </w:pPr>
      <w:rPr>
        <w:rFonts w:cs="Times New Roman"/>
      </w:rPr>
    </w:lvl>
  </w:abstractNum>
  <w:abstractNum w:abstractNumId="32">
    <w:nsid w:val="6C595D95"/>
    <w:multiLevelType w:val="hybridMultilevel"/>
    <w:tmpl w:val="E41CB858"/>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C21A0882">
      <w:start w:val="41"/>
      <w:numFmt w:val="decimal"/>
      <w:lvlText w:val="%3."/>
      <w:lvlJc w:val="left"/>
      <w:pPr>
        <w:ind w:left="360" w:hanging="360"/>
      </w:pPr>
      <w:rPr>
        <w:rFonts w:asciiTheme="minorHAnsi" w:hAnsiTheme="minorHAnsi" w:cs="Times New Roman" w:hint="default"/>
      </w:rPr>
    </w:lvl>
    <w:lvl w:ilvl="3" w:tplc="B28EA162">
      <w:start w:val="11"/>
      <w:numFmt w:val="decimal"/>
      <w:lvlText w:val="%4.)"/>
      <w:lvlJc w:val="left"/>
      <w:pPr>
        <w:ind w:left="3615" w:hanging="375"/>
      </w:pPr>
      <w:rPr>
        <w:rFonts w:cs="Times New Roman" w:hint="default"/>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3">
    <w:nsid w:val="72D356B7"/>
    <w:multiLevelType w:val="hybridMultilevel"/>
    <w:tmpl w:val="4A528CE8"/>
    <w:lvl w:ilvl="0" w:tplc="94EED858">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nsid w:val="75BF6CAF"/>
    <w:multiLevelType w:val="hybridMultilevel"/>
    <w:tmpl w:val="06E845D0"/>
    <w:lvl w:ilvl="0" w:tplc="A63E252C">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76D060D0"/>
    <w:multiLevelType w:val="hybridMultilevel"/>
    <w:tmpl w:val="58648474"/>
    <w:lvl w:ilvl="0" w:tplc="B3A675FA">
      <w:start w:val="1"/>
      <w:numFmt w:val="lowerLetter"/>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6">
    <w:nsid w:val="776B208D"/>
    <w:multiLevelType w:val="hybridMultilevel"/>
    <w:tmpl w:val="DDCC80B0"/>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37">
    <w:nsid w:val="777D5031"/>
    <w:multiLevelType w:val="hybridMultilevel"/>
    <w:tmpl w:val="79D2CA98"/>
    <w:lvl w:ilvl="0" w:tplc="9EB63042">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nsid w:val="7C2E3575"/>
    <w:multiLevelType w:val="hybridMultilevel"/>
    <w:tmpl w:val="1CAEA22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28"/>
  </w:num>
  <w:num w:numId="2">
    <w:abstractNumId w:val="11"/>
  </w:num>
  <w:num w:numId="3">
    <w:abstractNumId w:val="3"/>
  </w:num>
  <w:num w:numId="4">
    <w:abstractNumId w:val="36"/>
  </w:num>
  <w:num w:numId="5">
    <w:abstractNumId w:val="6"/>
  </w:num>
  <w:num w:numId="6">
    <w:abstractNumId w:val="12"/>
  </w:num>
  <w:num w:numId="7">
    <w:abstractNumId w:val="37"/>
  </w:num>
  <w:num w:numId="8">
    <w:abstractNumId w:val="15"/>
  </w:num>
  <w:num w:numId="9">
    <w:abstractNumId w:val="4"/>
  </w:num>
  <w:num w:numId="10">
    <w:abstractNumId w:val="9"/>
  </w:num>
  <w:num w:numId="11">
    <w:abstractNumId w:val="31"/>
  </w:num>
  <w:num w:numId="12">
    <w:abstractNumId w:val="26"/>
  </w:num>
  <w:num w:numId="13">
    <w:abstractNumId w:val="8"/>
  </w:num>
  <w:num w:numId="14">
    <w:abstractNumId w:val="25"/>
  </w:num>
  <w:num w:numId="15">
    <w:abstractNumId w:val="33"/>
  </w:num>
  <w:num w:numId="16">
    <w:abstractNumId w:val="16"/>
  </w:num>
  <w:num w:numId="17">
    <w:abstractNumId w:val="5"/>
  </w:num>
  <w:num w:numId="18">
    <w:abstractNumId w:val="34"/>
  </w:num>
  <w:num w:numId="19">
    <w:abstractNumId w:val="35"/>
  </w:num>
  <w:num w:numId="20">
    <w:abstractNumId w:val="1"/>
  </w:num>
  <w:num w:numId="21">
    <w:abstractNumId w:val="21"/>
  </w:num>
  <w:num w:numId="22">
    <w:abstractNumId w:val="14"/>
  </w:num>
  <w:num w:numId="23">
    <w:abstractNumId w:val="27"/>
  </w:num>
  <w:num w:numId="24">
    <w:abstractNumId w:val="17"/>
  </w:num>
  <w:num w:numId="25">
    <w:abstractNumId w:val="22"/>
  </w:num>
  <w:num w:numId="26">
    <w:abstractNumId w:val="30"/>
  </w:num>
  <w:num w:numId="27">
    <w:abstractNumId w:val="10"/>
  </w:num>
  <w:num w:numId="28">
    <w:abstractNumId w:val="18"/>
  </w:num>
  <w:num w:numId="29">
    <w:abstractNumId w:val="32"/>
  </w:num>
  <w:num w:numId="30">
    <w:abstractNumId w:val="13"/>
  </w:num>
  <w:num w:numId="31">
    <w:abstractNumId w:val="29"/>
  </w:num>
  <w:num w:numId="32">
    <w:abstractNumId w:val="38"/>
  </w:num>
  <w:num w:numId="33">
    <w:abstractNumId w:val="24"/>
  </w:num>
  <w:num w:numId="34">
    <w:abstractNumId w:val="0"/>
  </w:num>
  <w:num w:numId="35">
    <w:abstractNumId w:val="20"/>
  </w:num>
  <w:num w:numId="36">
    <w:abstractNumId w:val="23"/>
  </w:num>
  <w:num w:numId="37">
    <w:abstractNumId w:val="2"/>
  </w:num>
  <w:num w:numId="38">
    <w:abstractNumId w:val="19"/>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062"/>
    <w:rsid w:val="000731FB"/>
    <w:rsid w:val="000A10E9"/>
    <w:rsid w:val="00126E42"/>
    <w:rsid w:val="001778E4"/>
    <w:rsid w:val="0018749E"/>
    <w:rsid w:val="001C2E07"/>
    <w:rsid w:val="0028619E"/>
    <w:rsid w:val="00505E9D"/>
    <w:rsid w:val="00554EFB"/>
    <w:rsid w:val="005B0769"/>
    <w:rsid w:val="005D0A7E"/>
    <w:rsid w:val="00672961"/>
    <w:rsid w:val="00704366"/>
    <w:rsid w:val="00722F79"/>
    <w:rsid w:val="007F4F96"/>
    <w:rsid w:val="008040BB"/>
    <w:rsid w:val="009010A6"/>
    <w:rsid w:val="00994E16"/>
    <w:rsid w:val="009F54A3"/>
    <w:rsid w:val="009F7CC0"/>
    <w:rsid w:val="00A06BFD"/>
    <w:rsid w:val="00A22489"/>
    <w:rsid w:val="00A24C10"/>
    <w:rsid w:val="00B26012"/>
    <w:rsid w:val="00B97E83"/>
    <w:rsid w:val="00BB6670"/>
    <w:rsid w:val="00C12E9D"/>
    <w:rsid w:val="00E80062"/>
    <w:rsid w:val="00EB44DF"/>
    <w:rsid w:val="00EC2A66"/>
    <w:rsid w:val="00F41C64"/>
    <w:rsid w:val="00F6640F"/>
    <w:rsid w:val="00F67E6D"/>
    <w:rsid w:val="00FB00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5456B"/>
  <w15:chartTrackingRefBased/>
  <w15:docId w15:val="{14F0BF23-54AC-4711-8177-2E294C2E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062"/>
    <w:pPr>
      <w:spacing w:after="0" w:line="240" w:lineRule="auto"/>
    </w:pPr>
    <w:rPr>
      <w:rFonts w:ascii="Times New Roman" w:hAnsi="Times New Roman"/>
      <w:szCs w:val="24"/>
    </w:rPr>
  </w:style>
  <w:style w:type="paragraph" w:styleId="Heading3">
    <w:name w:val="heading 3"/>
    <w:basedOn w:val="Normal"/>
    <w:next w:val="Normal"/>
    <w:link w:val="Heading3Char"/>
    <w:uiPriority w:val="9"/>
    <w:unhideWhenUsed/>
    <w:qFormat/>
    <w:rsid w:val="001C2E07"/>
    <w:pPr>
      <w:keepNext/>
      <w:keepLines/>
      <w:spacing w:before="200" w:line="276" w:lineRule="auto"/>
      <w:outlineLvl w:val="2"/>
    </w:pPr>
    <w:rPr>
      <w:rFonts w:asciiTheme="majorHAnsi" w:eastAsiaTheme="majorEastAsia" w:hAnsiTheme="majorHAnsi" w:cs="Times New Roman"/>
      <w:b/>
      <w:bCs/>
      <w:color w:val="4472C4" w:themeColor="accent1"/>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0062"/>
    <w:rPr>
      <w:color w:val="0563C1" w:themeColor="hyperlink"/>
      <w:u w:val="single"/>
    </w:rPr>
  </w:style>
  <w:style w:type="paragraph" w:styleId="ListParagraph">
    <w:name w:val="List Paragraph"/>
    <w:aliases w:val="Body of text"/>
    <w:basedOn w:val="Normal"/>
    <w:link w:val="ListParagraphChar"/>
    <w:uiPriority w:val="34"/>
    <w:qFormat/>
    <w:rsid w:val="00E80062"/>
    <w:pPr>
      <w:ind w:left="720"/>
      <w:contextualSpacing/>
    </w:pPr>
  </w:style>
  <w:style w:type="character" w:customStyle="1" w:styleId="shorttext">
    <w:name w:val="short_text"/>
    <w:basedOn w:val="DefaultParagraphFont"/>
    <w:rsid w:val="00E80062"/>
  </w:style>
  <w:style w:type="table" w:styleId="TableGrid">
    <w:name w:val="Table Grid"/>
    <w:basedOn w:val="TableNormal"/>
    <w:uiPriority w:val="39"/>
    <w:rsid w:val="00E80062"/>
    <w:pPr>
      <w:spacing w:after="0" w:line="240" w:lineRule="auto"/>
    </w:pPr>
    <w:rPr>
      <w:rFonts w:eastAsiaTheme="minorEastAsia"/>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Judul">
    <w:name w:val="endJudul"/>
    <w:basedOn w:val="Normal"/>
    <w:rsid w:val="00E80062"/>
    <w:pPr>
      <w:spacing w:after="240" w:line="276" w:lineRule="auto"/>
      <w:jc w:val="center"/>
    </w:pPr>
    <w:rPr>
      <w:rFonts w:ascii="Arial" w:eastAsia="Times New Roman" w:hAnsi="Arial" w:cs="Arial"/>
      <w:sz w:val="20"/>
      <w:szCs w:val="20"/>
    </w:rPr>
  </w:style>
  <w:style w:type="paragraph" w:styleId="Caption">
    <w:name w:val="caption"/>
    <w:basedOn w:val="Normal"/>
    <w:next w:val="Normal"/>
    <w:uiPriority w:val="35"/>
    <w:qFormat/>
    <w:rsid w:val="00E80062"/>
    <w:pPr>
      <w:jc w:val="center"/>
    </w:pPr>
    <w:rPr>
      <w:rFonts w:eastAsia="Times New Roman" w:cs="Times New Roman"/>
      <w:b/>
      <w:bCs/>
      <w:sz w:val="24"/>
      <w:lang w:val="id-ID"/>
    </w:rPr>
  </w:style>
  <w:style w:type="character" w:customStyle="1" w:styleId="ListParagraphChar">
    <w:name w:val="List Paragraph Char"/>
    <w:aliases w:val="Body of text Char"/>
    <w:basedOn w:val="DefaultParagraphFont"/>
    <w:link w:val="ListParagraph"/>
    <w:uiPriority w:val="34"/>
    <w:locked/>
    <w:rsid w:val="00E80062"/>
    <w:rPr>
      <w:rFonts w:ascii="Times New Roman" w:hAnsi="Times New Roman"/>
      <w:szCs w:val="24"/>
    </w:rPr>
  </w:style>
  <w:style w:type="character" w:customStyle="1" w:styleId="tlid-translation">
    <w:name w:val="tlid-translation"/>
    <w:basedOn w:val="DefaultParagraphFont"/>
    <w:rsid w:val="00E80062"/>
  </w:style>
  <w:style w:type="character" w:styleId="Emphasis">
    <w:name w:val="Emphasis"/>
    <w:basedOn w:val="DefaultParagraphFont"/>
    <w:uiPriority w:val="20"/>
    <w:qFormat/>
    <w:rsid w:val="00E80062"/>
    <w:rPr>
      <w:i/>
      <w:iCs/>
    </w:rPr>
  </w:style>
  <w:style w:type="character" w:customStyle="1" w:styleId="cit">
    <w:name w:val="cit"/>
    <w:basedOn w:val="DefaultParagraphFont"/>
    <w:rsid w:val="00E80062"/>
  </w:style>
  <w:style w:type="paragraph" w:styleId="BodyTextIndent">
    <w:name w:val="Body Text Indent"/>
    <w:basedOn w:val="Normal"/>
    <w:link w:val="BodyTextIndentChar"/>
    <w:uiPriority w:val="99"/>
    <w:unhideWhenUsed/>
    <w:rsid w:val="00E80062"/>
    <w:pPr>
      <w:spacing w:after="120" w:line="276" w:lineRule="auto"/>
      <w:ind w:left="360"/>
    </w:pPr>
    <w:rPr>
      <w:rFonts w:asciiTheme="minorHAnsi" w:eastAsia="Times New Roman" w:hAnsiTheme="minorHAnsi" w:cs="Times New Roman"/>
      <w:szCs w:val="22"/>
      <w:lang w:val="id-ID"/>
    </w:rPr>
  </w:style>
  <w:style w:type="character" w:customStyle="1" w:styleId="BodyTextIndentChar">
    <w:name w:val="Body Text Indent Char"/>
    <w:basedOn w:val="DefaultParagraphFont"/>
    <w:link w:val="BodyTextIndent"/>
    <w:uiPriority w:val="99"/>
    <w:rsid w:val="00E80062"/>
    <w:rPr>
      <w:rFonts w:eastAsia="Times New Roman" w:cs="Times New Roman"/>
      <w:lang w:val="id-ID"/>
    </w:rPr>
  </w:style>
  <w:style w:type="table" w:customStyle="1" w:styleId="PlainTable11">
    <w:name w:val="Plain Table 11"/>
    <w:basedOn w:val="TableNormal"/>
    <w:uiPriority w:val="41"/>
    <w:rsid w:val="00E80062"/>
    <w:pPr>
      <w:spacing w:after="0" w:line="240" w:lineRule="auto"/>
    </w:pPr>
    <w:rPr>
      <w:rFonts w:eastAsiaTheme="minorEastAsia" w:cs="Times New Roman"/>
      <w:sz w:val="21"/>
      <w:szCs w:val="21"/>
      <w:lang w:val="id-ID"/>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customStyle="1" w:styleId="PlainTable41">
    <w:name w:val="Plain Table 41"/>
    <w:basedOn w:val="TableNormal"/>
    <w:uiPriority w:val="44"/>
    <w:rsid w:val="00E80062"/>
    <w:pPr>
      <w:spacing w:after="0" w:line="240" w:lineRule="auto"/>
    </w:pPr>
    <w:rPr>
      <w:rFonts w:eastAsia="Times New Roman" w:cs="Calibri"/>
    </w:rPr>
    <w:tblPr>
      <w:tblStyleRowBandSize w:val="1"/>
      <w:tblStyleColBandSize w:val="1"/>
      <w:tblInd w:w="0" w:type="dxa"/>
      <w:tblCellMar>
        <w:top w:w="0" w:type="dxa"/>
        <w:left w:w="108" w:type="dxa"/>
        <w:bottom w:w="0" w:type="dxa"/>
        <w:right w:w="108" w:type="dxa"/>
      </w:tblCellMar>
    </w:tblPr>
    <w:tblStylePr w:type="firstRow">
      <w:rPr>
        <w:rFonts w:cs="Calibri"/>
        <w:b/>
        <w:bCs/>
      </w:rPr>
    </w:tblStylePr>
    <w:tblStylePr w:type="lastRow">
      <w:rPr>
        <w:rFonts w:cs="Calibri"/>
        <w:b/>
        <w:bCs/>
      </w:rPr>
    </w:tblStylePr>
    <w:tblStylePr w:type="firstCol">
      <w:rPr>
        <w:rFonts w:cs="Calibri"/>
        <w:b/>
        <w:bCs/>
      </w:rPr>
    </w:tblStylePr>
    <w:tblStylePr w:type="lastCol">
      <w:rPr>
        <w:rFonts w:cs="Calibri"/>
        <w:b/>
        <w:bCs/>
      </w:rPr>
    </w:tblStylePr>
    <w:tblStylePr w:type="band1Vert">
      <w:rPr>
        <w:rFonts w:cs="Calibri"/>
      </w:rPr>
      <w:tblPr/>
      <w:tcPr>
        <w:shd w:val="clear" w:color="auto" w:fill="F2F2F2" w:themeFill="background1" w:themeFillShade="F2"/>
      </w:tcPr>
    </w:tblStylePr>
    <w:tblStylePr w:type="band1Horz">
      <w:rPr>
        <w:rFonts w:cs="Calibri"/>
      </w:rPr>
      <w:tblPr/>
      <w:tcPr>
        <w:shd w:val="clear" w:color="auto" w:fill="F2F2F2" w:themeFill="background1" w:themeFillShade="F2"/>
      </w:tcPr>
    </w:tblStylePr>
  </w:style>
  <w:style w:type="character" w:customStyle="1" w:styleId="Heading3Char">
    <w:name w:val="Heading 3 Char"/>
    <w:basedOn w:val="DefaultParagraphFont"/>
    <w:link w:val="Heading3"/>
    <w:uiPriority w:val="9"/>
    <w:rsid w:val="001C2E07"/>
    <w:rPr>
      <w:rFonts w:asciiTheme="majorHAnsi" w:eastAsiaTheme="majorEastAsia" w:hAnsiTheme="majorHAnsi" w:cs="Times New Roman"/>
      <w:b/>
      <w:bCs/>
      <w:color w:val="4472C4" w:themeColor="accent1"/>
      <w:lang w:val="id-ID"/>
    </w:rPr>
  </w:style>
  <w:style w:type="paragraph" w:customStyle="1" w:styleId="Default">
    <w:name w:val="Default"/>
    <w:link w:val="DefaultChar"/>
    <w:rsid w:val="001C2E07"/>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DefaultChar">
    <w:name w:val="Default Char"/>
    <w:link w:val="Default"/>
    <w:locked/>
    <w:rsid w:val="001C2E07"/>
    <w:rPr>
      <w:rFonts w:ascii="Times New Roman" w:eastAsia="Times New Roman" w:hAnsi="Times New Roman" w:cs="Times New Roman"/>
      <w:color w:val="000000"/>
      <w:sz w:val="24"/>
      <w:szCs w:val="24"/>
      <w:lang w:val="ru-RU" w:eastAsia="ru-RU"/>
    </w:rPr>
  </w:style>
  <w:style w:type="table" w:customStyle="1" w:styleId="PlainTable21">
    <w:name w:val="Plain Table 21"/>
    <w:basedOn w:val="TableNormal"/>
    <w:uiPriority w:val="42"/>
    <w:rsid w:val="001C2E07"/>
    <w:pPr>
      <w:spacing w:after="0" w:line="240" w:lineRule="auto"/>
    </w:pPr>
    <w:rPr>
      <w:rFonts w:eastAsia="Times New Roman" w:cs="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rFonts w:cs="Calibri"/>
        <w:b/>
        <w:bCs/>
      </w:rPr>
      <w:tblPr/>
      <w:tcPr>
        <w:tcBorders>
          <w:bottom w:val="single" w:sz="4" w:space="0" w:color="7F7F7F" w:themeColor="text1" w:themeTint="80"/>
        </w:tcBorders>
      </w:tcPr>
    </w:tblStylePr>
    <w:tblStylePr w:type="lastRow">
      <w:rPr>
        <w:rFonts w:cs="Calibri"/>
        <w:b/>
        <w:bCs/>
      </w:rPr>
      <w:tblPr/>
      <w:tcPr>
        <w:tcBorders>
          <w:top w:val="single" w:sz="4" w:space="0" w:color="7F7F7F" w:themeColor="text1" w:themeTint="80"/>
        </w:tcBorders>
      </w:tcPr>
    </w:tblStylePr>
    <w:tblStylePr w:type="firstCol">
      <w:rPr>
        <w:rFonts w:cs="Calibri"/>
        <w:b/>
        <w:bCs/>
      </w:rPr>
    </w:tblStylePr>
    <w:tblStylePr w:type="lastCol">
      <w:rPr>
        <w:rFonts w:cs="Calibri"/>
        <w:b/>
        <w:bCs/>
      </w:rPr>
    </w:tblStylePr>
    <w:tblStylePr w:type="band1Vert">
      <w:rPr>
        <w:rFonts w:cs="Calibri"/>
      </w:rPr>
      <w:tblPr/>
      <w:tcPr>
        <w:tcBorders>
          <w:left w:val="single" w:sz="4" w:space="0" w:color="7F7F7F" w:themeColor="text1" w:themeTint="80"/>
          <w:right w:val="single" w:sz="4" w:space="0" w:color="7F7F7F" w:themeColor="text1" w:themeTint="80"/>
        </w:tcBorders>
      </w:tcPr>
    </w:tblStylePr>
    <w:tblStylePr w:type="band2Vert">
      <w:rPr>
        <w:rFonts w:cs="Calibri"/>
      </w:rPr>
      <w:tblPr/>
      <w:tcPr>
        <w:tcBorders>
          <w:left w:val="single" w:sz="4" w:space="0" w:color="7F7F7F" w:themeColor="text1" w:themeTint="80"/>
          <w:right w:val="single" w:sz="4" w:space="0" w:color="7F7F7F" w:themeColor="text1" w:themeTint="80"/>
        </w:tcBorders>
      </w:tcPr>
    </w:tblStylePr>
    <w:tblStylePr w:type="band1Horz">
      <w:rPr>
        <w:rFonts w:cs="Calibri"/>
      </w:rPr>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1C2E07"/>
    <w:pPr>
      <w:spacing w:after="0" w:line="240" w:lineRule="auto"/>
    </w:pPr>
    <w:rPr>
      <w:rFonts w:eastAsia="Times New Roman" w:cstheme="minorHAnsi"/>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section">
    <w:name w:val="section"/>
    <w:link w:val="sectionChar"/>
    <w:autoRedefine/>
    <w:rsid w:val="00B26012"/>
    <w:pPr>
      <w:tabs>
        <w:tab w:val="left" w:pos="567"/>
      </w:tabs>
      <w:spacing w:after="0" w:line="240" w:lineRule="auto"/>
      <w:outlineLvl w:val="0"/>
    </w:pPr>
    <w:rPr>
      <w:rFonts w:ascii="Times New Roman" w:eastAsia="Times New Roman" w:hAnsi="Times New Roman" w:cs="Times New Roman"/>
      <w:noProof/>
      <w:color w:val="000000"/>
      <w:lang w:val="ru-RU" w:eastAsia="ru-RU"/>
    </w:rPr>
  </w:style>
  <w:style w:type="character" w:customStyle="1" w:styleId="sectionChar">
    <w:name w:val="section Char"/>
    <w:link w:val="section"/>
    <w:locked/>
    <w:rsid w:val="00B26012"/>
    <w:rPr>
      <w:rFonts w:ascii="Times New Roman" w:eastAsia="Times New Roman" w:hAnsi="Times New Roman" w:cs="Times New Roman"/>
      <w:noProof/>
      <w:color w:val="000000"/>
      <w:lang w:val="ru-RU" w:eastAsia="ru-RU"/>
    </w:rPr>
  </w:style>
  <w:style w:type="character" w:styleId="PlaceholderText">
    <w:name w:val="Placeholder Text"/>
    <w:basedOn w:val="DefaultParagraphFont"/>
    <w:uiPriority w:val="99"/>
    <w:semiHidden/>
    <w:rsid w:val="008040BB"/>
    <w:rPr>
      <w:color w:val="808080"/>
    </w:rPr>
  </w:style>
  <w:style w:type="character" w:customStyle="1" w:styleId="nowrap">
    <w:name w:val="nowrap"/>
    <w:basedOn w:val="DefaultParagraphFont"/>
    <w:rsid w:val="00BB6670"/>
  </w:style>
  <w:style w:type="paragraph" w:styleId="BalloonText">
    <w:name w:val="Balloon Text"/>
    <w:basedOn w:val="Normal"/>
    <w:link w:val="BalloonTextChar"/>
    <w:uiPriority w:val="99"/>
    <w:semiHidden/>
    <w:unhideWhenUsed/>
    <w:rsid w:val="00B260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0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D74F4-2501-4956-AD75-17D48DDB7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6</Pages>
  <Words>5916</Words>
  <Characters>33722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Isdiana Zulidha</dc:creator>
  <cp:keywords/>
  <dc:description/>
  <cp:lastModifiedBy>Windows User</cp:lastModifiedBy>
  <cp:revision>29</cp:revision>
  <dcterms:created xsi:type="dcterms:W3CDTF">2020-05-13T01:59:00Z</dcterms:created>
  <dcterms:modified xsi:type="dcterms:W3CDTF">2020-09-09T08:18:00Z</dcterms:modified>
</cp:coreProperties>
</file>