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FA" w:rsidRDefault="00C22EFB" w:rsidP="00C22EFB">
      <w:pPr>
        <w:spacing w:after="568"/>
        <w:jc w:val="both"/>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Competency </w:t>
      </w:r>
      <w:r w:rsidRPr="00C22EFB">
        <w:rPr>
          <w:rFonts w:ascii="Times New Roman" w:eastAsia="Times New Roman" w:hAnsi="Times New Roman" w:cs="Times New Roman"/>
          <w:b/>
          <w:sz w:val="34"/>
          <w:szCs w:val="34"/>
        </w:rPr>
        <w:t>Framework</w:t>
      </w:r>
      <w:r w:rsidR="0049287F" w:rsidRPr="0049287F">
        <w:rPr>
          <w:rFonts w:ascii="Times New Roman" w:eastAsia="Times New Roman" w:hAnsi="Times New Roman" w:cs="Times New Roman"/>
          <w:b/>
          <w:sz w:val="34"/>
          <w:szCs w:val="34"/>
        </w:rPr>
        <w:t xml:space="preserve">: </w:t>
      </w:r>
      <w:r w:rsidR="00965970" w:rsidRPr="00965970">
        <w:rPr>
          <w:rFonts w:ascii="Times New Roman" w:eastAsia="Times New Roman" w:hAnsi="Times New Roman" w:cs="Times New Roman"/>
          <w:b/>
          <w:sz w:val="34"/>
          <w:szCs w:val="34"/>
        </w:rPr>
        <w:t>Measur</w:t>
      </w:r>
      <w:r w:rsidR="00965970">
        <w:rPr>
          <w:rFonts w:ascii="Times New Roman" w:eastAsia="Times New Roman" w:hAnsi="Times New Roman" w:cs="Times New Roman"/>
          <w:b/>
          <w:sz w:val="34"/>
          <w:szCs w:val="34"/>
        </w:rPr>
        <w:t xml:space="preserve">ement </w:t>
      </w:r>
      <w:r>
        <w:rPr>
          <w:rFonts w:ascii="Times New Roman" w:eastAsia="Times New Roman" w:hAnsi="Times New Roman" w:cs="Times New Roman"/>
          <w:b/>
          <w:sz w:val="34"/>
          <w:szCs w:val="34"/>
        </w:rPr>
        <w:t>the</w:t>
      </w:r>
      <w:r w:rsidR="00965970">
        <w:rPr>
          <w:rFonts w:ascii="Times New Roman" w:eastAsia="Times New Roman" w:hAnsi="Times New Roman" w:cs="Times New Roman"/>
          <w:b/>
          <w:sz w:val="34"/>
          <w:szCs w:val="34"/>
        </w:rPr>
        <w:t xml:space="preserve"> competency achievement </w:t>
      </w:r>
      <w:r>
        <w:rPr>
          <w:rFonts w:ascii="Times New Roman" w:eastAsia="Times New Roman" w:hAnsi="Times New Roman" w:cs="Times New Roman"/>
          <w:b/>
          <w:sz w:val="34"/>
          <w:szCs w:val="34"/>
        </w:rPr>
        <w:t xml:space="preserve">of </w:t>
      </w:r>
      <w:r w:rsidR="00965970" w:rsidRPr="00965970">
        <w:rPr>
          <w:rFonts w:ascii="Times New Roman" w:eastAsia="Times New Roman" w:hAnsi="Times New Roman" w:cs="Times New Roman"/>
          <w:b/>
          <w:sz w:val="34"/>
          <w:szCs w:val="34"/>
        </w:rPr>
        <w:t>architectural engineering students in Indonesia needed by the construction industry</w:t>
      </w:r>
    </w:p>
    <w:p w:rsidR="006B7DFA" w:rsidRDefault="00CD6D19" w:rsidP="00CD6D19">
      <w:pPr>
        <w:spacing w:after="0"/>
        <w:ind w:left="1418"/>
        <w:rPr>
          <w:rFonts w:ascii="Times New Roman" w:eastAsia="Times New Roman" w:hAnsi="Times New Roman" w:cs="Times New Roman"/>
          <w:b/>
        </w:rPr>
      </w:pPr>
      <w:r>
        <w:rPr>
          <w:rFonts w:ascii="Times New Roman" w:eastAsia="Times New Roman" w:hAnsi="Times New Roman" w:cs="Times New Roman"/>
          <w:b/>
        </w:rPr>
        <w:t>R W Daryono</w:t>
      </w:r>
      <w:r w:rsidR="002E4D19">
        <w:rPr>
          <w:rFonts w:ascii="Times New Roman" w:eastAsia="Times New Roman" w:hAnsi="Times New Roman" w:cs="Times New Roman"/>
          <w:b/>
          <w:vertAlign w:val="superscript"/>
        </w:rPr>
        <w:t>1</w:t>
      </w:r>
      <w:r>
        <w:rPr>
          <w:rFonts w:ascii="Times New Roman" w:eastAsia="Times New Roman" w:hAnsi="Times New Roman" w:cs="Times New Roman"/>
          <w:b/>
        </w:rPr>
        <w:t>, V L Hariyanto</w:t>
      </w:r>
      <w:r>
        <w:rPr>
          <w:rFonts w:ascii="Times New Roman" w:eastAsia="Times New Roman" w:hAnsi="Times New Roman" w:cs="Times New Roman"/>
          <w:b/>
          <w:vertAlign w:val="superscript"/>
        </w:rPr>
        <w:t>2</w:t>
      </w:r>
      <w:r>
        <w:rPr>
          <w:rFonts w:ascii="Times New Roman" w:eastAsia="Times New Roman" w:hAnsi="Times New Roman" w:cs="Times New Roman"/>
          <w:b/>
        </w:rPr>
        <w:t>, H Usman</w:t>
      </w:r>
      <w:r>
        <w:rPr>
          <w:rFonts w:ascii="Times New Roman" w:eastAsia="Times New Roman" w:hAnsi="Times New Roman" w:cs="Times New Roman"/>
          <w:b/>
          <w:vertAlign w:val="superscript"/>
        </w:rPr>
        <w:t>2</w:t>
      </w:r>
      <w:r>
        <w:rPr>
          <w:rFonts w:ascii="Times New Roman" w:eastAsia="Times New Roman" w:hAnsi="Times New Roman" w:cs="Times New Roman"/>
          <w:b/>
        </w:rPr>
        <w:t>, S H Prayitno</w:t>
      </w:r>
      <w:r>
        <w:rPr>
          <w:rFonts w:ascii="Times New Roman" w:eastAsia="Times New Roman" w:hAnsi="Times New Roman" w:cs="Times New Roman"/>
          <w:b/>
          <w:vertAlign w:val="superscript"/>
        </w:rPr>
        <w:t>2</w:t>
      </w:r>
      <w:r>
        <w:rPr>
          <w:rFonts w:ascii="Times New Roman" w:eastAsia="Times New Roman" w:hAnsi="Times New Roman" w:cs="Times New Roman"/>
          <w:b/>
        </w:rPr>
        <w:t xml:space="preserve"> and</w:t>
      </w:r>
      <w:r>
        <w:rPr>
          <w:rFonts w:ascii="Times New Roman" w:eastAsia="Times New Roman" w:hAnsi="Times New Roman" w:cs="Times New Roman"/>
          <w:b/>
          <w:vertAlign w:val="superscript"/>
        </w:rPr>
        <w:t xml:space="preserve"> </w:t>
      </w:r>
      <w:r>
        <w:rPr>
          <w:rFonts w:ascii="Times New Roman" w:eastAsia="Times New Roman" w:hAnsi="Times New Roman" w:cs="Times New Roman"/>
          <w:b/>
        </w:rPr>
        <w:t>N Hidayat</w:t>
      </w:r>
      <w:r>
        <w:rPr>
          <w:rFonts w:ascii="Times New Roman" w:eastAsia="Times New Roman" w:hAnsi="Times New Roman" w:cs="Times New Roman"/>
          <w:b/>
          <w:vertAlign w:val="superscript"/>
        </w:rPr>
        <w:t>2</w:t>
      </w:r>
    </w:p>
    <w:p w:rsidR="006B7DFA" w:rsidRDefault="006B7DFA">
      <w:pPr>
        <w:spacing w:after="0"/>
        <w:ind w:left="1418"/>
        <w:rPr>
          <w:rFonts w:ascii="Times New Roman" w:eastAsia="Times New Roman" w:hAnsi="Times New Roman" w:cs="Times New Roman"/>
          <w:vertAlign w:val="superscript"/>
        </w:rPr>
      </w:pPr>
    </w:p>
    <w:p w:rsidR="00CD6D19" w:rsidRPr="00CD6D19" w:rsidRDefault="002E4D19" w:rsidP="00CD6D19">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CD6D19">
        <w:rPr>
          <w:rFonts w:ascii="Times New Roman" w:eastAsia="Times New Roman" w:hAnsi="Times New Roman" w:cs="Times New Roman"/>
        </w:rPr>
        <w:t>G</w:t>
      </w:r>
      <w:r w:rsidR="00CD6D19" w:rsidRPr="00CD6D19">
        <w:rPr>
          <w:rFonts w:ascii="Times New Roman" w:eastAsia="Times New Roman" w:hAnsi="Times New Roman" w:cs="Times New Roman"/>
        </w:rPr>
        <w:t>raduate Program of Technological and Vocational Education</w:t>
      </w:r>
      <w:r w:rsidR="00CD6D19">
        <w:rPr>
          <w:rFonts w:ascii="Times New Roman" w:eastAsia="Times New Roman" w:hAnsi="Times New Roman" w:cs="Times New Roman"/>
        </w:rPr>
        <w:t xml:space="preserve">, </w:t>
      </w:r>
      <w:r w:rsidR="00CD6D19" w:rsidRPr="00CD6D19">
        <w:rPr>
          <w:rFonts w:ascii="Times New Roman" w:eastAsia="Times New Roman" w:hAnsi="Times New Roman" w:cs="Times New Roman"/>
        </w:rPr>
        <w:t>Universitas Negeri</w:t>
      </w:r>
    </w:p>
    <w:p w:rsidR="006B7DFA" w:rsidRDefault="00CD6D19" w:rsidP="00CD6D19">
      <w:pPr>
        <w:spacing w:after="0"/>
        <w:ind w:left="1418"/>
        <w:rPr>
          <w:rFonts w:ascii="Times New Roman" w:eastAsia="Times New Roman" w:hAnsi="Times New Roman" w:cs="Times New Roman"/>
        </w:rPr>
      </w:pPr>
      <w:r w:rsidRPr="00CD6D19">
        <w:rPr>
          <w:rFonts w:ascii="Times New Roman" w:eastAsia="Times New Roman" w:hAnsi="Times New Roman" w:cs="Times New Roman"/>
        </w:rPr>
        <w:t>Yogyakarta, Yogyakarta</w:t>
      </w:r>
      <w:r>
        <w:rPr>
          <w:rFonts w:ascii="Times New Roman" w:eastAsia="Times New Roman" w:hAnsi="Times New Roman" w:cs="Times New Roman"/>
        </w:rPr>
        <w:t>, Indonesia</w:t>
      </w:r>
    </w:p>
    <w:p w:rsidR="006B7DFA" w:rsidRDefault="002E4D19" w:rsidP="00CD6D19">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CD6D19" w:rsidRPr="00CD6D19">
        <w:rPr>
          <w:rFonts w:ascii="Times New Roman" w:eastAsia="Times New Roman" w:hAnsi="Times New Roman" w:cs="Times New Roman"/>
        </w:rPr>
        <w:t>Department of Civil and Planning Education, Faculty of Engineering, Universitas</w:t>
      </w:r>
      <w:r>
        <w:rPr>
          <w:rFonts w:ascii="Times New Roman" w:eastAsia="Times New Roman" w:hAnsi="Times New Roman" w:cs="Times New Roman"/>
        </w:rPr>
        <w:t xml:space="preserve"> </w:t>
      </w:r>
      <w:r w:rsidR="00CD6D19">
        <w:rPr>
          <w:rFonts w:ascii="Times New Roman" w:eastAsia="Times New Roman" w:hAnsi="Times New Roman" w:cs="Times New Roman"/>
        </w:rPr>
        <w:t xml:space="preserve">Negeri </w:t>
      </w:r>
      <w:r w:rsidR="00CD6D19" w:rsidRPr="00CD6D19">
        <w:rPr>
          <w:rFonts w:ascii="Times New Roman" w:eastAsia="Times New Roman" w:hAnsi="Times New Roman" w:cs="Times New Roman"/>
        </w:rPr>
        <w:t>Yogyakarta, Yogyakarta</w:t>
      </w:r>
      <w:r w:rsidR="00CD6D19">
        <w:rPr>
          <w:rFonts w:ascii="Times New Roman" w:eastAsia="Times New Roman" w:hAnsi="Times New Roman" w:cs="Times New Roman"/>
        </w:rPr>
        <w:t>, Indonesia</w:t>
      </w:r>
    </w:p>
    <w:p w:rsidR="006B7DFA" w:rsidRDefault="006B7DFA">
      <w:pPr>
        <w:spacing w:after="0"/>
        <w:ind w:left="1418"/>
        <w:rPr>
          <w:rFonts w:ascii="Times New Roman" w:eastAsia="Times New Roman" w:hAnsi="Times New Roman" w:cs="Times New Roman"/>
        </w:rPr>
      </w:pPr>
    </w:p>
    <w:p w:rsidR="006B7DFA" w:rsidRDefault="002E4D19">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377299" w:rsidRPr="00377299">
        <w:rPr>
          <w:rFonts w:ascii="Times New Roman" w:eastAsia="Times New Roman" w:hAnsi="Times New Roman" w:cs="Times New Roman"/>
        </w:rPr>
        <w:t>rihab0561pasca.2019@student.uny.ac.id</w:t>
      </w:r>
      <w:r w:rsidR="00377299">
        <w:rPr>
          <w:rFonts w:ascii="Times New Roman" w:eastAsia="Times New Roman" w:hAnsi="Times New Roman" w:cs="Times New Roman"/>
        </w:rPr>
        <w:t xml:space="preserve"> </w:t>
      </w:r>
    </w:p>
    <w:p w:rsidR="006B7DFA" w:rsidRDefault="002E4D19">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965970" w:rsidRPr="00965970">
        <w:rPr>
          <w:rFonts w:ascii="Times New Roman" w:eastAsia="Times New Roman" w:hAnsi="Times New Roman" w:cs="Times New Roman"/>
          <w:sz w:val="20"/>
          <w:szCs w:val="20"/>
        </w:rPr>
        <w:t>The purpose of this study is to test the validity and reliability of the instrument for measuring student achievements in architectural engineering education in Indonesia. The cluster random sampling technique was used to determine the number of students consisting of 103 vocational education students.. This research data is in the form of quantitative, then analyzed to obtain descriptive statistical values, multicollinearity, normality, data reliability, then tested with the EFA and CFA using Amos 22. EFA test is intended to reveal factors that can be formed from instruments that have been established for measurement of achievements of vocational student competencies. The CFA approach reaffirms and validates instruments for measuring the level of competency achievement. Overall the Cronbach Alpha value in the very high category is 0.956. EFA shows ten factors with 10 items so that it consists of 30 competency items. Each item shows a satisfying loading factor with a value of 0.474 to 0.987. CFA analysis obtained values (χ2/df) = 1.36, Probability level = 0.00, IFI = 0.93, TLI = 0.91, CFI = 0.93, RMSEA = 0.06. The developed instrument is suitable to be used to measure the level of mastery of vocational students` competencies in the department of architectural engineering in Indonesia.</w:t>
      </w:r>
    </w:p>
    <w:p w:rsidR="006B7DFA" w:rsidRDefault="002E4D1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9C51B8" w:rsidRPr="009C51B8" w:rsidRDefault="009C51B8" w:rsidP="003605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C51B8">
        <w:rPr>
          <w:rFonts w:ascii="Times New Roman" w:eastAsia="Times New Roman" w:hAnsi="Times New Roman" w:cs="Times New Roman"/>
          <w:color w:val="000000"/>
        </w:rPr>
        <w:t>The</w:t>
      </w:r>
      <w:r w:rsidR="00DC0AF4">
        <w:rPr>
          <w:rFonts w:ascii="Times New Roman" w:eastAsia="Times New Roman" w:hAnsi="Times New Roman" w:cs="Times New Roman"/>
          <w:color w:val="000000"/>
        </w:rPr>
        <w:t xml:space="preserve"> quality of human resources</w:t>
      </w:r>
      <w:r w:rsidRPr="009C51B8">
        <w:rPr>
          <w:rFonts w:ascii="Times New Roman" w:eastAsia="Times New Roman" w:hAnsi="Times New Roman" w:cs="Times New Roman"/>
          <w:color w:val="000000"/>
        </w:rPr>
        <w:t xml:space="preserve"> is the key to the competitiveness of a nation to determine who can develop in global competition and maintain survival. Innovative, creative, technology literate, and having multiple intelligences are the hallmar</w:t>
      </w:r>
      <w:r w:rsidR="0036057F">
        <w:rPr>
          <w:rFonts w:ascii="Times New Roman" w:eastAsia="Times New Roman" w:hAnsi="Times New Roman" w:cs="Times New Roman"/>
          <w:color w:val="000000"/>
        </w:rPr>
        <w:t>ks of superior HR [1]</w:t>
      </w:r>
      <w:r w:rsidRPr="009C51B8">
        <w:rPr>
          <w:rFonts w:ascii="Times New Roman" w:eastAsia="Times New Roman" w:hAnsi="Times New Roman" w:cs="Times New Roman"/>
          <w:color w:val="000000"/>
        </w:rPr>
        <w:t xml:space="preserve">. The issue of manpower is always related to human resources, therefore the quality of human resources needs to be improved and developed to obtain a competent workforce have high morale will maintain the industry and strengthen the country's economy </w:t>
      </w:r>
      <w:r w:rsidR="0036057F">
        <w:rPr>
          <w:rFonts w:ascii="Times New Roman" w:eastAsia="Times New Roman" w:hAnsi="Times New Roman" w:cs="Times New Roman"/>
          <w:color w:val="000000"/>
        </w:rPr>
        <w:t>[2]</w:t>
      </w:r>
      <w:r w:rsidR="0036057F" w:rsidRPr="009C51B8">
        <w:rPr>
          <w:rFonts w:ascii="Times New Roman" w:eastAsia="Times New Roman" w:hAnsi="Times New Roman" w:cs="Times New Roman"/>
          <w:color w:val="000000"/>
        </w:rPr>
        <w:t xml:space="preserve">. </w:t>
      </w:r>
      <w:r w:rsidRPr="009C51B8">
        <w:rPr>
          <w:rFonts w:ascii="Times New Roman" w:eastAsia="Times New Roman" w:hAnsi="Times New Roman" w:cs="Times New Roman"/>
          <w:color w:val="000000"/>
        </w:rPr>
        <w:t>The World Economic Forum states that one of Indonesia's shortcomings is the 65</w:t>
      </w:r>
      <w:r w:rsidRPr="0036057F">
        <w:rPr>
          <w:rFonts w:ascii="Times New Roman" w:eastAsia="Times New Roman" w:hAnsi="Times New Roman" w:cs="Times New Roman"/>
          <w:color w:val="000000"/>
          <w:vertAlign w:val="superscript"/>
        </w:rPr>
        <w:t>th</w:t>
      </w:r>
      <w:r w:rsidRPr="009C51B8">
        <w:rPr>
          <w:rFonts w:ascii="Times New Roman" w:eastAsia="Times New Roman" w:hAnsi="Times New Roman" w:cs="Times New Roman"/>
          <w:color w:val="000000"/>
        </w:rPr>
        <w:t xml:space="preserve"> skill pillar of 141 countries. The pillar includes an index of the current and future components of the workforce skills that is still low so as to make Indonesia's competitiveness decline </w:t>
      </w:r>
      <w:r w:rsidR="0036057F">
        <w:rPr>
          <w:rFonts w:ascii="Times New Roman" w:eastAsia="Times New Roman" w:hAnsi="Times New Roman" w:cs="Times New Roman"/>
          <w:color w:val="000000"/>
        </w:rPr>
        <w:t>[3]. Furthermore, INSEAD data 2019</w:t>
      </w:r>
      <w:r w:rsidR="00F200B7">
        <w:rPr>
          <w:rFonts w:ascii="Times New Roman" w:eastAsia="Times New Roman" w:hAnsi="Times New Roman" w:cs="Times New Roman"/>
          <w:color w:val="000000"/>
        </w:rPr>
        <w:t xml:space="preserve">, </w:t>
      </w:r>
      <w:r w:rsidRPr="009C51B8">
        <w:rPr>
          <w:rFonts w:ascii="Times New Roman" w:eastAsia="Times New Roman" w:hAnsi="Times New Roman" w:cs="Times New Roman"/>
          <w:color w:val="000000"/>
        </w:rPr>
        <w:t>Indonesia was ranked 67</w:t>
      </w:r>
      <w:r w:rsidRPr="0036057F">
        <w:rPr>
          <w:rFonts w:ascii="Times New Roman" w:eastAsia="Times New Roman" w:hAnsi="Times New Roman" w:cs="Times New Roman"/>
          <w:color w:val="000000"/>
          <w:vertAlign w:val="superscript"/>
        </w:rPr>
        <w:t>th</w:t>
      </w:r>
      <w:r w:rsidRPr="009C51B8">
        <w:rPr>
          <w:rFonts w:ascii="Times New Roman" w:eastAsia="Times New Roman" w:hAnsi="Times New Roman" w:cs="Times New Roman"/>
          <w:color w:val="000000"/>
        </w:rPr>
        <w:t xml:space="preserve"> in 125 world countries. This also shows that the provision of human resources to improve the competitiveness of educational skills is still weak. The assessment index is influenced by vocational and technical skills that are still weak, including midd</w:t>
      </w:r>
      <w:r w:rsidR="00DC0AF4">
        <w:rPr>
          <w:rFonts w:ascii="Times New Roman" w:eastAsia="Times New Roman" w:hAnsi="Times New Roman" w:cs="Times New Roman"/>
          <w:color w:val="000000"/>
        </w:rPr>
        <w:t xml:space="preserve">le-level skills, employability, and </w:t>
      </w:r>
      <w:r w:rsidRPr="009C51B8">
        <w:rPr>
          <w:rFonts w:ascii="Times New Roman" w:eastAsia="Times New Roman" w:hAnsi="Times New Roman" w:cs="Times New Roman"/>
          <w:color w:val="000000"/>
        </w:rPr>
        <w:t xml:space="preserve">relevance of the </w:t>
      </w:r>
      <w:r w:rsidR="00DC0AF4">
        <w:rPr>
          <w:rFonts w:ascii="Times New Roman" w:eastAsia="Times New Roman" w:hAnsi="Times New Roman" w:cs="Times New Roman"/>
          <w:color w:val="000000"/>
        </w:rPr>
        <w:t>edu</w:t>
      </w:r>
      <w:bookmarkStart w:id="1" w:name="_GoBack"/>
      <w:bookmarkEnd w:id="1"/>
      <w:r w:rsidR="00DC0AF4">
        <w:rPr>
          <w:rFonts w:ascii="Times New Roman" w:eastAsia="Times New Roman" w:hAnsi="Times New Roman" w:cs="Times New Roman"/>
          <w:color w:val="000000"/>
        </w:rPr>
        <w:t>cation system to the economy</w:t>
      </w:r>
      <w:r w:rsidRPr="009C51B8">
        <w:rPr>
          <w:rFonts w:ascii="Times New Roman" w:eastAsia="Times New Roman" w:hAnsi="Times New Roman" w:cs="Times New Roman"/>
          <w:color w:val="000000"/>
        </w:rPr>
        <w:t xml:space="preserve"> </w:t>
      </w:r>
      <w:r w:rsidR="0036057F">
        <w:rPr>
          <w:rFonts w:ascii="Times New Roman" w:eastAsia="Times New Roman" w:hAnsi="Times New Roman" w:cs="Times New Roman"/>
          <w:color w:val="000000"/>
        </w:rPr>
        <w:t>[4]</w:t>
      </w:r>
      <w:r w:rsidR="0036057F" w:rsidRPr="009C51B8">
        <w:rPr>
          <w:rFonts w:ascii="Times New Roman" w:eastAsia="Times New Roman" w:hAnsi="Times New Roman" w:cs="Times New Roman"/>
          <w:color w:val="000000"/>
        </w:rPr>
        <w:t>.</w:t>
      </w:r>
    </w:p>
    <w:p w:rsidR="009C51B8" w:rsidRDefault="009C51B8" w:rsidP="009C51B8">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9C51B8">
        <w:rPr>
          <w:rFonts w:ascii="Times New Roman" w:eastAsia="Times New Roman" w:hAnsi="Times New Roman" w:cs="Times New Roman"/>
          <w:color w:val="000000"/>
        </w:rPr>
        <w:lastRenderedPageBreak/>
        <w:t>Such conditions can be concluded that the Indonesian state does not yet have quality human resources</w:t>
      </w:r>
      <w:r w:rsidR="001667A6">
        <w:rPr>
          <w:rFonts w:ascii="Times New Roman" w:eastAsia="Times New Roman" w:hAnsi="Times New Roman" w:cs="Times New Roman"/>
          <w:color w:val="000000"/>
        </w:rPr>
        <w:t xml:space="preserve"> </w:t>
      </w:r>
      <w:r w:rsidR="000E23F2">
        <w:rPr>
          <w:rFonts w:ascii="Times New Roman" w:eastAsia="Times New Roman" w:hAnsi="Times New Roman" w:cs="Times New Roman"/>
          <w:color w:val="000000"/>
        </w:rPr>
        <w:t>[5]</w:t>
      </w:r>
      <w:r w:rsidR="000E23F2" w:rsidRPr="009C51B8">
        <w:rPr>
          <w:rFonts w:ascii="Times New Roman" w:eastAsia="Times New Roman" w:hAnsi="Times New Roman" w:cs="Times New Roman"/>
          <w:color w:val="000000"/>
        </w:rPr>
        <w:t>.</w:t>
      </w:r>
      <w:r w:rsidRPr="009C51B8">
        <w:rPr>
          <w:rFonts w:ascii="Times New Roman" w:eastAsia="Times New Roman" w:hAnsi="Times New Roman" w:cs="Times New Roman"/>
          <w:color w:val="000000"/>
        </w:rPr>
        <w:t xml:space="preserve">The role of the construction sector contributes to national development in the form of buildings and infrastructure and facilities to support the growth and development of state infrastructure in realizing a just and prosperous society </w:t>
      </w:r>
      <w:r w:rsidR="000E23F2">
        <w:rPr>
          <w:rFonts w:ascii="Times New Roman" w:eastAsia="Times New Roman" w:hAnsi="Times New Roman" w:cs="Times New Roman"/>
          <w:color w:val="000000"/>
        </w:rPr>
        <w:t>[6]</w:t>
      </w:r>
      <w:r w:rsidR="000E23F2" w:rsidRPr="009C51B8">
        <w:rPr>
          <w:rFonts w:ascii="Times New Roman" w:eastAsia="Times New Roman" w:hAnsi="Times New Roman" w:cs="Times New Roman"/>
          <w:color w:val="000000"/>
        </w:rPr>
        <w:t>.</w:t>
      </w:r>
      <w:r w:rsidR="000E23F2">
        <w:rPr>
          <w:rFonts w:ascii="Times New Roman" w:eastAsia="Times New Roman" w:hAnsi="Times New Roman" w:cs="Times New Roman"/>
          <w:color w:val="000000"/>
        </w:rPr>
        <w:t xml:space="preserve"> </w:t>
      </w:r>
      <w:r w:rsidRPr="009C51B8">
        <w:rPr>
          <w:rFonts w:ascii="Times New Roman" w:eastAsia="Times New Roman" w:hAnsi="Times New Roman" w:cs="Times New Roman"/>
          <w:color w:val="000000"/>
        </w:rPr>
        <w:t xml:space="preserve">The increasing number of the construction sector makes Indonesia the construction market in the ASEAN country </w:t>
      </w:r>
      <w:r w:rsidR="000E23F2">
        <w:rPr>
          <w:rFonts w:ascii="Times New Roman" w:eastAsia="Times New Roman" w:hAnsi="Times New Roman" w:cs="Times New Roman"/>
          <w:color w:val="000000"/>
        </w:rPr>
        <w:t>[7]</w:t>
      </w:r>
      <w:r w:rsidR="000E23F2" w:rsidRPr="009C51B8">
        <w:rPr>
          <w:rFonts w:ascii="Times New Roman" w:eastAsia="Times New Roman" w:hAnsi="Times New Roman" w:cs="Times New Roman"/>
          <w:color w:val="000000"/>
        </w:rPr>
        <w:t>.</w:t>
      </w:r>
      <w:r w:rsidR="000E23F2">
        <w:rPr>
          <w:rFonts w:ascii="Times New Roman" w:eastAsia="Times New Roman" w:hAnsi="Times New Roman" w:cs="Times New Roman"/>
          <w:color w:val="000000"/>
        </w:rPr>
        <w:t xml:space="preserve"> </w:t>
      </w:r>
      <w:r w:rsidRPr="009C51B8">
        <w:rPr>
          <w:rFonts w:ascii="Times New Roman" w:eastAsia="Times New Roman" w:hAnsi="Times New Roman" w:cs="Times New Roman"/>
          <w:color w:val="000000"/>
        </w:rPr>
        <w:t xml:space="preserve">Indonesia has the largest construction market compared to neighboring countries. The need for a professional workforce increase will be affected by the rise in the construction market until 2025 </w:t>
      </w:r>
      <w:r w:rsidR="000E23F2">
        <w:rPr>
          <w:rFonts w:ascii="Times New Roman" w:eastAsia="Times New Roman" w:hAnsi="Times New Roman" w:cs="Times New Roman"/>
          <w:color w:val="000000"/>
        </w:rPr>
        <w:t>[8]</w:t>
      </w:r>
      <w:r w:rsidR="000E23F2" w:rsidRPr="009C51B8">
        <w:rPr>
          <w:rFonts w:ascii="Times New Roman" w:eastAsia="Times New Roman" w:hAnsi="Times New Roman" w:cs="Times New Roman"/>
          <w:color w:val="000000"/>
        </w:rPr>
        <w:t>.</w:t>
      </w:r>
    </w:p>
    <w:p w:rsidR="009C51B8" w:rsidRDefault="009C51B8" w:rsidP="008335CA">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9C51B8">
        <w:rPr>
          <w:rFonts w:ascii="Times New Roman" w:eastAsia="Times New Roman" w:hAnsi="Times New Roman" w:cs="Times New Roman"/>
          <w:color w:val="000000"/>
        </w:rPr>
        <w:t>The world of work continues to change creating new challen</w:t>
      </w:r>
      <w:r w:rsidR="0070558F">
        <w:rPr>
          <w:rFonts w:ascii="Times New Roman" w:eastAsia="Times New Roman" w:hAnsi="Times New Roman" w:cs="Times New Roman"/>
          <w:color w:val="000000"/>
        </w:rPr>
        <w:t xml:space="preserve">ges for employers and employees. </w:t>
      </w:r>
      <w:r w:rsidRPr="009C51B8">
        <w:rPr>
          <w:rFonts w:ascii="Times New Roman" w:eastAsia="Times New Roman" w:hAnsi="Times New Roman" w:cs="Times New Roman"/>
          <w:color w:val="000000"/>
        </w:rPr>
        <w:t xml:space="preserve">In preparing vocational student graduates in accordance with industry needs and the development of technology is one of the objectives to achieve vocational education. So students must be equipped with competencies according to the needs of the industrial world </w:t>
      </w:r>
      <w:r w:rsidR="0070558F">
        <w:rPr>
          <w:rFonts w:ascii="Times New Roman" w:eastAsia="Times New Roman" w:hAnsi="Times New Roman" w:cs="Times New Roman"/>
          <w:color w:val="000000"/>
        </w:rPr>
        <w:t>[9, 10]</w:t>
      </w:r>
      <w:r w:rsidR="0070558F" w:rsidRPr="009C51B8">
        <w:rPr>
          <w:rFonts w:ascii="Times New Roman" w:eastAsia="Times New Roman" w:hAnsi="Times New Roman" w:cs="Times New Roman"/>
          <w:color w:val="000000"/>
        </w:rPr>
        <w:t>.</w:t>
      </w:r>
      <w:r w:rsidRPr="009C51B8">
        <w:rPr>
          <w:rFonts w:ascii="Times New Roman" w:eastAsia="Times New Roman" w:hAnsi="Times New Roman" w:cs="Times New Roman"/>
          <w:color w:val="000000"/>
        </w:rPr>
        <w:t xml:space="preserve">Educational development based on community needs will produce competent graduates </w:t>
      </w:r>
      <w:r w:rsidR="0070558F">
        <w:rPr>
          <w:rFonts w:ascii="Times New Roman" w:eastAsia="Times New Roman" w:hAnsi="Times New Roman" w:cs="Times New Roman"/>
          <w:color w:val="000000"/>
        </w:rPr>
        <w:t>[11]</w:t>
      </w:r>
      <w:r w:rsidR="0070558F" w:rsidRPr="009C51B8">
        <w:rPr>
          <w:rFonts w:ascii="Times New Roman" w:eastAsia="Times New Roman" w:hAnsi="Times New Roman" w:cs="Times New Roman"/>
          <w:color w:val="000000"/>
        </w:rPr>
        <w:t>.</w:t>
      </w:r>
      <w:r w:rsidR="008335CA">
        <w:rPr>
          <w:rFonts w:ascii="Times New Roman" w:eastAsia="Times New Roman" w:hAnsi="Times New Roman" w:cs="Times New Roman"/>
          <w:color w:val="000000"/>
        </w:rPr>
        <w:t xml:space="preserve"> </w:t>
      </w:r>
      <w:r w:rsidRPr="009C51B8">
        <w:rPr>
          <w:rFonts w:ascii="Times New Roman" w:eastAsia="Times New Roman" w:hAnsi="Times New Roman" w:cs="Times New Roman"/>
          <w:color w:val="000000"/>
        </w:rPr>
        <w:t>Vocational Schools are organized to prepare students for work after completing vocational education</w:t>
      </w:r>
      <w:r w:rsidR="008509D7">
        <w:rPr>
          <w:rFonts w:ascii="Times New Roman" w:eastAsia="Times New Roman" w:hAnsi="Times New Roman" w:cs="Times New Roman"/>
          <w:color w:val="000000"/>
        </w:rPr>
        <w:t xml:space="preserve"> </w:t>
      </w:r>
      <w:r w:rsidR="0070558F">
        <w:rPr>
          <w:rFonts w:ascii="Times New Roman" w:eastAsia="Times New Roman" w:hAnsi="Times New Roman" w:cs="Times New Roman"/>
          <w:color w:val="000000"/>
        </w:rPr>
        <w:t>[12]</w:t>
      </w:r>
      <w:r w:rsidR="0070558F" w:rsidRPr="009C51B8">
        <w:rPr>
          <w:rFonts w:ascii="Times New Roman" w:eastAsia="Times New Roman" w:hAnsi="Times New Roman" w:cs="Times New Roman"/>
          <w:color w:val="000000"/>
        </w:rPr>
        <w:t>.</w:t>
      </w:r>
      <w:r w:rsidR="00CB73F9">
        <w:rPr>
          <w:rFonts w:ascii="Times New Roman" w:eastAsia="Times New Roman" w:hAnsi="Times New Roman" w:cs="Times New Roman"/>
          <w:color w:val="000000"/>
        </w:rPr>
        <w:t>The o</w:t>
      </w:r>
      <w:r w:rsidRPr="009C51B8">
        <w:rPr>
          <w:rFonts w:ascii="Times New Roman" w:eastAsia="Times New Roman" w:hAnsi="Times New Roman" w:cs="Times New Roman"/>
          <w:color w:val="000000"/>
        </w:rPr>
        <w:t>ne of the basic goals for vocational education can be successful, namely by increasing students' skills</w:t>
      </w:r>
      <w:r w:rsidR="00CB73F9">
        <w:rPr>
          <w:rFonts w:ascii="Times New Roman" w:eastAsia="Times New Roman" w:hAnsi="Times New Roman" w:cs="Times New Roman"/>
          <w:color w:val="000000"/>
        </w:rPr>
        <w:t xml:space="preserve"> </w:t>
      </w:r>
      <w:r w:rsidR="0070558F">
        <w:rPr>
          <w:rFonts w:ascii="Times New Roman" w:eastAsia="Times New Roman" w:hAnsi="Times New Roman" w:cs="Times New Roman"/>
          <w:color w:val="000000"/>
        </w:rPr>
        <w:t>[13]</w:t>
      </w:r>
      <w:r w:rsidR="0070558F" w:rsidRPr="009C51B8">
        <w:rPr>
          <w:rFonts w:ascii="Times New Roman" w:eastAsia="Times New Roman" w:hAnsi="Times New Roman" w:cs="Times New Roman"/>
          <w:color w:val="000000"/>
        </w:rPr>
        <w:t>.</w:t>
      </w:r>
      <w:r w:rsidRPr="009C51B8">
        <w:rPr>
          <w:rFonts w:ascii="Times New Roman" w:eastAsia="Times New Roman" w:hAnsi="Times New Roman" w:cs="Times New Roman"/>
          <w:color w:val="000000"/>
        </w:rPr>
        <w:t xml:space="preserve">If after graduating students can work immediately, then the opportunity for unemployment in Indonesia will be reduced. According to the Central Statistics Agency report, the Open Unemployment Rate in VE has scored 10.42% ranked first among other education in the last 5 years </w:t>
      </w:r>
      <w:r w:rsidR="0070558F">
        <w:rPr>
          <w:rFonts w:ascii="Times New Roman" w:eastAsia="Times New Roman" w:hAnsi="Times New Roman" w:cs="Times New Roman"/>
          <w:color w:val="000000"/>
        </w:rPr>
        <w:t>[14]</w:t>
      </w:r>
      <w:r w:rsidR="0070558F" w:rsidRPr="009C51B8">
        <w:rPr>
          <w:rFonts w:ascii="Times New Roman" w:eastAsia="Times New Roman" w:hAnsi="Times New Roman" w:cs="Times New Roman"/>
          <w:color w:val="000000"/>
        </w:rPr>
        <w:t>.</w:t>
      </w:r>
    </w:p>
    <w:p w:rsidR="009210F3" w:rsidRDefault="009C51B8" w:rsidP="00DB5E14">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9C51B8">
        <w:rPr>
          <w:rFonts w:ascii="Times New Roman" w:eastAsia="Times New Roman" w:hAnsi="Times New Roman" w:cs="Times New Roman"/>
          <w:color w:val="000000"/>
        </w:rPr>
        <w:t xml:space="preserve">In the research of </w:t>
      </w:r>
      <w:r w:rsidR="0070558F">
        <w:rPr>
          <w:rFonts w:ascii="Times New Roman" w:eastAsia="Times New Roman" w:hAnsi="Times New Roman" w:cs="Times New Roman"/>
          <w:color w:val="000000"/>
        </w:rPr>
        <w:t xml:space="preserve">[15] </w:t>
      </w:r>
      <w:r w:rsidRPr="009C51B8">
        <w:rPr>
          <w:rFonts w:ascii="Times New Roman" w:eastAsia="Times New Roman" w:hAnsi="Times New Roman" w:cs="Times New Roman"/>
          <w:color w:val="000000"/>
        </w:rPr>
        <w:t xml:space="preserve">states that there are several four premise factors that contribute to increasing the employment rate of </w:t>
      </w:r>
      <w:r>
        <w:rPr>
          <w:rFonts w:ascii="Times New Roman" w:eastAsia="Times New Roman" w:hAnsi="Times New Roman" w:cs="Times New Roman"/>
          <w:color w:val="000000"/>
        </w:rPr>
        <w:t>vocational education</w:t>
      </w:r>
      <w:r w:rsidRPr="009C51B8">
        <w:rPr>
          <w:rFonts w:ascii="Times New Roman" w:eastAsia="Times New Roman" w:hAnsi="Times New Roman" w:cs="Times New Roman"/>
          <w:color w:val="000000"/>
        </w:rPr>
        <w:t xml:space="preserve"> graduates, including professional teachers, industry-equivalent curriculum, leadership spirit, and link and match. The first factor as a cause of absorption of Building Engineering graduates is the low teaching and learning process. The teaching and learning process of vocational schools that have not maximized the learning of soft skills and hard skills together, the school emphasizes the learning of hard skills only for competencies that are required to work. The learning process as explained by </w:t>
      </w:r>
      <w:r w:rsidR="004223F9">
        <w:rPr>
          <w:rFonts w:ascii="Times New Roman" w:eastAsia="Times New Roman" w:hAnsi="Times New Roman" w:cs="Times New Roman"/>
          <w:color w:val="000000"/>
        </w:rPr>
        <w:t xml:space="preserve">[16] </w:t>
      </w:r>
      <w:r w:rsidRPr="009C51B8">
        <w:rPr>
          <w:rFonts w:ascii="Times New Roman" w:eastAsia="Times New Roman" w:hAnsi="Times New Roman" w:cs="Times New Roman"/>
          <w:color w:val="000000"/>
        </w:rPr>
        <w:t>“</w:t>
      </w:r>
      <w:r w:rsidRPr="00BB17BB">
        <w:rPr>
          <w:rFonts w:ascii="Times New Roman" w:eastAsia="Times New Roman" w:hAnsi="Times New Roman" w:cs="Times New Roman"/>
          <w:i/>
          <w:color w:val="000000"/>
        </w:rPr>
        <w:t>emphasizes authentic-learning and assessment that promote higher-order thinking skills: creative, innovative, and problem-solving in real life</w:t>
      </w:r>
      <w:r w:rsidRPr="009C51B8">
        <w:rPr>
          <w:rFonts w:ascii="Times New Roman" w:eastAsia="Times New Roman" w:hAnsi="Times New Roman" w:cs="Times New Roman"/>
          <w:color w:val="000000"/>
        </w:rPr>
        <w:t xml:space="preserve">”, to support the competencies of graduates who are ready to work in the construction industry. A nation can develop the development of a new world, it is necessary to prepare quality HR, which have multiple and broad skills, as well as multilingual literacy to be able to develop sustainably </w:t>
      </w:r>
      <w:r w:rsidR="00AB7877">
        <w:rPr>
          <w:rFonts w:ascii="Times New Roman" w:eastAsia="Times New Roman" w:hAnsi="Times New Roman" w:cs="Times New Roman"/>
          <w:color w:val="000000"/>
        </w:rPr>
        <w:t>[17]</w:t>
      </w:r>
      <w:r w:rsidR="00AB7877" w:rsidRPr="009C51B8">
        <w:rPr>
          <w:rFonts w:ascii="Times New Roman" w:eastAsia="Times New Roman" w:hAnsi="Times New Roman" w:cs="Times New Roman"/>
          <w:color w:val="000000"/>
        </w:rPr>
        <w:t>.</w:t>
      </w:r>
      <w:r w:rsidR="00DB5E14">
        <w:rPr>
          <w:rFonts w:ascii="Times New Roman" w:eastAsia="Times New Roman" w:hAnsi="Times New Roman" w:cs="Times New Roman"/>
          <w:color w:val="000000"/>
        </w:rPr>
        <w:t xml:space="preserve"> </w:t>
      </w:r>
      <w:r w:rsidRPr="009C51B8">
        <w:rPr>
          <w:rFonts w:ascii="Times New Roman" w:eastAsia="Times New Roman" w:hAnsi="Times New Roman" w:cs="Times New Roman"/>
          <w:color w:val="000000"/>
        </w:rPr>
        <w:t xml:space="preserve">The second factor is the graduate competency standards that are applied in the learning process. There are some competencies that are not applied due to time constraints in the implementation of the learning process. Research </w:t>
      </w:r>
      <w:r w:rsidR="00AB7877">
        <w:rPr>
          <w:rFonts w:ascii="Times New Roman" w:eastAsia="Times New Roman" w:hAnsi="Times New Roman" w:cs="Times New Roman"/>
          <w:color w:val="000000"/>
        </w:rPr>
        <w:t xml:space="preserve">[18] </w:t>
      </w:r>
      <w:r w:rsidRPr="009C51B8">
        <w:rPr>
          <w:rFonts w:ascii="Times New Roman" w:eastAsia="Times New Roman" w:hAnsi="Times New Roman" w:cs="Times New Roman"/>
          <w:color w:val="000000"/>
        </w:rPr>
        <w:t>states that the lack of equipment in vocational high schools and there is no large area for laboratories, the teaching strategy to improve students' preparation to work in the construction industry, competent and not quali</w:t>
      </w:r>
      <w:r w:rsidR="009210F3">
        <w:rPr>
          <w:rFonts w:ascii="Times New Roman" w:eastAsia="Times New Roman" w:hAnsi="Times New Roman" w:cs="Times New Roman"/>
          <w:color w:val="000000"/>
        </w:rPr>
        <w:t xml:space="preserve">fied workers run with maximum. </w:t>
      </w:r>
      <w:r w:rsidR="004E251F" w:rsidRPr="004E251F">
        <w:rPr>
          <w:rFonts w:ascii="Times New Roman" w:eastAsia="Times New Roman" w:hAnsi="Times New Roman" w:cs="Times New Roman"/>
          <w:color w:val="000000"/>
        </w:rPr>
        <w:t xml:space="preserve">In addition, the low interest </w:t>
      </w:r>
      <w:r w:rsidR="001072A7">
        <w:rPr>
          <w:rFonts w:ascii="Times New Roman" w:eastAsia="Times New Roman" w:hAnsi="Times New Roman" w:cs="Times New Roman"/>
          <w:color w:val="000000"/>
        </w:rPr>
        <w:t xml:space="preserve">of students in entrepreneurship </w:t>
      </w:r>
      <w:r w:rsidR="00AB7877">
        <w:rPr>
          <w:rFonts w:ascii="Times New Roman" w:eastAsia="Times New Roman" w:hAnsi="Times New Roman" w:cs="Times New Roman"/>
          <w:color w:val="000000"/>
        </w:rPr>
        <w:t>[19]</w:t>
      </w:r>
      <w:r w:rsidR="00AB7877" w:rsidRPr="009C51B8">
        <w:rPr>
          <w:rFonts w:ascii="Times New Roman" w:eastAsia="Times New Roman" w:hAnsi="Times New Roman" w:cs="Times New Roman"/>
          <w:color w:val="000000"/>
        </w:rPr>
        <w:t>.</w:t>
      </w:r>
    </w:p>
    <w:p w:rsidR="006B7DFA" w:rsidRDefault="009C51B8" w:rsidP="002A1226">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9C51B8">
        <w:rPr>
          <w:rFonts w:ascii="Times New Roman" w:eastAsia="Times New Roman" w:hAnsi="Times New Roman" w:cs="Times New Roman"/>
          <w:color w:val="000000"/>
        </w:rPr>
        <w:t xml:space="preserve">So, it is important to conduct research to determine the framework of </w:t>
      </w:r>
      <w:r w:rsidR="00DB5E14">
        <w:rPr>
          <w:rFonts w:ascii="Times New Roman" w:eastAsia="Times New Roman" w:hAnsi="Times New Roman" w:cs="Times New Roman"/>
          <w:color w:val="000000"/>
        </w:rPr>
        <w:t>VE</w:t>
      </w:r>
      <w:r w:rsidRPr="009C51B8">
        <w:rPr>
          <w:rFonts w:ascii="Times New Roman" w:eastAsia="Times New Roman" w:hAnsi="Times New Roman" w:cs="Times New Roman"/>
          <w:color w:val="000000"/>
        </w:rPr>
        <w:t xml:space="preserve"> competencies in developing techniques in accordance with industrial competencies. This is done to obtain ideal standard work competency information that must be mastered by vocational students so that they become competent workers in the field of construction services and whether the competencies provided in vocational schools are in accordance with the competencies needed by th</w:t>
      </w:r>
      <w:r w:rsidR="004A15D1">
        <w:rPr>
          <w:rFonts w:ascii="Times New Roman" w:eastAsia="Times New Roman" w:hAnsi="Times New Roman" w:cs="Times New Roman"/>
          <w:color w:val="000000"/>
        </w:rPr>
        <w:t xml:space="preserve">e construction service industry. </w:t>
      </w:r>
      <w:r w:rsidRPr="009C51B8">
        <w:rPr>
          <w:rFonts w:ascii="Times New Roman" w:eastAsia="Times New Roman" w:hAnsi="Times New Roman" w:cs="Times New Roman"/>
          <w:color w:val="000000"/>
        </w:rPr>
        <w:t xml:space="preserve">The research results obtained can be used </w:t>
      </w:r>
      <w:r w:rsidR="004A15D1">
        <w:rPr>
          <w:rFonts w:ascii="Times New Roman" w:eastAsia="Times New Roman" w:hAnsi="Times New Roman" w:cs="Times New Roman"/>
          <w:color w:val="000000"/>
        </w:rPr>
        <w:t xml:space="preserve">to </w:t>
      </w:r>
      <w:r w:rsidRPr="009C51B8">
        <w:rPr>
          <w:rFonts w:ascii="Times New Roman" w:eastAsia="Times New Roman" w:hAnsi="Times New Roman" w:cs="Times New Roman"/>
          <w:color w:val="000000"/>
        </w:rPr>
        <w:t>development, planning of VE curricula that can increase the competence of graduates in building engineering with industry needs</w:t>
      </w:r>
      <w:r w:rsidR="00DB5E14">
        <w:rPr>
          <w:rFonts w:ascii="Times New Roman" w:eastAsia="Times New Roman" w:hAnsi="Times New Roman" w:cs="Times New Roman"/>
          <w:color w:val="000000"/>
        </w:rPr>
        <w:t xml:space="preserve"> and</w:t>
      </w:r>
      <w:r w:rsidR="003050EB">
        <w:rPr>
          <w:rFonts w:ascii="Times New Roman" w:eastAsia="Times New Roman" w:hAnsi="Times New Roman" w:cs="Times New Roman"/>
          <w:color w:val="000000"/>
        </w:rPr>
        <w:t xml:space="preserve"> </w:t>
      </w:r>
      <w:r w:rsidR="00DB5E14">
        <w:rPr>
          <w:rFonts w:ascii="Times New Roman" w:eastAsia="Times New Roman" w:hAnsi="Times New Roman" w:cs="Times New Roman"/>
          <w:color w:val="000000"/>
        </w:rPr>
        <w:t>the changes of technology</w:t>
      </w:r>
      <w:r w:rsidR="003050EB">
        <w:rPr>
          <w:rFonts w:ascii="Times New Roman" w:eastAsia="Times New Roman" w:hAnsi="Times New Roman" w:cs="Times New Roman"/>
          <w:color w:val="000000"/>
        </w:rPr>
        <w:t>.</w:t>
      </w:r>
    </w:p>
    <w:p w:rsidR="008335CA" w:rsidRDefault="008335CA" w:rsidP="002A1226">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p>
    <w:p w:rsidR="00507FEC" w:rsidRDefault="00507FEC" w:rsidP="00507FE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Materials a</w:t>
      </w:r>
      <w:r w:rsidR="00766EBE">
        <w:rPr>
          <w:rFonts w:ascii="Times New Roman" w:eastAsia="Times New Roman" w:hAnsi="Times New Roman" w:cs="Times New Roman"/>
          <w:b/>
          <w:color w:val="000000"/>
        </w:rPr>
        <w:t>nd m</w:t>
      </w:r>
      <w:r w:rsidRPr="00507FEC">
        <w:rPr>
          <w:rFonts w:ascii="Times New Roman" w:eastAsia="Times New Roman" w:hAnsi="Times New Roman" w:cs="Times New Roman"/>
          <w:b/>
          <w:color w:val="000000"/>
        </w:rPr>
        <w:t>ethods</w:t>
      </w:r>
    </w:p>
    <w:p w:rsidR="00507FEC" w:rsidRDefault="00507FE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507FEC">
        <w:rPr>
          <w:rFonts w:ascii="Times New Roman" w:eastAsia="Times New Roman" w:hAnsi="Times New Roman" w:cs="Times New Roman"/>
          <w:color w:val="000000"/>
        </w:rPr>
        <w:t xml:space="preserve">This research is based on a descriptive survey study, drawing conclusions from testing hypotheses to get answers to the problems studied </w:t>
      </w:r>
      <w:r w:rsidR="001805DD">
        <w:rPr>
          <w:rFonts w:ascii="Times New Roman" w:eastAsia="Times New Roman" w:hAnsi="Times New Roman" w:cs="Times New Roman"/>
          <w:color w:val="000000"/>
        </w:rPr>
        <w:t>[20, 21]</w:t>
      </w:r>
      <w:r w:rsidR="001805DD" w:rsidRPr="009C51B8">
        <w:rPr>
          <w:rFonts w:ascii="Times New Roman" w:eastAsia="Times New Roman" w:hAnsi="Times New Roman" w:cs="Times New Roman"/>
          <w:color w:val="000000"/>
        </w:rPr>
        <w:t>.</w:t>
      </w:r>
      <w:r w:rsidRPr="00507FEC">
        <w:rPr>
          <w:rFonts w:ascii="Times New Roman" w:eastAsia="Times New Roman" w:hAnsi="Times New Roman" w:cs="Times New Roman"/>
          <w:color w:val="000000"/>
        </w:rPr>
        <w:t xml:space="preserve">The design method used is a cross-sectional survey, with the intention of analyzing survey data with quantitative data in describing the attitudes, opinions, behavior, and characteristics of the population </w:t>
      </w:r>
      <w:r w:rsidR="00C86A15">
        <w:rPr>
          <w:rFonts w:ascii="Times New Roman" w:eastAsia="Times New Roman" w:hAnsi="Times New Roman" w:cs="Times New Roman"/>
          <w:color w:val="000000"/>
        </w:rPr>
        <w:t>[22]</w:t>
      </w:r>
      <w:r w:rsidR="00C86A15" w:rsidRPr="009C51B8">
        <w:rPr>
          <w:rFonts w:ascii="Times New Roman" w:eastAsia="Times New Roman" w:hAnsi="Times New Roman" w:cs="Times New Roman"/>
          <w:color w:val="000000"/>
        </w:rPr>
        <w:t>.</w:t>
      </w:r>
      <w:r w:rsidR="001608B4">
        <w:rPr>
          <w:rFonts w:ascii="Times New Roman" w:eastAsia="Times New Roman" w:hAnsi="Times New Roman" w:cs="Times New Roman"/>
          <w:color w:val="000000"/>
        </w:rPr>
        <w:t xml:space="preserve"> </w:t>
      </w:r>
      <w:r w:rsidRPr="00507FEC">
        <w:rPr>
          <w:rFonts w:ascii="Times New Roman" w:eastAsia="Times New Roman" w:hAnsi="Times New Roman" w:cs="Times New Roman"/>
          <w:color w:val="000000"/>
        </w:rPr>
        <w:t xml:space="preserve">The study was conducted in 8 Vocational Schools consisting of </w:t>
      </w:r>
      <w:r w:rsidR="003050EB">
        <w:rPr>
          <w:rFonts w:ascii="Times New Roman" w:eastAsia="Times New Roman" w:hAnsi="Times New Roman" w:cs="Times New Roman"/>
          <w:color w:val="000000"/>
        </w:rPr>
        <w:t xml:space="preserve">SMKN </w:t>
      </w:r>
      <w:r w:rsidRPr="00507FEC">
        <w:rPr>
          <w:rFonts w:ascii="Times New Roman" w:eastAsia="Times New Roman" w:hAnsi="Times New Roman" w:cs="Times New Roman"/>
          <w:color w:val="000000"/>
        </w:rPr>
        <w:t xml:space="preserve">2 Klaten, </w:t>
      </w:r>
      <w:r w:rsidR="003050EB">
        <w:rPr>
          <w:rFonts w:ascii="Times New Roman" w:eastAsia="Times New Roman" w:hAnsi="Times New Roman" w:cs="Times New Roman"/>
          <w:color w:val="000000"/>
        </w:rPr>
        <w:t xml:space="preserve">SMKN </w:t>
      </w:r>
      <w:r w:rsidRPr="00507FEC">
        <w:rPr>
          <w:rFonts w:ascii="Times New Roman" w:eastAsia="Times New Roman" w:hAnsi="Times New Roman" w:cs="Times New Roman"/>
          <w:color w:val="000000"/>
        </w:rPr>
        <w:t>1 Purworejo</w:t>
      </w:r>
      <w:r w:rsidR="003050EB">
        <w:rPr>
          <w:rFonts w:ascii="Times New Roman" w:eastAsia="Times New Roman" w:hAnsi="Times New Roman" w:cs="Times New Roman"/>
          <w:color w:val="000000"/>
        </w:rPr>
        <w:t xml:space="preserve">, SMKN 1 </w:t>
      </w:r>
      <w:r w:rsidR="00DB5E14">
        <w:rPr>
          <w:rFonts w:ascii="Times New Roman" w:eastAsia="Times New Roman" w:hAnsi="Times New Roman" w:cs="Times New Roman"/>
          <w:color w:val="000000"/>
        </w:rPr>
        <w:t>Magelang</w:t>
      </w:r>
      <w:r w:rsidRPr="00507FEC">
        <w:rPr>
          <w:rFonts w:ascii="Times New Roman" w:eastAsia="Times New Roman" w:hAnsi="Times New Roman" w:cs="Times New Roman"/>
          <w:color w:val="000000"/>
        </w:rPr>
        <w:t xml:space="preserve">, </w:t>
      </w:r>
      <w:r w:rsidR="003050EB">
        <w:rPr>
          <w:rFonts w:ascii="Times New Roman" w:eastAsia="Times New Roman" w:hAnsi="Times New Roman" w:cs="Times New Roman"/>
          <w:color w:val="000000"/>
        </w:rPr>
        <w:t>SMKN 2 Wonosari</w:t>
      </w:r>
      <w:r w:rsidRPr="00507FEC">
        <w:rPr>
          <w:rFonts w:ascii="Times New Roman" w:eastAsia="Times New Roman" w:hAnsi="Times New Roman" w:cs="Times New Roman"/>
          <w:color w:val="000000"/>
        </w:rPr>
        <w:t xml:space="preserve">, </w:t>
      </w:r>
      <w:r w:rsidR="003050EB">
        <w:rPr>
          <w:rFonts w:ascii="Times New Roman" w:eastAsia="Times New Roman" w:hAnsi="Times New Roman" w:cs="Times New Roman"/>
          <w:color w:val="000000"/>
        </w:rPr>
        <w:t xml:space="preserve">SMKN 2 </w:t>
      </w:r>
      <w:r w:rsidRPr="00507FEC">
        <w:rPr>
          <w:rFonts w:ascii="Times New Roman" w:eastAsia="Times New Roman" w:hAnsi="Times New Roman" w:cs="Times New Roman"/>
          <w:color w:val="000000"/>
        </w:rPr>
        <w:t xml:space="preserve">Yogyakarta, </w:t>
      </w:r>
      <w:r w:rsidR="003050EB">
        <w:rPr>
          <w:rFonts w:ascii="Times New Roman" w:eastAsia="Times New Roman" w:hAnsi="Times New Roman" w:cs="Times New Roman"/>
          <w:color w:val="000000"/>
        </w:rPr>
        <w:t xml:space="preserve">SMKN </w:t>
      </w:r>
      <w:r w:rsidRPr="00507FEC">
        <w:rPr>
          <w:rFonts w:ascii="Times New Roman" w:eastAsia="Times New Roman" w:hAnsi="Times New Roman" w:cs="Times New Roman"/>
          <w:color w:val="000000"/>
        </w:rPr>
        <w:t xml:space="preserve">3 Yogyakarta, </w:t>
      </w:r>
      <w:r w:rsidR="003050EB">
        <w:rPr>
          <w:rFonts w:ascii="Times New Roman" w:eastAsia="Times New Roman" w:hAnsi="Times New Roman" w:cs="Times New Roman"/>
          <w:color w:val="000000"/>
        </w:rPr>
        <w:t>SMKN 2 Depok</w:t>
      </w:r>
      <w:r w:rsidRPr="00507FEC">
        <w:rPr>
          <w:rFonts w:ascii="Times New Roman" w:eastAsia="Times New Roman" w:hAnsi="Times New Roman" w:cs="Times New Roman"/>
          <w:color w:val="000000"/>
        </w:rPr>
        <w:t xml:space="preserve">, </w:t>
      </w:r>
      <w:r w:rsidR="003050EB">
        <w:rPr>
          <w:rFonts w:ascii="Times New Roman" w:eastAsia="Times New Roman" w:hAnsi="Times New Roman" w:cs="Times New Roman"/>
          <w:color w:val="000000"/>
        </w:rPr>
        <w:t xml:space="preserve">SMKN </w:t>
      </w:r>
      <w:r w:rsidRPr="00507FEC">
        <w:rPr>
          <w:rFonts w:ascii="Times New Roman" w:eastAsia="Times New Roman" w:hAnsi="Times New Roman" w:cs="Times New Roman"/>
          <w:color w:val="000000"/>
        </w:rPr>
        <w:t xml:space="preserve">1 Seyegan. Determination of the number of respondents of </w:t>
      </w:r>
      <w:r w:rsidR="003050EB">
        <w:rPr>
          <w:rFonts w:ascii="Times New Roman" w:eastAsia="Times New Roman" w:hAnsi="Times New Roman" w:cs="Times New Roman"/>
          <w:color w:val="000000"/>
        </w:rPr>
        <w:t>VE</w:t>
      </w:r>
      <w:r w:rsidRPr="00507FEC">
        <w:rPr>
          <w:rFonts w:ascii="Times New Roman" w:eastAsia="Times New Roman" w:hAnsi="Times New Roman" w:cs="Times New Roman"/>
          <w:color w:val="000000"/>
        </w:rPr>
        <w:t xml:space="preserve"> vocational students in building engineering graduates using cluster random sampling techniques obtained by 103 students consisting of architecture engineering students. </w:t>
      </w:r>
    </w:p>
    <w:p w:rsidR="008C049A" w:rsidRPr="003015A7" w:rsidRDefault="008C049A" w:rsidP="003015A7">
      <w:pPr>
        <w:pStyle w:val="ListParagraph"/>
        <w:numPr>
          <w:ilvl w:val="1"/>
          <w:numId w:val="1"/>
        </w:numPr>
        <w:pBdr>
          <w:top w:val="nil"/>
          <w:left w:val="nil"/>
          <w:bottom w:val="nil"/>
          <w:right w:val="nil"/>
          <w:between w:val="nil"/>
        </w:pBdr>
        <w:tabs>
          <w:tab w:val="left" w:pos="567"/>
        </w:tabs>
        <w:spacing w:after="0" w:line="240" w:lineRule="auto"/>
        <w:ind w:left="426" w:hanging="426"/>
        <w:jc w:val="both"/>
        <w:rPr>
          <w:rFonts w:ascii="Times New Roman" w:eastAsia="Times New Roman" w:hAnsi="Times New Roman" w:cs="Times New Roman"/>
          <w:i/>
          <w:color w:val="000000"/>
        </w:rPr>
      </w:pPr>
      <w:r w:rsidRPr="003015A7">
        <w:rPr>
          <w:rFonts w:ascii="Times New Roman" w:eastAsia="Times New Roman" w:hAnsi="Times New Roman" w:cs="Times New Roman"/>
          <w:i/>
          <w:color w:val="000000"/>
        </w:rPr>
        <w:lastRenderedPageBreak/>
        <w:t>Measures an</w:t>
      </w:r>
      <w:r w:rsidR="00085B59" w:rsidRPr="003015A7">
        <w:rPr>
          <w:rFonts w:ascii="Times New Roman" w:eastAsia="Times New Roman" w:hAnsi="Times New Roman" w:cs="Times New Roman"/>
          <w:i/>
          <w:color w:val="000000"/>
        </w:rPr>
        <w:t>d covariates</w:t>
      </w:r>
    </w:p>
    <w:p w:rsidR="00507FEC" w:rsidRDefault="008C049A" w:rsidP="008C049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C049A">
        <w:rPr>
          <w:rFonts w:ascii="Times New Roman" w:eastAsia="Times New Roman" w:hAnsi="Times New Roman" w:cs="Times New Roman"/>
          <w:color w:val="000000"/>
        </w:rPr>
        <w:t>The questionnaire was prepared based on Permendikbud No. 34 years old. 2018, graduate competency standards and content standards, curriculum documents for the construction and property engineering expertise program 2018, SKKNI No. 374, SKKNI No. 85 of 2015, SKKNI No. 205 of 2015, and SKKNI No. 340 of 2013. The questionnaire consisted of 10 aspects of competence, each aspect of competence consi</w:t>
      </w:r>
      <w:r w:rsidR="003050EB">
        <w:rPr>
          <w:rFonts w:ascii="Times New Roman" w:eastAsia="Times New Roman" w:hAnsi="Times New Roman" w:cs="Times New Roman"/>
          <w:color w:val="000000"/>
        </w:rPr>
        <w:t>sted of 5 competency indicators</w:t>
      </w:r>
      <w:r w:rsidRPr="008C049A">
        <w:rPr>
          <w:rFonts w:ascii="Times New Roman" w:eastAsia="Times New Roman" w:hAnsi="Times New Roman" w:cs="Times New Roman"/>
          <w:color w:val="000000"/>
        </w:rPr>
        <w:t>. Instrument of Competency of Students in the Department of Construction and Property Engineering is shown in Table 1.</w:t>
      </w:r>
    </w:p>
    <w:p w:rsidR="008C049A" w:rsidRDefault="008C049A" w:rsidP="008C049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C049A" w:rsidRPr="008C049A" w:rsidRDefault="008C049A" w:rsidP="008C049A">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8C049A">
        <w:rPr>
          <w:rFonts w:ascii="Times New Roman" w:eastAsia="Times New Roman" w:hAnsi="Times New Roman" w:cs="Times New Roman"/>
          <w:b/>
          <w:color w:val="000000"/>
        </w:rPr>
        <w:t>Table 1.</w:t>
      </w:r>
      <w:r w:rsidRPr="008C049A">
        <w:rPr>
          <w:rFonts w:ascii="Times New Roman" w:eastAsia="Times New Roman" w:hAnsi="Times New Roman" w:cs="Times New Roman"/>
          <w:color w:val="000000"/>
        </w:rPr>
        <w:t xml:space="preserve"> The instrument for measuring the achievement of vocational student competencies</w:t>
      </w:r>
    </w:p>
    <w:tbl>
      <w:tblPr>
        <w:tblW w:w="5000" w:type="pct"/>
        <w:jc w:val="center"/>
        <w:tblLook w:val="04A0" w:firstRow="1" w:lastRow="0" w:firstColumn="1" w:lastColumn="0" w:noHBand="0" w:noVBand="1"/>
      </w:tblPr>
      <w:tblGrid>
        <w:gridCol w:w="884"/>
        <w:gridCol w:w="6483"/>
        <w:gridCol w:w="1703"/>
      </w:tblGrid>
      <w:tr w:rsidR="008C049A" w:rsidRPr="003050EB" w:rsidTr="00897E7E">
        <w:trPr>
          <w:trHeight w:val="20"/>
          <w:jc w:val="center"/>
        </w:trPr>
        <w:tc>
          <w:tcPr>
            <w:tcW w:w="487" w:type="pct"/>
            <w:tcBorders>
              <w:top w:val="single" w:sz="6" w:space="0" w:color="auto"/>
              <w:bottom w:val="single" w:sz="6" w:space="0" w:color="auto"/>
            </w:tcBorders>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No</w:t>
            </w:r>
          </w:p>
        </w:tc>
        <w:tc>
          <w:tcPr>
            <w:tcW w:w="3574" w:type="pct"/>
            <w:tcBorders>
              <w:top w:val="single" w:sz="6" w:space="0" w:color="auto"/>
              <w:bottom w:val="single" w:sz="6" w:space="0" w:color="auto"/>
            </w:tcBorders>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Competency Aspects</w:t>
            </w:r>
          </w:p>
        </w:tc>
        <w:tc>
          <w:tcPr>
            <w:tcW w:w="939" w:type="pct"/>
            <w:tcBorders>
              <w:top w:val="single" w:sz="6" w:space="0" w:color="auto"/>
              <w:bottom w:val="single" w:sz="6" w:space="0" w:color="auto"/>
            </w:tcBorders>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Item</w:t>
            </w:r>
          </w:p>
        </w:tc>
      </w:tr>
      <w:tr w:rsidR="008C049A" w:rsidRPr="003050EB" w:rsidTr="00897E7E">
        <w:trPr>
          <w:trHeight w:val="20"/>
          <w:jc w:val="center"/>
        </w:trPr>
        <w:tc>
          <w:tcPr>
            <w:tcW w:w="487" w:type="pct"/>
            <w:tcBorders>
              <w:top w:val="single" w:sz="6" w:space="0" w:color="auto"/>
            </w:tcBorders>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1</w:t>
            </w:r>
          </w:p>
        </w:tc>
        <w:tc>
          <w:tcPr>
            <w:tcW w:w="3574" w:type="pct"/>
            <w:tcBorders>
              <w:top w:val="single" w:sz="6" w:space="0" w:color="auto"/>
            </w:tcBorders>
            <w:shd w:val="clear" w:color="auto" w:fill="auto"/>
          </w:tcPr>
          <w:p w:rsidR="008C049A" w:rsidRPr="003050EB" w:rsidRDefault="008C049A" w:rsidP="008C049A">
            <w:pPr>
              <w:tabs>
                <w:tab w:val="left" w:pos="567"/>
              </w:tabs>
              <w:spacing w:after="0" w:line="240" w:lineRule="auto"/>
              <w:ind w:left="193"/>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General competence</w:t>
            </w:r>
          </w:p>
        </w:tc>
        <w:tc>
          <w:tcPr>
            <w:tcW w:w="939" w:type="pct"/>
            <w:tcBorders>
              <w:top w:val="single" w:sz="6" w:space="0" w:color="auto"/>
            </w:tcBorders>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A 1-5</w:t>
            </w:r>
          </w:p>
        </w:tc>
      </w:tr>
      <w:tr w:rsidR="008C049A" w:rsidRPr="003050EB" w:rsidTr="00897E7E">
        <w:trPr>
          <w:trHeight w:val="20"/>
          <w:jc w:val="center"/>
        </w:trPr>
        <w:tc>
          <w:tcPr>
            <w:tcW w:w="487"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2</w:t>
            </w:r>
          </w:p>
        </w:tc>
        <w:tc>
          <w:tcPr>
            <w:tcW w:w="3574" w:type="pct"/>
            <w:shd w:val="clear" w:color="auto" w:fill="auto"/>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Technical drawing competencies</w:t>
            </w:r>
          </w:p>
        </w:tc>
        <w:tc>
          <w:tcPr>
            <w:tcW w:w="939"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B 1-5</w:t>
            </w:r>
          </w:p>
        </w:tc>
      </w:tr>
      <w:tr w:rsidR="008C049A" w:rsidRPr="003050EB" w:rsidTr="00897E7E">
        <w:trPr>
          <w:trHeight w:val="20"/>
          <w:jc w:val="center"/>
        </w:trPr>
        <w:tc>
          <w:tcPr>
            <w:tcW w:w="487"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3</w:t>
            </w:r>
          </w:p>
        </w:tc>
        <w:tc>
          <w:tcPr>
            <w:tcW w:w="3574" w:type="pct"/>
            <w:shd w:val="clear" w:color="auto" w:fill="auto"/>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Statically structures competence</w:t>
            </w:r>
          </w:p>
        </w:tc>
        <w:tc>
          <w:tcPr>
            <w:tcW w:w="939"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C 1-5</w:t>
            </w:r>
          </w:p>
        </w:tc>
      </w:tr>
      <w:tr w:rsidR="008C049A" w:rsidRPr="003050EB" w:rsidTr="00897E7E">
        <w:trPr>
          <w:trHeight w:val="20"/>
          <w:jc w:val="center"/>
        </w:trPr>
        <w:tc>
          <w:tcPr>
            <w:tcW w:w="487"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4</w:t>
            </w:r>
          </w:p>
        </w:tc>
        <w:tc>
          <w:tcPr>
            <w:tcW w:w="3574" w:type="pct"/>
            <w:shd w:val="clear" w:color="auto" w:fill="auto"/>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Basic building construction competencies</w:t>
            </w:r>
          </w:p>
        </w:tc>
        <w:tc>
          <w:tcPr>
            <w:tcW w:w="939"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D 1-5</w:t>
            </w:r>
          </w:p>
        </w:tc>
      </w:tr>
      <w:tr w:rsidR="008C049A" w:rsidRPr="003050EB" w:rsidTr="00897E7E">
        <w:trPr>
          <w:trHeight w:val="20"/>
          <w:jc w:val="center"/>
        </w:trPr>
        <w:tc>
          <w:tcPr>
            <w:tcW w:w="487"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5</w:t>
            </w:r>
          </w:p>
        </w:tc>
        <w:tc>
          <w:tcPr>
            <w:tcW w:w="3574" w:type="pct"/>
            <w:shd w:val="clear" w:color="auto" w:fill="auto"/>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Land measurement engineering competencies</w:t>
            </w:r>
          </w:p>
        </w:tc>
        <w:tc>
          <w:tcPr>
            <w:tcW w:w="939"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E 1-5</w:t>
            </w:r>
          </w:p>
        </w:tc>
      </w:tr>
      <w:tr w:rsidR="008C049A" w:rsidRPr="003050EB" w:rsidTr="00897E7E">
        <w:trPr>
          <w:trHeight w:val="20"/>
          <w:jc w:val="center"/>
        </w:trPr>
        <w:tc>
          <w:tcPr>
            <w:tcW w:w="487"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6</w:t>
            </w:r>
          </w:p>
        </w:tc>
        <w:tc>
          <w:tcPr>
            <w:tcW w:w="3574" w:type="pct"/>
            <w:shd w:val="clear" w:color="auto" w:fill="auto"/>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Software application and building interior design competencies</w:t>
            </w:r>
          </w:p>
        </w:tc>
        <w:tc>
          <w:tcPr>
            <w:tcW w:w="939"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F 1-5</w:t>
            </w:r>
          </w:p>
        </w:tc>
      </w:tr>
      <w:tr w:rsidR="008C049A" w:rsidRPr="003050EB" w:rsidTr="00897E7E">
        <w:trPr>
          <w:trHeight w:val="20"/>
          <w:jc w:val="center"/>
        </w:trPr>
        <w:tc>
          <w:tcPr>
            <w:tcW w:w="487"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7</w:t>
            </w:r>
          </w:p>
        </w:tc>
        <w:tc>
          <w:tcPr>
            <w:tcW w:w="3574" w:type="pct"/>
            <w:shd w:val="clear" w:color="auto" w:fill="auto"/>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Road and bridge construction competencies</w:t>
            </w:r>
          </w:p>
        </w:tc>
        <w:tc>
          <w:tcPr>
            <w:tcW w:w="939"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G 1-5</w:t>
            </w:r>
          </w:p>
        </w:tc>
      </w:tr>
      <w:tr w:rsidR="008C049A" w:rsidRPr="003050EB" w:rsidTr="00897E7E">
        <w:trPr>
          <w:trHeight w:val="20"/>
          <w:jc w:val="center"/>
        </w:trPr>
        <w:tc>
          <w:tcPr>
            <w:tcW w:w="487"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8</w:t>
            </w:r>
          </w:p>
        </w:tc>
        <w:tc>
          <w:tcPr>
            <w:tcW w:w="3574" w:type="pct"/>
            <w:shd w:val="clear" w:color="auto" w:fill="auto"/>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Estimated construction costs competencies</w:t>
            </w:r>
          </w:p>
        </w:tc>
        <w:tc>
          <w:tcPr>
            <w:tcW w:w="939"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H 1-5</w:t>
            </w:r>
          </w:p>
        </w:tc>
      </w:tr>
      <w:tr w:rsidR="008C049A" w:rsidRPr="003050EB" w:rsidTr="00897E7E">
        <w:trPr>
          <w:trHeight w:val="20"/>
          <w:jc w:val="center"/>
        </w:trPr>
        <w:tc>
          <w:tcPr>
            <w:tcW w:w="487"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9</w:t>
            </w:r>
          </w:p>
        </w:tc>
        <w:tc>
          <w:tcPr>
            <w:tcW w:w="3574" w:type="pct"/>
            <w:shd w:val="clear" w:color="auto" w:fill="auto"/>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Building construction and utility competencies</w:t>
            </w:r>
          </w:p>
        </w:tc>
        <w:tc>
          <w:tcPr>
            <w:tcW w:w="939"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I 1-5</w:t>
            </w:r>
          </w:p>
        </w:tc>
      </w:tr>
      <w:tr w:rsidR="008C049A" w:rsidRPr="003050EB" w:rsidTr="00897E7E">
        <w:trPr>
          <w:trHeight w:val="20"/>
          <w:jc w:val="center"/>
        </w:trPr>
        <w:tc>
          <w:tcPr>
            <w:tcW w:w="487" w:type="pct"/>
            <w:tcBorders>
              <w:bottom w:val="single" w:sz="6" w:space="0" w:color="auto"/>
            </w:tcBorders>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10</w:t>
            </w:r>
          </w:p>
        </w:tc>
        <w:tc>
          <w:tcPr>
            <w:tcW w:w="3574" w:type="pct"/>
            <w:tcBorders>
              <w:bottom w:val="single" w:sz="6" w:space="0" w:color="auto"/>
            </w:tcBorders>
            <w:shd w:val="clear" w:color="auto" w:fill="auto"/>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Creative and entrepreneurship product competencies</w:t>
            </w:r>
          </w:p>
        </w:tc>
        <w:tc>
          <w:tcPr>
            <w:tcW w:w="939" w:type="pct"/>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J 1-5</w:t>
            </w:r>
          </w:p>
        </w:tc>
      </w:tr>
      <w:tr w:rsidR="008C049A" w:rsidRPr="003050EB" w:rsidTr="00897E7E">
        <w:trPr>
          <w:trHeight w:val="20"/>
          <w:jc w:val="center"/>
        </w:trPr>
        <w:tc>
          <w:tcPr>
            <w:tcW w:w="4061" w:type="pct"/>
            <w:gridSpan w:val="2"/>
            <w:tcBorders>
              <w:top w:val="single" w:sz="6" w:space="0" w:color="auto"/>
              <w:bottom w:val="single" w:sz="6" w:space="0" w:color="auto"/>
            </w:tcBorders>
            <w:shd w:val="clear" w:color="auto" w:fill="auto"/>
            <w:vAlign w:val="center"/>
          </w:tcPr>
          <w:p w:rsidR="008C049A" w:rsidRPr="003050EB" w:rsidRDefault="008C049A" w:rsidP="008C049A">
            <w:pPr>
              <w:tabs>
                <w:tab w:val="left" w:pos="567"/>
              </w:tabs>
              <w:spacing w:after="0" w:line="240" w:lineRule="auto"/>
              <w:ind w:left="193"/>
              <w:jc w:val="both"/>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Number of item</w:t>
            </w:r>
          </w:p>
        </w:tc>
        <w:tc>
          <w:tcPr>
            <w:tcW w:w="939" w:type="pct"/>
            <w:tcBorders>
              <w:top w:val="single" w:sz="6" w:space="0" w:color="auto"/>
              <w:bottom w:val="single" w:sz="6" w:space="0" w:color="auto"/>
            </w:tcBorders>
            <w:shd w:val="clear" w:color="auto" w:fill="auto"/>
            <w:vAlign w:val="center"/>
          </w:tcPr>
          <w:p w:rsidR="008C049A" w:rsidRPr="003050EB" w:rsidRDefault="008C049A" w:rsidP="00213E0F">
            <w:pPr>
              <w:tabs>
                <w:tab w:val="left" w:pos="567"/>
              </w:tabs>
              <w:spacing w:after="0" w:line="240" w:lineRule="auto"/>
              <w:ind w:left="193"/>
              <w:jc w:val="center"/>
              <w:rPr>
                <w:rFonts w:ascii="Times New Roman" w:eastAsia="Times New Roman" w:hAnsi="Times New Roman" w:cs="Times New Roman"/>
                <w:color w:val="000000"/>
                <w:sz w:val="20"/>
              </w:rPr>
            </w:pPr>
            <w:r w:rsidRPr="003050EB">
              <w:rPr>
                <w:rFonts w:ascii="Times New Roman" w:eastAsia="Times New Roman" w:hAnsi="Times New Roman" w:cs="Times New Roman"/>
                <w:color w:val="000000"/>
                <w:sz w:val="20"/>
              </w:rPr>
              <w:t>50</w:t>
            </w:r>
          </w:p>
        </w:tc>
      </w:tr>
    </w:tbl>
    <w:p w:rsidR="00F22345" w:rsidRDefault="00F22345" w:rsidP="00F22345">
      <w:pPr>
        <w:pStyle w:val="ListParagraph"/>
        <w:pBdr>
          <w:top w:val="nil"/>
          <w:left w:val="nil"/>
          <w:bottom w:val="nil"/>
          <w:right w:val="nil"/>
          <w:between w:val="nil"/>
        </w:pBdr>
        <w:tabs>
          <w:tab w:val="left" w:pos="567"/>
        </w:tabs>
        <w:spacing w:after="0" w:line="240" w:lineRule="auto"/>
        <w:ind w:left="426"/>
        <w:jc w:val="both"/>
        <w:rPr>
          <w:rFonts w:ascii="Times New Roman" w:eastAsia="Times New Roman" w:hAnsi="Times New Roman" w:cs="Times New Roman"/>
          <w:i/>
          <w:color w:val="000000"/>
        </w:rPr>
      </w:pPr>
    </w:p>
    <w:p w:rsidR="003015A7" w:rsidRPr="003015A7" w:rsidRDefault="003015A7" w:rsidP="003015A7">
      <w:pPr>
        <w:pStyle w:val="ListParagraph"/>
        <w:numPr>
          <w:ilvl w:val="1"/>
          <w:numId w:val="1"/>
        </w:numPr>
        <w:pBdr>
          <w:top w:val="nil"/>
          <w:left w:val="nil"/>
          <w:bottom w:val="nil"/>
          <w:right w:val="nil"/>
          <w:between w:val="nil"/>
        </w:pBdr>
        <w:tabs>
          <w:tab w:val="left" w:pos="567"/>
        </w:tabs>
        <w:spacing w:after="0" w:line="240" w:lineRule="auto"/>
        <w:ind w:left="426" w:hanging="426"/>
        <w:jc w:val="both"/>
        <w:rPr>
          <w:rFonts w:ascii="Times New Roman" w:eastAsia="Times New Roman" w:hAnsi="Times New Roman" w:cs="Times New Roman"/>
          <w:i/>
          <w:color w:val="000000"/>
        </w:rPr>
      </w:pPr>
      <w:r w:rsidRPr="003015A7">
        <w:rPr>
          <w:rFonts w:ascii="Times New Roman" w:eastAsia="Times New Roman" w:hAnsi="Times New Roman" w:cs="Times New Roman"/>
          <w:i/>
          <w:color w:val="000000"/>
        </w:rPr>
        <w:t xml:space="preserve">Data </w:t>
      </w:r>
      <w:r w:rsidR="00085B59" w:rsidRPr="003015A7">
        <w:rPr>
          <w:rFonts w:ascii="Times New Roman" w:eastAsia="Times New Roman" w:hAnsi="Times New Roman" w:cs="Times New Roman"/>
          <w:i/>
          <w:color w:val="000000"/>
        </w:rPr>
        <w:t>analysis</w:t>
      </w:r>
    </w:p>
    <w:p w:rsidR="003015A7" w:rsidRPr="003015A7" w:rsidRDefault="003015A7" w:rsidP="003015A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015A7">
        <w:rPr>
          <w:rFonts w:ascii="Times New Roman" w:eastAsia="Times New Roman" w:hAnsi="Times New Roman" w:cs="Times New Roman"/>
          <w:color w:val="000000"/>
        </w:rPr>
        <w:t xml:space="preserve">Statistical descriptive analysis, multicollinearity, normality, and data reduction before being applied in further factor analysis, using SPSS 25.0 software. Univariate normality analysis results from the construct of the measurement model for latent variables, according to the value of skewness and kurtosis with a range of values from -1.96 to +1.96 at a significance level of 0.05 for each question item </w:t>
      </w:r>
      <w:r w:rsidR="00C86A15">
        <w:rPr>
          <w:rFonts w:ascii="Times New Roman" w:eastAsia="Times New Roman" w:hAnsi="Times New Roman" w:cs="Times New Roman"/>
          <w:color w:val="000000"/>
        </w:rPr>
        <w:t>[22, 23, 24]</w:t>
      </w:r>
      <w:r w:rsidR="00C86A15" w:rsidRPr="009C51B8">
        <w:rPr>
          <w:rFonts w:ascii="Times New Roman" w:eastAsia="Times New Roman" w:hAnsi="Times New Roman" w:cs="Times New Roman"/>
          <w:color w:val="000000"/>
        </w:rPr>
        <w:t>.</w:t>
      </w:r>
      <w:r w:rsidRPr="003015A7">
        <w:rPr>
          <w:rFonts w:ascii="Times New Roman" w:eastAsia="Times New Roman" w:hAnsi="Times New Roman" w:cs="Times New Roman"/>
          <w:color w:val="000000"/>
        </w:rPr>
        <w:t xml:space="preserve">Multicollinearity analysis can conclude the inter-change matrix with a value of ≤0.90 </w:t>
      </w:r>
      <w:r w:rsidR="00C86A15">
        <w:rPr>
          <w:rFonts w:ascii="Times New Roman" w:eastAsia="Times New Roman" w:hAnsi="Times New Roman" w:cs="Times New Roman"/>
          <w:color w:val="000000"/>
        </w:rPr>
        <w:t>[23]</w:t>
      </w:r>
      <w:r w:rsidR="00C86A15" w:rsidRPr="009C51B8">
        <w:rPr>
          <w:rFonts w:ascii="Times New Roman" w:eastAsia="Times New Roman" w:hAnsi="Times New Roman" w:cs="Times New Roman"/>
          <w:color w:val="000000"/>
        </w:rPr>
        <w:t>.</w:t>
      </w:r>
      <w:r w:rsidR="00C86A15">
        <w:rPr>
          <w:rFonts w:ascii="Times New Roman" w:eastAsia="Times New Roman" w:hAnsi="Times New Roman" w:cs="Times New Roman"/>
          <w:color w:val="000000"/>
        </w:rPr>
        <w:t xml:space="preserve"> </w:t>
      </w:r>
      <w:r w:rsidRPr="003015A7">
        <w:rPr>
          <w:rFonts w:ascii="Times New Roman" w:eastAsia="Times New Roman" w:hAnsi="Times New Roman" w:cs="Times New Roman"/>
          <w:color w:val="000000"/>
        </w:rPr>
        <w:t xml:space="preserve">After that, all items are included in the criteria for factor analysis test, the data are analyzed on two shelves. Exploratory Factor Analysis (EFA) was carried out to determine the factors of the instrument measuring the achievement of student competencies. Confirmatory Factor Analysis (CFA) is carried out to ensure and clarify whether the specified model and factor loading patterns are appropriate in Indonesia </w:t>
      </w:r>
      <w:r w:rsidR="00C86A15">
        <w:rPr>
          <w:rFonts w:ascii="Times New Roman" w:eastAsia="Times New Roman" w:hAnsi="Times New Roman" w:cs="Times New Roman"/>
          <w:color w:val="000000"/>
        </w:rPr>
        <w:t>[25]</w:t>
      </w:r>
      <w:r w:rsidR="00C86A15" w:rsidRPr="009C51B8">
        <w:rPr>
          <w:rFonts w:ascii="Times New Roman" w:eastAsia="Times New Roman" w:hAnsi="Times New Roman" w:cs="Times New Roman"/>
          <w:color w:val="000000"/>
        </w:rPr>
        <w:t>.</w:t>
      </w:r>
    </w:p>
    <w:p w:rsidR="008C049A" w:rsidRDefault="003015A7" w:rsidP="003015A7">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3015A7">
        <w:rPr>
          <w:rFonts w:ascii="Times New Roman" w:eastAsia="Times New Roman" w:hAnsi="Times New Roman" w:cs="Times New Roman"/>
          <w:color w:val="000000"/>
        </w:rPr>
        <w:t xml:space="preserve">EFA data analysis is performed using SPSS to reveal how many factors can be formed so that it can find out the correlating factors and the contribution value of each variable to measure the factors </w:t>
      </w:r>
      <w:r w:rsidR="0089081A">
        <w:rPr>
          <w:rFonts w:ascii="Times New Roman" w:eastAsia="Times New Roman" w:hAnsi="Times New Roman" w:cs="Times New Roman"/>
          <w:color w:val="000000"/>
        </w:rPr>
        <w:t>[26, 27]</w:t>
      </w:r>
      <w:r w:rsidR="0089081A" w:rsidRPr="009C51B8">
        <w:rPr>
          <w:rFonts w:ascii="Times New Roman" w:eastAsia="Times New Roman" w:hAnsi="Times New Roman" w:cs="Times New Roman"/>
          <w:color w:val="000000"/>
        </w:rPr>
        <w:t>.</w:t>
      </w:r>
      <w:r w:rsidRPr="003015A7">
        <w:rPr>
          <w:rFonts w:ascii="Times New Roman" w:eastAsia="Times New Roman" w:hAnsi="Times New Roman" w:cs="Times New Roman"/>
          <w:color w:val="000000"/>
        </w:rPr>
        <w:t>The results of the analysis are based on Kaiser-Meyer-Olkin (KMO) values, Bartlett test values, Measure of Sampling Adequacy (MSA), communality values, total variance values described related to eigenvalues, factor loading, plot scree. Furthermore, CFA is performed on a model that is based on hypothetical fact</w:t>
      </w:r>
      <w:r w:rsidR="007F4999">
        <w:rPr>
          <w:rFonts w:ascii="Times New Roman" w:eastAsia="Times New Roman" w:hAnsi="Times New Roman" w:cs="Times New Roman"/>
          <w:color w:val="000000"/>
        </w:rPr>
        <w:t xml:space="preserve">ors using AMOS 22. For </w:t>
      </w:r>
      <w:r w:rsidRPr="003015A7">
        <w:rPr>
          <w:rFonts w:ascii="Times New Roman" w:eastAsia="Times New Roman" w:hAnsi="Times New Roman" w:cs="Times New Roman"/>
          <w:color w:val="000000"/>
        </w:rPr>
        <w:t>the assessment of the hypothesized construct position, construct validity is carried out using convergent and discriminant validity.</w:t>
      </w:r>
    </w:p>
    <w:p w:rsidR="00257783" w:rsidRDefault="00257783" w:rsidP="003015A7">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p>
    <w:p w:rsidR="00FD4824" w:rsidRDefault="00FD4824" w:rsidP="00FD482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 a</w:t>
      </w:r>
      <w:r w:rsidR="00766EBE">
        <w:rPr>
          <w:rFonts w:ascii="Times New Roman" w:eastAsia="Times New Roman" w:hAnsi="Times New Roman" w:cs="Times New Roman"/>
          <w:b/>
          <w:color w:val="000000"/>
        </w:rPr>
        <w:t>nd d</w:t>
      </w:r>
      <w:r w:rsidRPr="00FD4824">
        <w:rPr>
          <w:rFonts w:ascii="Times New Roman" w:eastAsia="Times New Roman" w:hAnsi="Times New Roman" w:cs="Times New Roman"/>
          <w:b/>
          <w:color w:val="000000"/>
        </w:rPr>
        <w:t>iscussion</w:t>
      </w:r>
    </w:p>
    <w:p w:rsidR="00FD4824" w:rsidRDefault="00D62E76" w:rsidP="002D5D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D62E76">
        <w:rPr>
          <w:rFonts w:ascii="Times New Roman" w:eastAsia="Times New Roman" w:hAnsi="Times New Roman" w:cs="Times New Roman"/>
          <w:color w:val="000000"/>
        </w:rPr>
        <w:t>The first result conducted in this study is a preliminary analysis intended to find out the data that has been obtained from the survey results. Data obtained from 103 vocational education students majoring in archit</w:t>
      </w:r>
      <w:r w:rsidR="008E6457">
        <w:rPr>
          <w:rFonts w:ascii="Times New Roman" w:eastAsia="Times New Roman" w:hAnsi="Times New Roman" w:cs="Times New Roman"/>
          <w:color w:val="000000"/>
        </w:rPr>
        <w:t xml:space="preserve">ecture engineering in Indonesia. </w:t>
      </w:r>
      <w:r w:rsidRPr="00D62E76">
        <w:rPr>
          <w:rFonts w:ascii="Times New Roman" w:eastAsia="Times New Roman" w:hAnsi="Times New Roman" w:cs="Times New Roman"/>
          <w:color w:val="000000"/>
        </w:rPr>
        <w:t xml:space="preserve">All 50 questions are called competency items. Because items A3, A4, B1, B2, C1, C3, D3, D4, E1, E3, F1, F4, G1, G5, H2, H4, I2, I3, J3, J5, obtain skew and kurtosis values outside the range of numbers -1.96 to +1.96 and the level of significance with </w:t>
      </w:r>
      <w:r w:rsidR="006169A9">
        <w:rPr>
          <w:rFonts w:ascii="Times New Roman" w:eastAsia="Times New Roman" w:hAnsi="Times New Roman" w:cs="Times New Roman"/>
          <w:color w:val="000000"/>
        </w:rPr>
        <w:t xml:space="preserve">values ≤0.05 </w:t>
      </w:r>
      <w:r w:rsidR="006F4792">
        <w:rPr>
          <w:rFonts w:ascii="Times New Roman" w:eastAsia="Times New Roman" w:hAnsi="Times New Roman" w:cs="Times New Roman"/>
          <w:color w:val="000000"/>
        </w:rPr>
        <w:t xml:space="preserve">[24] </w:t>
      </w:r>
      <w:r w:rsidRPr="00D62E76">
        <w:rPr>
          <w:rFonts w:ascii="Times New Roman" w:eastAsia="Times New Roman" w:hAnsi="Times New Roman" w:cs="Times New Roman"/>
          <w:color w:val="000000"/>
        </w:rPr>
        <w:t xml:space="preserve">then the 20 items were declared not normally distributed and excluded and not included in further factor analysis. After the item is released, the data that still survive or have normal distribution is 30 items and descriptive statistics are analyzed again as in Table 2. </w:t>
      </w:r>
      <w:r w:rsidR="005B3250">
        <w:rPr>
          <w:rFonts w:ascii="Times New Roman" w:eastAsia="Times New Roman" w:hAnsi="Times New Roman" w:cs="Times New Roman"/>
          <w:color w:val="000000"/>
        </w:rPr>
        <w:t>T</w:t>
      </w:r>
      <w:r w:rsidR="005B3250" w:rsidRPr="005B3250">
        <w:rPr>
          <w:rFonts w:ascii="Times New Roman" w:eastAsia="Times New Roman" w:hAnsi="Times New Roman" w:cs="Times New Roman"/>
          <w:color w:val="000000"/>
        </w:rPr>
        <w:t>he acquisition of</w:t>
      </w:r>
      <w:r w:rsidR="007E1A7E">
        <w:rPr>
          <w:rFonts w:ascii="Times New Roman" w:eastAsia="Times New Roman" w:hAnsi="Times New Roman" w:cs="Times New Roman"/>
          <w:color w:val="000000"/>
        </w:rPr>
        <w:t xml:space="preserve"> </w:t>
      </w:r>
      <w:r w:rsidR="002D5DAB">
        <w:rPr>
          <w:rFonts w:ascii="Times New Roman" w:eastAsia="Times New Roman" w:hAnsi="Times New Roman" w:cs="Times New Roman"/>
          <w:color w:val="000000"/>
        </w:rPr>
        <w:t>30</w:t>
      </w:r>
      <w:r w:rsidRPr="00D62E76">
        <w:rPr>
          <w:rFonts w:ascii="Times New Roman" w:eastAsia="Times New Roman" w:hAnsi="Times New Roman" w:cs="Times New Roman"/>
          <w:color w:val="000000"/>
        </w:rPr>
        <w:t xml:space="preserve"> items reached normality with skew values ranging from -1,723 to -0,056, with kurtosis values ranging from -1,938 to +1,938. </w:t>
      </w:r>
    </w:p>
    <w:p w:rsidR="00ED3BFE" w:rsidRDefault="00E45E48" w:rsidP="00E45E48">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E45E48">
        <w:rPr>
          <w:rFonts w:ascii="Times New Roman" w:eastAsia="Times New Roman" w:hAnsi="Times New Roman" w:cs="Times New Roman"/>
          <w:b/>
          <w:color w:val="000000"/>
        </w:rPr>
        <w:lastRenderedPageBreak/>
        <w:t>Table 2.</w:t>
      </w:r>
      <w:r w:rsidRPr="00E45E48">
        <w:rPr>
          <w:rFonts w:ascii="Times New Roman" w:eastAsia="Times New Roman" w:hAnsi="Times New Roman" w:cs="Times New Roman"/>
          <w:color w:val="000000"/>
        </w:rPr>
        <w:t xml:space="preserve"> Results of statistical descriptive analysis and data normality</w:t>
      </w:r>
    </w:p>
    <w:tbl>
      <w:tblPr>
        <w:tblW w:w="5000" w:type="pct"/>
        <w:jc w:val="center"/>
        <w:tblLook w:val="04A0" w:firstRow="1" w:lastRow="0" w:firstColumn="1" w:lastColumn="0" w:noHBand="0" w:noVBand="1"/>
      </w:tblPr>
      <w:tblGrid>
        <w:gridCol w:w="683"/>
        <w:gridCol w:w="1306"/>
        <w:gridCol w:w="1150"/>
        <w:gridCol w:w="2028"/>
        <w:gridCol w:w="1186"/>
        <w:gridCol w:w="1322"/>
        <w:gridCol w:w="1395"/>
      </w:tblGrid>
      <w:tr w:rsidR="00ED3BFE" w:rsidRPr="000D4D18" w:rsidTr="00E45E48">
        <w:trPr>
          <w:trHeight w:val="20"/>
          <w:tblHeader/>
          <w:jc w:val="center"/>
        </w:trPr>
        <w:tc>
          <w:tcPr>
            <w:tcW w:w="376" w:type="pct"/>
            <w:tcBorders>
              <w:top w:val="single" w:sz="6" w:space="0" w:color="000000"/>
              <w:bottom w:val="single" w:sz="6" w:space="0" w:color="000000"/>
            </w:tcBorders>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No</w:t>
            </w:r>
          </w:p>
        </w:tc>
        <w:tc>
          <w:tcPr>
            <w:tcW w:w="720" w:type="pct"/>
            <w:tcBorders>
              <w:top w:val="single" w:sz="6" w:space="0" w:color="000000"/>
              <w:bottom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Variable</w:t>
            </w:r>
          </w:p>
        </w:tc>
        <w:tc>
          <w:tcPr>
            <w:tcW w:w="634" w:type="pct"/>
            <w:tcBorders>
              <w:top w:val="single" w:sz="6" w:space="0" w:color="000000"/>
              <w:bottom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Mean</w:t>
            </w:r>
          </w:p>
        </w:tc>
        <w:tc>
          <w:tcPr>
            <w:tcW w:w="1118" w:type="pct"/>
            <w:tcBorders>
              <w:top w:val="single" w:sz="6" w:space="0" w:color="000000"/>
              <w:bottom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Std. Deviation</w:t>
            </w:r>
          </w:p>
        </w:tc>
        <w:tc>
          <w:tcPr>
            <w:tcW w:w="654" w:type="pct"/>
            <w:tcBorders>
              <w:top w:val="single" w:sz="6" w:space="0" w:color="000000"/>
              <w:bottom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Skew</w:t>
            </w:r>
          </w:p>
        </w:tc>
        <w:tc>
          <w:tcPr>
            <w:tcW w:w="729" w:type="pct"/>
            <w:tcBorders>
              <w:top w:val="single" w:sz="6" w:space="0" w:color="000000"/>
              <w:bottom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Kurtosis</w:t>
            </w:r>
          </w:p>
        </w:tc>
        <w:tc>
          <w:tcPr>
            <w:tcW w:w="769" w:type="pct"/>
            <w:tcBorders>
              <w:top w:val="single" w:sz="6" w:space="0" w:color="000000"/>
              <w:bottom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Analysis N</w:t>
            </w:r>
          </w:p>
        </w:tc>
      </w:tr>
      <w:tr w:rsidR="00ED3BFE" w:rsidRPr="000D4D18" w:rsidTr="00E45E48">
        <w:trPr>
          <w:trHeight w:val="20"/>
          <w:jc w:val="center"/>
        </w:trPr>
        <w:tc>
          <w:tcPr>
            <w:tcW w:w="376" w:type="pct"/>
            <w:tcBorders>
              <w:top w:val="single" w:sz="6" w:space="0" w:color="000000"/>
            </w:tcBorders>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w:t>
            </w:r>
          </w:p>
        </w:tc>
        <w:tc>
          <w:tcPr>
            <w:tcW w:w="720" w:type="pct"/>
            <w:tcBorders>
              <w:top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A1</w:t>
            </w:r>
          </w:p>
        </w:tc>
        <w:tc>
          <w:tcPr>
            <w:tcW w:w="634" w:type="pct"/>
            <w:tcBorders>
              <w:top w:val="single" w:sz="6" w:space="0" w:color="000000"/>
            </w:tcBorders>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3,776</w:t>
            </w:r>
          </w:p>
        </w:tc>
        <w:tc>
          <w:tcPr>
            <w:tcW w:w="1118" w:type="pct"/>
            <w:tcBorders>
              <w:top w:val="single" w:sz="6" w:space="0" w:color="000000"/>
            </w:tcBorders>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0,447</w:t>
            </w:r>
          </w:p>
        </w:tc>
        <w:tc>
          <w:tcPr>
            <w:tcW w:w="654" w:type="pct"/>
            <w:tcBorders>
              <w:top w:val="single" w:sz="6" w:space="0" w:color="000000"/>
            </w:tcBorders>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-1,723</w:t>
            </w:r>
          </w:p>
        </w:tc>
        <w:tc>
          <w:tcPr>
            <w:tcW w:w="729" w:type="pct"/>
            <w:tcBorders>
              <w:top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1,938</w:t>
            </w:r>
          </w:p>
        </w:tc>
        <w:tc>
          <w:tcPr>
            <w:tcW w:w="770" w:type="pct"/>
            <w:tcBorders>
              <w:top w:val="single" w:sz="6" w:space="0" w:color="000000"/>
            </w:tcBorders>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A2</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3,659</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0,477</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-0,67</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-1,551</w:t>
            </w:r>
          </w:p>
        </w:tc>
        <w:tc>
          <w:tcPr>
            <w:tcW w:w="770"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A5</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3,753</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0,460</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-1,535</w:t>
            </w:r>
          </w:p>
        </w:tc>
        <w:tc>
          <w:tcPr>
            <w:tcW w:w="729"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1,231</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4</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B3</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3,647</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0,505</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-0,893</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-0,564</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5</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B4</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3,624</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0,511</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-0,777</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-0,783</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6</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B5</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3,694</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0,464</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-0,843</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-1,29</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7</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C2</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3,906</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0,718</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-0,056</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-0,589</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8</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C4</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3,576</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0,543</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-0,755</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-0,568</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9</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C5</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3,682</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0,539</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-1,451</w:t>
            </w:r>
          </w:p>
        </w:tc>
        <w:tc>
          <w:tcPr>
            <w:tcW w:w="729"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1,162</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D1</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3,694</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0,464</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-0,843</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-1,29</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11</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D2</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3,624</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0,487</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-0,51</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-1,74</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12</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D5</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3,624</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0,487</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-0,51</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-1,74</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13</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E2</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3,765</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0,454</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-1,626</w:t>
            </w:r>
          </w:p>
        </w:tc>
        <w:tc>
          <w:tcPr>
            <w:tcW w:w="729"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1,563</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14</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E4</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3,635</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0,508</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-0,834</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-0,68</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15</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E5</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3,682</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0,493</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-1,08</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-0,141</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16</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F2</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3,624</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0,534</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-0,976</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-0,151</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17</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F3</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3,576</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0,520</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-0,563</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-1,105</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18</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F5</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3,741</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0,467</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-1,449</w:t>
            </w:r>
          </w:p>
        </w:tc>
        <w:tc>
          <w:tcPr>
            <w:tcW w:w="729"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0,935</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19</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G2</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3,600</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0,493</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-0,408</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-1,833</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20</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G3</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3,635</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0,484</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-0,562</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-1,684</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21</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G4</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3,694</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0,464</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-0,843</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-1,29</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22</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H1</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3,671</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0,473</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-0,726</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-1,473</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23</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H3</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3,600</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0,493</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-0,408</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-1,833</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24</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H5</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3,694</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0,464</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-0,843</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-1,29</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25</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I1</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3,706</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0,484</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-0,615</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-1,621</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26</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I4</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3,682</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0,539</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-0,783</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-1,386</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27</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I5</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3,647</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0,481</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-0,953</w:t>
            </w:r>
          </w:p>
        </w:tc>
        <w:tc>
          <w:tcPr>
            <w:tcW w:w="729"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-0,437</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28</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J1</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3,682</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0,468</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-1,294</w:t>
            </w:r>
          </w:p>
        </w:tc>
        <w:tc>
          <w:tcPr>
            <w:tcW w:w="729"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0,655</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29</w:t>
            </w:r>
          </w:p>
        </w:tc>
        <w:tc>
          <w:tcPr>
            <w:tcW w:w="720"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J2</w:t>
            </w:r>
          </w:p>
        </w:tc>
        <w:tc>
          <w:tcPr>
            <w:tcW w:w="63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3,659</w:t>
            </w:r>
          </w:p>
        </w:tc>
        <w:tc>
          <w:tcPr>
            <w:tcW w:w="1118"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0,501</w:t>
            </w:r>
          </w:p>
        </w:tc>
        <w:tc>
          <w:tcPr>
            <w:tcW w:w="654" w:type="pct"/>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-1,451</w:t>
            </w:r>
          </w:p>
        </w:tc>
        <w:tc>
          <w:tcPr>
            <w:tcW w:w="729" w:type="pct"/>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1,162</w:t>
            </w:r>
          </w:p>
        </w:tc>
        <w:tc>
          <w:tcPr>
            <w:tcW w:w="769" w:type="pct"/>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r w:rsidR="00ED3BFE" w:rsidRPr="000D4D18" w:rsidTr="00E45E48">
        <w:trPr>
          <w:trHeight w:val="20"/>
          <w:jc w:val="center"/>
        </w:trPr>
        <w:tc>
          <w:tcPr>
            <w:tcW w:w="376" w:type="pct"/>
            <w:tcBorders>
              <w:bottom w:val="single" w:sz="6" w:space="0" w:color="000000"/>
            </w:tcBorders>
            <w:shd w:val="clear" w:color="auto" w:fill="auto"/>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30</w:t>
            </w:r>
          </w:p>
        </w:tc>
        <w:tc>
          <w:tcPr>
            <w:tcW w:w="720" w:type="pct"/>
            <w:tcBorders>
              <w:bottom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J4</w:t>
            </w:r>
          </w:p>
        </w:tc>
        <w:tc>
          <w:tcPr>
            <w:tcW w:w="634" w:type="pct"/>
            <w:tcBorders>
              <w:bottom w:val="single" w:sz="6" w:space="0" w:color="000000"/>
            </w:tcBorders>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3,682</w:t>
            </w:r>
          </w:p>
        </w:tc>
        <w:tc>
          <w:tcPr>
            <w:tcW w:w="1118" w:type="pct"/>
            <w:tcBorders>
              <w:bottom w:val="single" w:sz="6" w:space="0" w:color="000000"/>
            </w:tcBorders>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0,517</w:t>
            </w:r>
          </w:p>
        </w:tc>
        <w:tc>
          <w:tcPr>
            <w:tcW w:w="654" w:type="pct"/>
            <w:tcBorders>
              <w:bottom w:val="single" w:sz="6" w:space="0" w:color="000000"/>
            </w:tcBorders>
            <w:shd w:val="clear" w:color="auto" w:fill="auto"/>
            <w:noWrap/>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-1,218</w:t>
            </w:r>
          </w:p>
        </w:tc>
        <w:tc>
          <w:tcPr>
            <w:tcW w:w="729" w:type="pct"/>
            <w:tcBorders>
              <w:bottom w:val="single" w:sz="6" w:space="0" w:color="000000"/>
            </w:tcBorders>
            <w:shd w:val="clear" w:color="auto" w:fill="auto"/>
            <w:vAlign w:val="center"/>
            <w:hideMark/>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0,223</w:t>
            </w:r>
          </w:p>
        </w:tc>
        <w:tc>
          <w:tcPr>
            <w:tcW w:w="769" w:type="pct"/>
            <w:tcBorders>
              <w:bottom w:val="single" w:sz="6" w:space="0" w:color="000000"/>
            </w:tcBorders>
            <w:shd w:val="clear" w:color="auto" w:fill="auto"/>
            <w:noWrap/>
            <w:vAlign w:val="center"/>
          </w:tcPr>
          <w:p w:rsidR="00ED3BFE" w:rsidRPr="000D4D18" w:rsidRDefault="00ED3BFE" w:rsidP="00E45E48">
            <w:pPr>
              <w:tabs>
                <w:tab w:val="left" w:pos="567"/>
              </w:tabs>
              <w:spacing w:after="0" w:line="240" w:lineRule="auto"/>
              <w:ind w:left="193"/>
              <w:jc w:val="center"/>
              <w:rPr>
                <w:rFonts w:ascii="Times New Roman" w:eastAsia="Times New Roman" w:hAnsi="Times New Roman" w:cs="Times New Roman"/>
                <w:color w:val="000000"/>
                <w:sz w:val="18"/>
                <w:szCs w:val="18"/>
              </w:rPr>
            </w:pPr>
            <w:r w:rsidRPr="000D4D18">
              <w:rPr>
                <w:rFonts w:ascii="Times New Roman" w:eastAsia="Times New Roman" w:hAnsi="Times New Roman" w:cs="Times New Roman"/>
                <w:color w:val="000000"/>
                <w:sz w:val="18"/>
                <w:szCs w:val="18"/>
              </w:rPr>
              <w:t>103</w:t>
            </w:r>
          </w:p>
        </w:tc>
      </w:tr>
    </w:tbl>
    <w:p w:rsidR="000D4D18" w:rsidRDefault="000D4D18" w:rsidP="00AA3FF3">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p>
    <w:p w:rsidR="007045F6" w:rsidRDefault="00856DDD" w:rsidP="00AA3FF3">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sidR="00AA3FF3" w:rsidRPr="00AA3FF3">
        <w:rPr>
          <w:rFonts w:ascii="Times New Roman" w:eastAsia="Times New Roman" w:hAnsi="Times New Roman" w:cs="Times New Roman"/>
          <w:color w:val="000000"/>
        </w:rPr>
        <w:t xml:space="preserve">he case of multicollinearity, the inter-correlation among ten (10) items of competency analyzed in construction values ranged from 0.248 to 0.737. These results indicate that the discriminant validity of the competency variable is achieved because of the matrix value between correlations ≤0.90 </w:t>
      </w:r>
      <w:r w:rsidR="000D4D18">
        <w:rPr>
          <w:rFonts w:ascii="Times New Roman" w:eastAsia="Times New Roman" w:hAnsi="Times New Roman" w:cs="Times New Roman"/>
          <w:color w:val="000000"/>
        </w:rPr>
        <w:t>[23, 25]</w:t>
      </w:r>
      <w:r w:rsidR="000D4D18" w:rsidRPr="009C51B8">
        <w:rPr>
          <w:rFonts w:ascii="Times New Roman" w:eastAsia="Times New Roman" w:hAnsi="Times New Roman" w:cs="Times New Roman"/>
          <w:color w:val="000000"/>
        </w:rPr>
        <w:t>.</w:t>
      </w:r>
    </w:p>
    <w:p w:rsidR="000D4D18" w:rsidRDefault="000D4D18" w:rsidP="00AA3FF3">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p>
    <w:p w:rsidR="007045F6" w:rsidRPr="007045F6" w:rsidRDefault="007045F6" w:rsidP="0040124B">
      <w:pPr>
        <w:pStyle w:val="ListParagraph"/>
        <w:numPr>
          <w:ilvl w:val="1"/>
          <w:numId w:val="1"/>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i/>
          <w:color w:val="000000"/>
        </w:rPr>
      </w:pPr>
      <w:r w:rsidRPr="007045F6">
        <w:rPr>
          <w:rFonts w:ascii="Times New Roman" w:eastAsia="Times New Roman" w:hAnsi="Times New Roman" w:cs="Times New Roman"/>
          <w:i/>
          <w:color w:val="000000"/>
        </w:rPr>
        <w:t>Reliability of instrument</w:t>
      </w:r>
    </w:p>
    <w:p w:rsidR="00AA3FF3" w:rsidRDefault="0040124B" w:rsidP="0040124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0124B">
        <w:rPr>
          <w:rFonts w:ascii="Times New Roman" w:eastAsia="Times New Roman" w:hAnsi="Times New Roman" w:cs="Times New Roman"/>
          <w:color w:val="000000"/>
        </w:rPr>
        <w:t xml:space="preserve">Reliability is the stability and suitability of each score found </w:t>
      </w:r>
      <w:r w:rsidR="000D4D18">
        <w:rPr>
          <w:rFonts w:ascii="Times New Roman" w:eastAsia="Times New Roman" w:hAnsi="Times New Roman" w:cs="Times New Roman"/>
          <w:color w:val="000000"/>
        </w:rPr>
        <w:t>[22]</w:t>
      </w:r>
      <w:r w:rsidR="000D4D18" w:rsidRPr="009C51B8">
        <w:rPr>
          <w:rFonts w:ascii="Times New Roman" w:eastAsia="Times New Roman" w:hAnsi="Times New Roman" w:cs="Times New Roman"/>
          <w:color w:val="000000"/>
        </w:rPr>
        <w:t>.</w:t>
      </w:r>
      <w:r w:rsidRPr="0040124B">
        <w:rPr>
          <w:rFonts w:ascii="Times New Roman" w:eastAsia="Times New Roman" w:hAnsi="Times New Roman" w:cs="Times New Roman"/>
          <w:color w:val="000000"/>
        </w:rPr>
        <w:t>It is said to be reliable if the question items get the same and identical scores when the instrument is tested several clans an</w:t>
      </w:r>
      <w:r w:rsidR="00D32634">
        <w:rPr>
          <w:rFonts w:ascii="Times New Roman" w:eastAsia="Times New Roman" w:hAnsi="Times New Roman" w:cs="Times New Roman"/>
          <w:color w:val="000000"/>
        </w:rPr>
        <w:t xml:space="preserve">d in different times and places. </w:t>
      </w:r>
      <w:r w:rsidRPr="0040124B">
        <w:rPr>
          <w:rFonts w:ascii="Times New Roman" w:eastAsia="Times New Roman" w:hAnsi="Times New Roman" w:cs="Times New Roman"/>
          <w:color w:val="000000"/>
        </w:rPr>
        <w:t xml:space="preserve">The reliability value of an item is based on the Cronbach Alpha (CA) value </w:t>
      </w:r>
      <w:r w:rsidR="000D4D18">
        <w:rPr>
          <w:rFonts w:ascii="Times New Roman" w:eastAsia="Times New Roman" w:hAnsi="Times New Roman" w:cs="Times New Roman"/>
          <w:color w:val="000000"/>
        </w:rPr>
        <w:t>[21]</w:t>
      </w:r>
      <w:r w:rsidR="000D4D18" w:rsidRPr="009C51B8">
        <w:rPr>
          <w:rFonts w:ascii="Times New Roman" w:eastAsia="Times New Roman" w:hAnsi="Times New Roman" w:cs="Times New Roman"/>
          <w:color w:val="000000"/>
        </w:rPr>
        <w:t>.</w:t>
      </w:r>
      <w:r w:rsidRPr="0040124B">
        <w:rPr>
          <w:rFonts w:ascii="Times New Roman" w:eastAsia="Times New Roman" w:hAnsi="Times New Roman" w:cs="Times New Roman"/>
          <w:color w:val="000000"/>
        </w:rPr>
        <w:t xml:space="preserve">According to </w:t>
      </w:r>
      <w:r w:rsidR="000D4D18">
        <w:rPr>
          <w:rFonts w:ascii="Times New Roman" w:eastAsia="Times New Roman" w:hAnsi="Times New Roman" w:cs="Times New Roman"/>
          <w:color w:val="000000"/>
        </w:rPr>
        <w:t xml:space="preserve">[28], </w:t>
      </w:r>
      <w:r w:rsidRPr="0040124B">
        <w:rPr>
          <w:rFonts w:ascii="Times New Roman" w:eastAsia="Times New Roman" w:hAnsi="Times New Roman" w:cs="Times New Roman"/>
          <w:color w:val="000000"/>
        </w:rPr>
        <w:t>if the CA value ranges from 0,91&gt;x≤1,0 then the item is categorized very high, 0,71&gt;x≤0,90 is categorized high, 0,31&gt;x≤0,70 is categorized as moderate, and 0,00≥x≤0,30are categorized as low.</w:t>
      </w:r>
      <w:r w:rsidR="00856DDD">
        <w:rPr>
          <w:rFonts w:ascii="Times New Roman" w:eastAsia="Times New Roman" w:hAnsi="Times New Roman" w:cs="Times New Roman"/>
          <w:color w:val="000000"/>
        </w:rPr>
        <w:t xml:space="preserve"> </w:t>
      </w:r>
      <w:r w:rsidR="00856DDD" w:rsidRPr="00856DDD">
        <w:rPr>
          <w:rFonts w:ascii="Times New Roman" w:eastAsia="Times New Roman" w:hAnsi="Times New Roman" w:cs="Times New Roman"/>
          <w:color w:val="000000"/>
        </w:rPr>
        <w:t xml:space="preserve">The results of the instrument's reliability </w:t>
      </w:r>
      <w:r w:rsidR="00856DDD">
        <w:rPr>
          <w:rFonts w:ascii="Times New Roman" w:eastAsia="Times New Roman" w:hAnsi="Times New Roman" w:cs="Times New Roman"/>
          <w:color w:val="000000"/>
        </w:rPr>
        <w:t>are shown in Table 3</w:t>
      </w:r>
      <w:r w:rsidR="00856DDD" w:rsidRPr="00856DDD">
        <w:rPr>
          <w:rFonts w:ascii="Times New Roman" w:eastAsia="Times New Roman" w:hAnsi="Times New Roman" w:cs="Times New Roman"/>
          <w:color w:val="000000"/>
        </w:rPr>
        <w:t>.</w:t>
      </w:r>
    </w:p>
    <w:p w:rsidR="005B3250" w:rsidRDefault="005B3250" w:rsidP="0040124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DDD" w:rsidRDefault="00856DDD" w:rsidP="00856DDD">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856DDD">
        <w:rPr>
          <w:rFonts w:ascii="Times New Roman" w:eastAsia="Times New Roman" w:hAnsi="Times New Roman" w:cs="Times New Roman"/>
          <w:b/>
          <w:color w:val="000000"/>
        </w:rPr>
        <w:t>Table 3.</w:t>
      </w:r>
      <w:r w:rsidRPr="00856DDD">
        <w:rPr>
          <w:rFonts w:ascii="Times New Roman" w:eastAsia="Times New Roman" w:hAnsi="Times New Roman" w:cs="Times New Roman"/>
          <w:color w:val="000000"/>
        </w:rPr>
        <w:t xml:space="preserve"> Reliability analysis of competency items</w:t>
      </w:r>
    </w:p>
    <w:tbl>
      <w:tblPr>
        <w:tblW w:w="5000" w:type="pct"/>
        <w:jc w:val="center"/>
        <w:tblLook w:val="04A0" w:firstRow="1" w:lastRow="0" w:firstColumn="1" w:lastColumn="0" w:noHBand="0" w:noVBand="1"/>
      </w:tblPr>
      <w:tblGrid>
        <w:gridCol w:w="742"/>
        <w:gridCol w:w="5778"/>
        <w:gridCol w:w="642"/>
        <w:gridCol w:w="702"/>
        <w:gridCol w:w="1206"/>
      </w:tblGrid>
      <w:tr w:rsidR="00856DDD" w:rsidRPr="00CE5E7E" w:rsidTr="00D75DE5">
        <w:trPr>
          <w:trHeight w:val="20"/>
          <w:jc w:val="center"/>
        </w:trPr>
        <w:tc>
          <w:tcPr>
            <w:tcW w:w="409" w:type="pct"/>
            <w:tcBorders>
              <w:top w:val="single" w:sz="6" w:space="0" w:color="000000"/>
              <w:bottom w:val="single" w:sz="6" w:space="0" w:color="000000"/>
            </w:tcBorders>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No.</w:t>
            </w:r>
          </w:p>
        </w:tc>
        <w:tc>
          <w:tcPr>
            <w:tcW w:w="3184" w:type="pct"/>
            <w:tcBorders>
              <w:top w:val="single" w:sz="6" w:space="0" w:color="000000"/>
              <w:bottom w:val="single" w:sz="6" w:space="0" w:color="000000"/>
            </w:tcBorders>
            <w:shd w:val="clear" w:color="auto" w:fill="auto"/>
            <w:vAlign w:val="center"/>
          </w:tcPr>
          <w:p w:rsidR="00856DDD" w:rsidRPr="00CE5E7E" w:rsidRDefault="00856DDD" w:rsidP="00856DDD">
            <w:pPr>
              <w:tabs>
                <w:tab w:val="left" w:pos="567"/>
              </w:tabs>
              <w:spacing w:after="0" w:line="240" w:lineRule="auto"/>
              <w:ind w:left="193" w:right="266"/>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Competency Aspects</w:t>
            </w:r>
          </w:p>
        </w:tc>
        <w:tc>
          <w:tcPr>
            <w:tcW w:w="354" w:type="pct"/>
            <w:tcBorders>
              <w:top w:val="single" w:sz="6" w:space="0" w:color="000000"/>
              <w:bottom w:val="single" w:sz="6" w:space="0" w:color="000000"/>
            </w:tcBorders>
            <w:shd w:val="clear" w:color="auto" w:fill="auto"/>
            <w:vAlign w:val="center"/>
          </w:tcPr>
          <w:p w:rsidR="00856DDD" w:rsidRPr="00CE5E7E" w:rsidRDefault="00856DDD" w:rsidP="00D75DE5">
            <w:pPr>
              <w:tabs>
                <w:tab w:val="left" w:pos="567"/>
              </w:tabs>
              <w:spacing w:after="0" w:line="240" w:lineRule="auto"/>
              <w:ind w:left="26"/>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Item</w:t>
            </w:r>
          </w:p>
        </w:tc>
        <w:tc>
          <w:tcPr>
            <w:tcW w:w="387" w:type="pct"/>
            <w:tcBorders>
              <w:top w:val="single" w:sz="6" w:space="0" w:color="000000"/>
              <w:bottom w:val="single" w:sz="6" w:space="0" w:color="000000"/>
            </w:tcBorders>
            <w:shd w:val="clear" w:color="auto" w:fill="auto"/>
            <w:vAlign w:val="center"/>
          </w:tcPr>
          <w:p w:rsidR="00856DDD" w:rsidRPr="00CE5E7E" w:rsidRDefault="00856DDD" w:rsidP="00D75DE5">
            <w:pPr>
              <w:tabs>
                <w:tab w:val="left" w:pos="567"/>
              </w:tabs>
              <w:spacing w:after="0" w:line="240" w:lineRule="auto"/>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CA</w:t>
            </w:r>
          </w:p>
        </w:tc>
        <w:tc>
          <w:tcPr>
            <w:tcW w:w="665" w:type="pct"/>
            <w:tcBorders>
              <w:top w:val="single" w:sz="6" w:space="0" w:color="000000"/>
              <w:bottom w:val="single" w:sz="6" w:space="0" w:color="000000"/>
            </w:tcBorders>
            <w:shd w:val="clear" w:color="auto" w:fill="auto"/>
            <w:vAlign w:val="center"/>
          </w:tcPr>
          <w:p w:rsidR="00856DDD" w:rsidRPr="00CE5E7E" w:rsidRDefault="00856DDD" w:rsidP="00D75DE5">
            <w:pPr>
              <w:tabs>
                <w:tab w:val="left" w:pos="567"/>
              </w:tabs>
              <w:spacing w:after="0" w:line="240" w:lineRule="auto"/>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Overall CA</w:t>
            </w:r>
          </w:p>
        </w:tc>
      </w:tr>
      <w:tr w:rsidR="00856DDD" w:rsidRPr="00CE5E7E" w:rsidTr="00D75DE5">
        <w:trPr>
          <w:trHeight w:val="20"/>
          <w:jc w:val="center"/>
        </w:trPr>
        <w:tc>
          <w:tcPr>
            <w:tcW w:w="409" w:type="pct"/>
            <w:tcBorders>
              <w:top w:val="single" w:sz="6" w:space="0" w:color="000000"/>
            </w:tcBorders>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1</w:t>
            </w:r>
          </w:p>
        </w:tc>
        <w:tc>
          <w:tcPr>
            <w:tcW w:w="3184" w:type="pct"/>
            <w:tcBorders>
              <w:top w:val="single" w:sz="6" w:space="0" w:color="000000"/>
            </w:tcBorders>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General competence</w:t>
            </w:r>
          </w:p>
        </w:tc>
        <w:tc>
          <w:tcPr>
            <w:tcW w:w="354" w:type="pct"/>
            <w:tcBorders>
              <w:top w:val="single" w:sz="6" w:space="0" w:color="000000"/>
            </w:tcBorders>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tcBorders>
              <w:top w:val="single" w:sz="6" w:space="0" w:color="000000"/>
            </w:tcBorders>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0,761</w:t>
            </w:r>
          </w:p>
        </w:tc>
        <w:tc>
          <w:tcPr>
            <w:tcW w:w="665" w:type="pct"/>
            <w:vMerge w:val="restart"/>
            <w:tcBorders>
              <w:top w:val="single" w:sz="6" w:space="0" w:color="000000"/>
            </w:tcBorders>
            <w:shd w:val="clear" w:color="auto" w:fill="auto"/>
            <w:vAlign w:val="center"/>
          </w:tcPr>
          <w:p w:rsidR="00856DDD" w:rsidRPr="00CE5E7E" w:rsidRDefault="00856DDD" w:rsidP="00D75DE5">
            <w:pPr>
              <w:tabs>
                <w:tab w:val="left" w:pos="567"/>
              </w:tabs>
              <w:spacing w:after="0" w:line="240" w:lineRule="auto"/>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0,956</w:t>
            </w:r>
          </w:p>
        </w:tc>
      </w:tr>
      <w:tr w:rsidR="00856DDD" w:rsidRPr="00CE5E7E" w:rsidTr="00D75DE5">
        <w:trPr>
          <w:trHeight w:val="20"/>
          <w:jc w:val="center"/>
        </w:trPr>
        <w:tc>
          <w:tcPr>
            <w:tcW w:w="409" w:type="pct"/>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2</w:t>
            </w:r>
          </w:p>
        </w:tc>
        <w:tc>
          <w:tcPr>
            <w:tcW w:w="3184" w:type="pct"/>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Technical drawing competencies</w:t>
            </w:r>
          </w:p>
        </w:tc>
        <w:tc>
          <w:tcPr>
            <w:tcW w:w="354" w:type="pct"/>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0,698</w:t>
            </w:r>
          </w:p>
        </w:tc>
        <w:tc>
          <w:tcPr>
            <w:tcW w:w="665" w:type="pct"/>
            <w:vMerge/>
            <w:shd w:val="clear" w:color="auto" w:fill="auto"/>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p>
        </w:tc>
      </w:tr>
      <w:tr w:rsidR="00856DDD" w:rsidRPr="00CE5E7E" w:rsidTr="00D75DE5">
        <w:trPr>
          <w:trHeight w:val="20"/>
          <w:jc w:val="center"/>
        </w:trPr>
        <w:tc>
          <w:tcPr>
            <w:tcW w:w="409" w:type="pct"/>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184" w:type="pct"/>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Statically structures competence</w:t>
            </w:r>
          </w:p>
        </w:tc>
        <w:tc>
          <w:tcPr>
            <w:tcW w:w="354" w:type="pct"/>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0,769</w:t>
            </w:r>
          </w:p>
        </w:tc>
        <w:tc>
          <w:tcPr>
            <w:tcW w:w="665" w:type="pct"/>
            <w:vMerge/>
            <w:shd w:val="clear" w:color="auto" w:fill="auto"/>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p>
        </w:tc>
      </w:tr>
      <w:tr w:rsidR="00856DDD" w:rsidRPr="00CE5E7E" w:rsidTr="00D75DE5">
        <w:trPr>
          <w:trHeight w:val="20"/>
          <w:jc w:val="center"/>
        </w:trPr>
        <w:tc>
          <w:tcPr>
            <w:tcW w:w="409" w:type="pct"/>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4</w:t>
            </w:r>
          </w:p>
        </w:tc>
        <w:tc>
          <w:tcPr>
            <w:tcW w:w="3184" w:type="pct"/>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Basic building construction competencies</w:t>
            </w:r>
          </w:p>
        </w:tc>
        <w:tc>
          <w:tcPr>
            <w:tcW w:w="354" w:type="pct"/>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0,915</w:t>
            </w:r>
          </w:p>
        </w:tc>
        <w:tc>
          <w:tcPr>
            <w:tcW w:w="665" w:type="pct"/>
            <w:vMerge/>
            <w:shd w:val="clear" w:color="auto" w:fill="auto"/>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p>
        </w:tc>
      </w:tr>
      <w:tr w:rsidR="00856DDD" w:rsidRPr="00CE5E7E" w:rsidTr="00D75DE5">
        <w:trPr>
          <w:trHeight w:val="20"/>
          <w:jc w:val="center"/>
        </w:trPr>
        <w:tc>
          <w:tcPr>
            <w:tcW w:w="409" w:type="pct"/>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5</w:t>
            </w:r>
          </w:p>
        </w:tc>
        <w:tc>
          <w:tcPr>
            <w:tcW w:w="3184" w:type="pct"/>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Land measurement engineering competencies</w:t>
            </w:r>
          </w:p>
        </w:tc>
        <w:tc>
          <w:tcPr>
            <w:tcW w:w="354" w:type="pct"/>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0,865</w:t>
            </w:r>
          </w:p>
        </w:tc>
        <w:tc>
          <w:tcPr>
            <w:tcW w:w="665" w:type="pct"/>
            <w:vMerge/>
            <w:shd w:val="clear" w:color="auto" w:fill="auto"/>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p>
        </w:tc>
      </w:tr>
      <w:tr w:rsidR="00856DDD" w:rsidRPr="00CE5E7E" w:rsidTr="00D75DE5">
        <w:trPr>
          <w:trHeight w:val="20"/>
          <w:jc w:val="center"/>
        </w:trPr>
        <w:tc>
          <w:tcPr>
            <w:tcW w:w="409" w:type="pct"/>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6</w:t>
            </w:r>
          </w:p>
        </w:tc>
        <w:tc>
          <w:tcPr>
            <w:tcW w:w="3184" w:type="pct"/>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Software application and building interior design competencies</w:t>
            </w:r>
          </w:p>
        </w:tc>
        <w:tc>
          <w:tcPr>
            <w:tcW w:w="354" w:type="pct"/>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0,797</w:t>
            </w:r>
          </w:p>
        </w:tc>
        <w:tc>
          <w:tcPr>
            <w:tcW w:w="665" w:type="pct"/>
            <w:vMerge/>
            <w:shd w:val="clear" w:color="auto" w:fill="auto"/>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p>
        </w:tc>
      </w:tr>
      <w:tr w:rsidR="00856DDD" w:rsidRPr="00CE5E7E" w:rsidTr="00D75DE5">
        <w:trPr>
          <w:trHeight w:val="20"/>
          <w:jc w:val="center"/>
        </w:trPr>
        <w:tc>
          <w:tcPr>
            <w:tcW w:w="409" w:type="pct"/>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7</w:t>
            </w:r>
          </w:p>
        </w:tc>
        <w:tc>
          <w:tcPr>
            <w:tcW w:w="3184" w:type="pct"/>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Road and bridge construction competencies</w:t>
            </w:r>
          </w:p>
        </w:tc>
        <w:tc>
          <w:tcPr>
            <w:tcW w:w="354" w:type="pct"/>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0,909</w:t>
            </w:r>
          </w:p>
        </w:tc>
        <w:tc>
          <w:tcPr>
            <w:tcW w:w="665" w:type="pct"/>
            <w:vMerge/>
            <w:shd w:val="clear" w:color="auto" w:fill="auto"/>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p>
        </w:tc>
      </w:tr>
      <w:tr w:rsidR="00856DDD" w:rsidRPr="00CE5E7E" w:rsidTr="00D75DE5">
        <w:trPr>
          <w:trHeight w:val="20"/>
          <w:jc w:val="center"/>
        </w:trPr>
        <w:tc>
          <w:tcPr>
            <w:tcW w:w="409" w:type="pct"/>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8</w:t>
            </w:r>
          </w:p>
        </w:tc>
        <w:tc>
          <w:tcPr>
            <w:tcW w:w="3184" w:type="pct"/>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Estimated construction costs competencies</w:t>
            </w:r>
          </w:p>
        </w:tc>
        <w:tc>
          <w:tcPr>
            <w:tcW w:w="354" w:type="pct"/>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0,899</w:t>
            </w:r>
          </w:p>
        </w:tc>
        <w:tc>
          <w:tcPr>
            <w:tcW w:w="665" w:type="pct"/>
            <w:vMerge/>
            <w:shd w:val="clear" w:color="auto" w:fill="auto"/>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p>
        </w:tc>
      </w:tr>
      <w:tr w:rsidR="00856DDD" w:rsidRPr="00CE5E7E" w:rsidTr="00D75DE5">
        <w:trPr>
          <w:trHeight w:val="20"/>
          <w:jc w:val="center"/>
        </w:trPr>
        <w:tc>
          <w:tcPr>
            <w:tcW w:w="409" w:type="pct"/>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9</w:t>
            </w:r>
          </w:p>
        </w:tc>
        <w:tc>
          <w:tcPr>
            <w:tcW w:w="3184" w:type="pct"/>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Building construction and utility competencies</w:t>
            </w:r>
          </w:p>
        </w:tc>
        <w:tc>
          <w:tcPr>
            <w:tcW w:w="354" w:type="pct"/>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0,869</w:t>
            </w:r>
          </w:p>
        </w:tc>
        <w:tc>
          <w:tcPr>
            <w:tcW w:w="665" w:type="pct"/>
            <w:vMerge/>
            <w:shd w:val="clear" w:color="auto" w:fill="auto"/>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p>
        </w:tc>
      </w:tr>
      <w:tr w:rsidR="00856DDD" w:rsidRPr="00CE5E7E" w:rsidTr="00D75DE5">
        <w:trPr>
          <w:trHeight w:val="20"/>
          <w:jc w:val="center"/>
        </w:trPr>
        <w:tc>
          <w:tcPr>
            <w:tcW w:w="409" w:type="pct"/>
            <w:tcBorders>
              <w:bottom w:val="single" w:sz="6" w:space="0" w:color="000000"/>
            </w:tcBorders>
            <w:vAlign w:val="center"/>
          </w:tcPr>
          <w:p w:rsidR="00856DDD" w:rsidRPr="00CE5E7E" w:rsidRDefault="00856DDD" w:rsidP="00856DDD">
            <w:pPr>
              <w:tabs>
                <w:tab w:val="left" w:pos="567"/>
              </w:tabs>
              <w:spacing w:after="0" w:line="240" w:lineRule="auto"/>
              <w:ind w:left="193"/>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10</w:t>
            </w:r>
          </w:p>
        </w:tc>
        <w:tc>
          <w:tcPr>
            <w:tcW w:w="3184" w:type="pct"/>
            <w:tcBorders>
              <w:bottom w:val="single" w:sz="6" w:space="0" w:color="000000"/>
            </w:tcBorders>
            <w:shd w:val="clear" w:color="auto" w:fill="auto"/>
          </w:tcPr>
          <w:p w:rsidR="00856DDD" w:rsidRPr="00CE5E7E" w:rsidRDefault="00856DDD" w:rsidP="00856DDD">
            <w:pPr>
              <w:tabs>
                <w:tab w:val="left" w:pos="567"/>
              </w:tabs>
              <w:spacing w:after="0" w:line="240" w:lineRule="auto"/>
              <w:ind w:left="193"/>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Creative and entrepreneurship product competencies</w:t>
            </w:r>
          </w:p>
        </w:tc>
        <w:tc>
          <w:tcPr>
            <w:tcW w:w="354" w:type="pct"/>
            <w:tcBorders>
              <w:bottom w:val="single" w:sz="6" w:space="0" w:color="000000"/>
            </w:tcBorders>
            <w:shd w:val="clear" w:color="auto" w:fill="auto"/>
            <w:vAlign w:val="center"/>
          </w:tcPr>
          <w:p w:rsidR="00856DDD" w:rsidRPr="00CE5E7E" w:rsidRDefault="00856DDD" w:rsidP="00D75DE5">
            <w:pPr>
              <w:pStyle w:val="ListParagraph"/>
              <w:tabs>
                <w:tab w:val="left" w:pos="567"/>
              </w:tabs>
              <w:spacing w:after="0" w:line="240" w:lineRule="auto"/>
              <w:ind w:left="26"/>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3</w:t>
            </w:r>
          </w:p>
        </w:tc>
        <w:tc>
          <w:tcPr>
            <w:tcW w:w="387" w:type="pct"/>
            <w:tcBorders>
              <w:bottom w:val="single" w:sz="6" w:space="0" w:color="000000"/>
            </w:tcBorders>
            <w:shd w:val="clear" w:color="auto" w:fill="auto"/>
            <w:vAlign w:val="center"/>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r w:rsidRPr="00CE5E7E">
              <w:rPr>
                <w:rFonts w:ascii="Times New Roman" w:eastAsia="Times New Roman" w:hAnsi="Times New Roman" w:cs="Times New Roman"/>
                <w:color w:val="000000"/>
                <w:sz w:val="18"/>
                <w:szCs w:val="18"/>
              </w:rPr>
              <w:t>0,684</w:t>
            </w:r>
          </w:p>
        </w:tc>
        <w:tc>
          <w:tcPr>
            <w:tcW w:w="665" w:type="pct"/>
            <w:vMerge/>
            <w:tcBorders>
              <w:bottom w:val="single" w:sz="6" w:space="0" w:color="000000"/>
            </w:tcBorders>
            <w:shd w:val="clear" w:color="auto" w:fill="auto"/>
          </w:tcPr>
          <w:p w:rsidR="00856DDD" w:rsidRPr="00CE5E7E" w:rsidRDefault="00856DDD" w:rsidP="00D75DE5">
            <w:pPr>
              <w:pStyle w:val="ListParagraph"/>
              <w:tabs>
                <w:tab w:val="left" w:pos="567"/>
              </w:tabs>
              <w:spacing w:after="0" w:line="240" w:lineRule="auto"/>
              <w:ind w:left="0"/>
              <w:contextualSpacing w:val="0"/>
              <w:jc w:val="center"/>
              <w:rPr>
                <w:rFonts w:ascii="Times New Roman" w:eastAsia="Times New Roman" w:hAnsi="Times New Roman" w:cs="Times New Roman"/>
                <w:color w:val="000000"/>
                <w:sz w:val="18"/>
                <w:szCs w:val="18"/>
              </w:rPr>
            </w:pPr>
          </w:p>
        </w:tc>
      </w:tr>
    </w:tbl>
    <w:p w:rsidR="00856DDD" w:rsidRPr="00AD5D6C" w:rsidRDefault="00AD5D6C" w:rsidP="00AD5D6C">
      <w:pPr>
        <w:pStyle w:val="ListParagraph"/>
        <w:numPr>
          <w:ilvl w:val="1"/>
          <w:numId w:val="1"/>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i/>
          <w:color w:val="000000"/>
        </w:rPr>
      </w:pPr>
      <w:r w:rsidRPr="00AD5D6C">
        <w:rPr>
          <w:rFonts w:ascii="Times New Roman" w:eastAsia="Times New Roman" w:hAnsi="Times New Roman" w:cs="Times New Roman"/>
          <w:i/>
          <w:color w:val="000000"/>
        </w:rPr>
        <w:lastRenderedPageBreak/>
        <w:t>Exploratory Factor Analysis (EFA)</w:t>
      </w:r>
    </w:p>
    <w:p w:rsidR="00AD5D6C" w:rsidRDefault="00AD5D6C" w:rsidP="00AD5D6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AD5D6C">
        <w:rPr>
          <w:rFonts w:ascii="Times New Roman" w:eastAsia="Times New Roman" w:hAnsi="Times New Roman" w:cs="Times New Roman"/>
          <w:color w:val="000000"/>
        </w:rPr>
        <w:t>In this EFA test, the study considers testing items that have passed the multicollinearity and normality and reliability tests for each item. All 30 items that passed were included in 10 aspects of competency. EFA test criteria are based on KMO Index values, Bartlett's Test, Measure of Sampling Adequacy (MSA), communalities, factor loading, eigenvalues, and plot scree. The results of the KMO Measure of Sampling Adequacy obtained a value of 0.886 more than 0.70, then the coverage of each factor is satisfactory. Bartlett's Test of Sphericity Approx. Chi-Square obtained a value of 19</w:t>
      </w:r>
      <w:r>
        <w:rPr>
          <w:rFonts w:ascii="Times New Roman" w:eastAsia="Times New Roman" w:hAnsi="Times New Roman" w:cs="Times New Roman"/>
          <w:color w:val="000000"/>
        </w:rPr>
        <w:t xml:space="preserve">32,501; df = 35; Sig. = 0,000.  </w:t>
      </w:r>
      <w:r w:rsidRPr="00AD5D6C">
        <w:rPr>
          <w:rFonts w:ascii="Times New Roman" w:eastAsia="Times New Roman" w:hAnsi="Times New Roman" w:cs="Times New Roman"/>
          <w:color w:val="000000"/>
        </w:rPr>
        <w:t>Scree plot pattern to reduce variance to several factors. The point at which the slope of the line begins to change, that is where the limit of the number of factors that can take. This point is called the inflection point. In Figure 1, after the 10th point, the line begins to change in tilt and the variations explained are less and less. Thus it can reduce 30 items to 10 factors.</w:t>
      </w:r>
    </w:p>
    <w:p w:rsidR="00054E59" w:rsidRDefault="00054E59" w:rsidP="00AD5D6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AD5D6C" w:rsidRDefault="00054E59" w:rsidP="00054E5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C61A6D">
        <w:rPr>
          <w:noProof/>
          <w:lang w:val="id-ID"/>
        </w:rPr>
        <w:drawing>
          <wp:inline distT="0" distB="0" distL="0" distR="0" wp14:anchorId="2B67062C" wp14:editId="2A649722">
            <wp:extent cx="282944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t="6017"/>
                    <a:stretch>
                      <a:fillRect/>
                    </a:stretch>
                  </pic:blipFill>
                  <pic:spPr bwMode="auto">
                    <a:xfrm>
                      <a:off x="0" y="0"/>
                      <a:ext cx="2829440" cy="1800000"/>
                    </a:xfrm>
                    <a:prstGeom prst="rect">
                      <a:avLst/>
                    </a:prstGeom>
                    <a:noFill/>
                    <a:ln>
                      <a:noFill/>
                    </a:ln>
                  </pic:spPr>
                </pic:pic>
              </a:graphicData>
            </a:graphic>
          </wp:inline>
        </w:drawing>
      </w:r>
    </w:p>
    <w:p w:rsidR="00AD5D6C" w:rsidRDefault="00054E59" w:rsidP="00054E5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054E59">
        <w:rPr>
          <w:rFonts w:ascii="Times New Roman" w:eastAsia="Times New Roman" w:hAnsi="Times New Roman" w:cs="Times New Roman"/>
          <w:b/>
          <w:color w:val="000000"/>
        </w:rPr>
        <w:t>Figure 1.</w:t>
      </w:r>
      <w:r w:rsidRPr="00054E59">
        <w:rPr>
          <w:rFonts w:ascii="Times New Roman" w:eastAsia="Times New Roman" w:hAnsi="Times New Roman" w:cs="Times New Roman"/>
          <w:color w:val="000000"/>
        </w:rPr>
        <w:t xml:space="preserve"> Scree plot of achieving student competency framework</w:t>
      </w:r>
    </w:p>
    <w:p w:rsidR="006F0156" w:rsidRDefault="006F0156" w:rsidP="00EF7C67">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p>
    <w:p w:rsidR="00AD5D6C" w:rsidRDefault="00EF7C67" w:rsidP="00EF7C67">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EF7C67">
        <w:rPr>
          <w:rFonts w:ascii="Times New Roman" w:eastAsia="Times New Roman" w:hAnsi="Times New Roman" w:cs="Times New Roman"/>
          <w:color w:val="000000"/>
        </w:rPr>
        <w:t xml:space="preserve">The next step identifying the extraction of community values, eigenvalues, percentage variants, and loading factors is shown in Table </w:t>
      </w:r>
      <w:r>
        <w:rPr>
          <w:rFonts w:ascii="Times New Roman" w:eastAsia="Times New Roman" w:hAnsi="Times New Roman" w:cs="Times New Roman"/>
          <w:color w:val="000000"/>
        </w:rPr>
        <w:t>4</w:t>
      </w:r>
      <w:r w:rsidRPr="00EF7C67">
        <w:rPr>
          <w:rFonts w:ascii="Times New Roman" w:eastAsia="Times New Roman" w:hAnsi="Times New Roman" w:cs="Times New Roman"/>
          <w:color w:val="000000"/>
        </w:rPr>
        <w:t xml:space="preserve">. The value of communalities indicates the value of the variable under study whether it is able to explain the magnitude of the effective contribution (%) of each variant to the factor formed for each item. The communality value of each variant must be,50.50, if the communalities value is lacking, then the factors are not included in the CFA analysis </w:t>
      </w:r>
      <w:r w:rsidR="00D30F8E">
        <w:rPr>
          <w:rFonts w:ascii="Times New Roman" w:eastAsia="Times New Roman" w:hAnsi="Times New Roman" w:cs="Times New Roman"/>
          <w:color w:val="000000"/>
        </w:rPr>
        <w:t>[24, 25, 22]</w:t>
      </w:r>
      <w:r w:rsidRPr="00EF7C67">
        <w:rPr>
          <w:rFonts w:ascii="Times New Roman" w:eastAsia="Times New Roman" w:hAnsi="Times New Roman" w:cs="Times New Roman"/>
          <w:color w:val="000000"/>
        </w:rPr>
        <w:t>. The results of the communalities in this instrument range from 0.751 to 0.909 (≥0.50) can be categorized as adequate variants in the instrument. MSA values range from 0.709 to 0.961 (≥0.70). The rotated component matrix shows the loading factor on each factor. The results of data analysis, it is recommended for all items (30 items) to measure the level of competency achievement. This value is obtained from high loading factors ranging from 0.461 to 0.899 (&gt;0.40).</w:t>
      </w:r>
    </w:p>
    <w:p w:rsidR="00D75DE5" w:rsidRDefault="00D75DE5" w:rsidP="00EF7C67">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p>
    <w:p w:rsidR="00AD5D6C" w:rsidRPr="008F0F7C" w:rsidRDefault="00EF7C67" w:rsidP="00EF7C67">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8F0F7C">
        <w:rPr>
          <w:rFonts w:ascii="Times New Roman" w:eastAsia="Times New Roman" w:hAnsi="Times New Roman" w:cs="Times New Roman"/>
          <w:b/>
          <w:color w:val="000000"/>
        </w:rPr>
        <w:t>Table 4.</w:t>
      </w:r>
      <w:r w:rsidRPr="008F0F7C">
        <w:rPr>
          <w:rFonts w:ascii="Times New Roman" w:eastAsia="Times New Roman" w:hAnsi="Times New Roman" w:cs="Times New Roman"/>
          <w:color w:val="000000"/>
        </w:rPr>
        <w:t xml:space="preserve"> MSA, communalities, factor loading</w:t>
      </w:r>
    </w:p>
    <w:tbl>
      <w:tblPr>
        <w:tblW w:w="5000" w:type="pct"/>
        <w:jc w:val="center"/>
        <w:tblLook w:val="04A0" w:firstRow="1" w:lastRow="0" w:firstColumn="1" w:lastColumn="0" w:noHBand="0" w:noVBand="1"/>
      </w:tblPr>
      <w:tblGrid>
        <w:gridCol w:w="581"/>
        <w:gridCol w:w="597"/>
        <w:gridCol w:w="639"/>
        <w:gridCol w:w="811"/>
        <w:gridCol w:w="644"/>
        <w:gridCol w:w="644"/>
        <w:gridCol w:w="644"/>
        <w:gridCol w:w="644"/>
        <w:gridCol w:w="644"/>
        <w:gridCol w:w="644"/>
        <w:gridCol w:w="644"/>
        <w:gridCol w:w="644"/>
        <w:gridCol w:w="644"/>
        <w:gridCol w:w="646"/>
      </w:tblGrid>
      <w:tr w:rsidR="00EF7C67" w:rsidRPr="00EF7C67" w:rsidTr="00D75DE5">
        <w:trPr>
          <w:trHeight w:val="20"/>
          <w:tblHeader/>
          <w:jc w:val="center"/>
        </w:trPr>
        <w:tc>
          <w:tcPr>
            <w:tcW w:w="320" w:type="pct"/>
            <w:vMerge w:val="restart"/>
            <w:tcBorders>
              <w:top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Var.</w:t>
            </w:r>
          </w:p>
        </w:tc>
        <w:tc>
          <w:tcPr>
            <w:tcW w:w="329" w:type="pct"/>
            <w:vMerge w:val="restar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Item</w:t>
            </w:r>
          </w:p>
        </w:tc>
        <w:tc>
          <w:tcPr>
            <w:tcW w:w="352" w:type="pct"/>
            <w:vMerge w:val="restar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MSA</w:t>
            </w:r>
          </w:p>
        </w:tc>
        <w:tc>
          <w:tcPr>
            <w:tcW w:w="447" w:type="pct"/>
            <w:vMerge w:val="restar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Comm.</w:t>
            </w:r>
          </w:p>
        </w:tc>
        <w:tc>
          <w:tcPr>
            <w:tcW w:w="3551" w:type="pct"/>
            <w:gridSpan w:val="10"/>
            <w:tcBorders>
              <w:top w:val="single" w:sz="6" w:space="0" w:color="000000"/>
              <w:bottom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Factor Loading</w:t>
            </w:r>
          </w:p>
        </w:tc>
      </w:tr>
      <w:tr w:rsidR="00EF7C67" w:rsidRPr="00EF7C67" w:rsidTr="00D75DE5">
        <w:trPr>
          <w:trHeight w:val="20"/>
          <w:tblHeader/>
          <w:jc w:val="center"/>
        </w:trPr>
        <w:tc>
          <w:tcPr>
            <w:tcW w:w="320" w:type="pct"/>
            <w:vMerge/>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29" w:type="pct"/>
            <w:vMerge/>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2" w:type="pct"/>
            <w:vMerge/>
            <w:vAlign w:val="center"/>
            <w:hideMark/>
          </w:tcPr>
          <w:p w:rsidR="00EF7C67" w:rsidRPr="00EF7C67" w:rsidRDefault="00EF7C67" w:rsidP="004E251F">
            <w:pPr>
              <w:spacing w:after="0"/>
              <w:jc w:val="center"/>
              <w:rPr>
                <w:rFonts w:ascii="Times New Roman" w:hAnsi="Times New Roman" w:cs="Times New Roman"/>
                <w:sz w:val="18"/>
                <w:szCs w:val="20"/>
              </w:rPr>
            </w:pPr>
          </w:p>
        </w:tc>
        <w:tc>
          <w:tcPr>
            <w:tcW w:w="447" w:type="pct"/>
            <w:vMerge/>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1" w:type="pct"/>
            <w:gridSpan w:val="10"/>
            <w:tcBorders>
              <w:top w:val="single" w:sz="6" w:space="0" w:color="000000"/>
              <w:bottom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Components</w:t>
            </w:r>
          </w:p>
        </w:tc>
      </w:tr>
      <w:tr w:rsidR="00EF7C67" w:rsidRPr="00EF7C67" w:rsidTr="00D75DE5">
        <w:trPr>
          <w:trHeight w:val="20"/>
          <w:tblHeader/>
          <w:jc w:val="center"/>
        </w:trPr>
        <w:tc>
          <w:tcPr>
            <w:tcW w:w="320" w:type="pct"/>
            <w:vMerge/>
            <w:tcBorders>
              <w:bottom w:val="single" w:sz="6" w:space="0" w:color="000000"/>
            </w:tcBorders>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29" w:type="pct"/>
            <w:vMerge/>
            <w:tcBorders>
              <w:bottom w:val="single" w:sz="6" w:space="0" w:color="000000"/>
            </w:tcBorders>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2" w:type="pct"/>
            <w:vMerge/>
            <w:tcBorders>
              <w:bottom w:val="single" w:sz="6" w:space="0" w:color="000000"/>
            </w:tcBorders>
            <w:vAlign w:val="center"/>
            <w:hideMark/>
          </w:tcPr>
          <w:p w:rsidR="00EF7C67" w:rsidRPr="00EF7C67" w:rsidRDefault="00EF7C67" w:rsidP="004E251F">
            <w:pPr>
              <w:spacing w:after="0"/>
              <w:jc w:val="center"/>
              <w:rPr>
                <w:rFonts w:ascii="Times New Roman" w:hAnsi="Times New Roman" w:cs="Times New Roman"/>
                <w:sz w:val="18"/>
                <w:szCs w:val="20"/>
              </w:rPr>
            </w:pPr>
          </w:p>
        </w:tc>
        <w:tc>
          <w:tcPr>
            <w:tcW w:w="447" w:type="pct"/>
            <w:vMerge/>
            <w:tcBorders>
              <w:bottom w:val="single" w:sz="6" w:space="0" w:color="000000"/>
            </w:tcBorders>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tcBorders>
              <w:top w:val="single" w:sz="6" w:space="0" w:color="000000"/>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1</w:t>
            </w:r>
          </w:p>
        </w:tc>
        <w:tc>
          <w:tcPr>
            <w:tcW w:w="355" w:type="pct"/>
            <w:tcBorders>
              <w:top w:val="single" w:sz="6" w:space="0" w:color="000000"/>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2</w:t>
            </w:r>
          </w:p>
        </w:tc>
        <w:tc>
          <w:tcPr>
            <w:tcW w:w="355" w:type="pct"/>
            <w:tcBorders>
              <w:top w:val="single" w:sz="6" w:space="0" w:color="000000"/>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3</w:t>
            </w:r>
          </w:p>
        </w:tc>
        <w:tc>
          <w:tcPr>
            <w:tcW w:w="355" w:type="pct"/>
            <w:tcBorders>
              <w:top w:val="single" w:sz="6" w:space="0" w:color="000000"/>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4</w:t>
            </w:r>
          </w:p>
        </w:tc>
        <w:tc>
          <w:tcPr>
            <w:tcW w:w="355" w:type="pct"/>
            <w:tcBorders>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5</w:t>
            </w:r>
          </w:p>
        </w:tc>
        <w:tc>
          <w:tcPr>
            <w:tcW w:w="355" w:type="pct"/>
            <w:tcBorders>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6</w:t>
            </w:r>
          </w:p>
        </w:tc>
        <w:tc>
          <w:tcPr>
            <w:tcW w:w="355" w:type="pct"/>
            <w:tcBorders>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7</w:t>
            </w:r>
          </w:p>
        </w:tc>
        <w:tc>
          <w:tcPr>
            <w:tcW w:w="355" w:type="pct"/>
            <w:tcBorders>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8</w:t>
            </w:r>
          </w:p>
        </w:tc>
        <w:tc>
          <w:tcPr>
            <w:tcW w:w="355" w:type="pct"/>
            <w:tcBorders>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9</w:t>
            </w:r>
          </w:p>
        </w:tc>
        <w:tc>
          <w:tcPr>
            <w:tcW w:w="356" w:type="pct"/>
            <w:tcBorders>
              <w:top w:val="single" w:sz="6" w:space="0" w:color="000000"/>
              <w:bottom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10</w:t>
            </w:r>
          </w:p>
        </w:tc>
      </w:tr>
      <w:tr w:rsidR="00EF7C67" w:rsidRPr="00EF7C67" w:rsidTr="00D75DE5">
        <w:trPr>
          <w:trHeight w:val="20"/>
          <w:jc w:val="center"/>
        </w:trPr>
        <w:tc>
          <w:tcPr>
            <w:tcW w:w="320" w:type="pct"/>
            <w:vMerge w:val="restar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A</w:t>
            </w:r>
          </w:p>
        </w:tc>
        <w:tc>
          <w:tcPr>
            <w:tcW w:w="329" w:type="pc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A1</w:t>
            </w:r>
          </w:p>
        </w:tc>
        <w:tc>
          <w:tcPr>
            <w:tcW w:w="352" w:type="pct"/>
            <w:tcBorders>
              <w:top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,741a</w:t>
            </w:r>
          </w:p>
        </w:tc>
        <w:tc>
          <w:tcPr>
            <w:tcW w:w="447" w:type="pct"/>
            <w:tcBorders>
              <w:top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0,751</w:t>
            </w:r>
          </w:p>
        </w:tc>
        <w:tc>
          <w:tcPr>
            <w:tcW w:w="355" w:type="pct"/>
            <w:tcBorders>
              <w:top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tcBorders>
              <w:top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tcBorders>
              <w:top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0,828</w:t>
            </w:r>
          </w:p>
        </w:tc>
        <w:tc>
          <w:tcPr>
            <w:tcW w:w="355" w:type="pc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tcBorders>
              <w:top w:val="single" w:sz="6" w:space="0" w:color="000000"/>
            </w:tcBorders>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6" w:type="pct"/>
            <w:tcBorders>
              <w:top w:val="single" w:sz="6" w:space="0" w:color="000000"/>
            </w:tcBorders>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r>
      <w:tr w:rsidR="00EF7C67" w:rsidRPr="00EF7C67" w:rsidTr="00D75DE5">
        <w:trPr>
          <w:trHeight w:val="20"/>
          <w:jc w:val="center"/>
        </w:trPr>
        <w:tc>
          <w:tcPr>
            <w:tcW w:w="320" w:type="pct"/>
            <w:vMerge/>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29"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A2</w:t>
            </w:r>
          </w:p>
        </w:tc>
        <w:tc>
          <w:tcPr>
            <w:tcW w:w="352"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,709a</w:t>
            </w:r>
          </w:p>
        </w:tc>
        <w:tc>
          <w:tcPr>
            <w:tcW w:w="447"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0,770</w:t>
            </w: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0,760</w:t>
            </w: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6"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r>
      <w:tr w:rsidR="00EF7C67" w:rsidRPr="00EF7C67" w:rsidTr="00D75DE5">
        <w:trPr>
          <w:trHeight w:val="20"/>
          <w:jc w:val="center"/>
        </w:trPr>
        <w:tc>
          <w:tcPr>
            <w:tcW w:w="320" w:type="pct"/>
            <w:vMerge/>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29"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A5</w:t>
            </w:r>
          </w:p>
        </w:tc>
        <w:tc>
          <w:tcPr>
            <w:tcW w:w="352"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,795a</w:t>
            </w:r>
          </w:p>
        </w:tc>
        <w:tc>
          <w:tcPr>
            <w:tcW w:w="447"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0,717</w:t>
            </w: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0,772</w:t>
            </w: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6"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r>
      <w:tr w:rsidR="00EF7C67" w:rsidRPr="00EF7C67" w:rsidTr="00D75DE5">
        <w:trPr>
          <w:trHeight w:val="20"/>
          <w:jc w:val="center"/>
        </w:trPr>
        <w:tc>
          <w:tcPr>
            <w:tcW w:w="320" w:type="pct"/>
            <w:vMerge w:val="restar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B</w:t>
            </w:r>
          </w:p>
        </w:tc>
        <w:tc>
          <w:tcPr>
            <w:tcW w:w="329"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B3</w:t>
            </w:r>
          </w:p>
        </w:tc>
        <w:tc>
          <w:tcPr>
            <w:tcW w:w="352"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,821a</w:t>
            </w:r>
          </w:p>
        </w:tc>
        <w:tc>
          <w:tcPr>
            <w:tcW w:w="447"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0,888</w:t>
            </w: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0,899</w:t>
            </w: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6"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r>
      <w:tr w:rsidR="00EF7C67" w:rsidRPr="00EF7C67" w:rsidTr="00D75DE5">
        <w:trPr>
          <w:trHeight w:val="20"/>
          <w:jc w:val="center"/>
        </w:trPr>
        <w:tc>
          <w:tcPr>
            <w:tcW w:w="320" w:type="pct"/>
            <w:vMerge/>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29"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B4</w:t>
            </w:r>
          </w:p>
        </w:tc>
        <w:tc>
          <w:tcPr>
            <w:tcW w:w="352"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,861a</w:t>
            </w:r>
          </w:p>
        </w:tc>
        <w:tc>
          <w:tcPr>
            <w:tcW w:w="447"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0,820</w:t>
            </w: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0,739</w:t>
            </w: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6"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r>
      <w:tr w:rsidR="00EF7C67" w:rsidRPr="00EF7C67" w:rsidTr="00D75DE5">
        <w:trPr>
          <w:trHeight w:val="20"/>
          <w:jc w:val="center"/>
        </w:trPr>
        <w:tc>
          <w:tcPr>
            <w:tcW w:w="320" w:type="pct"/>
            <w:vMerge/>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29"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B5</w:t>
            </w:r>
          </w:p>
        </w:tc>
        <w:tc>
          <w:tcPr>
            <w:tcW w:w="352"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,813a</w:t>
            </w:r>
          </w:p>
        </w:tc>
        <w:tc>
          <w:tcPr>
            <w:tcW w:w="447"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0,870</w:t>
            </w: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0,837</w:t>
            </w: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6"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r>
      <w:tr w:rsidR="00EF7C67" w:rsidRPr="00EF7C67" w:rsidTr="00D75DE5">
        <w:trPr>
          <w:trHeight w:val="20"/>
          <w:jc w:val="center"/>
        </w:trPr>
        <w:tc>
          <w:tcPr>
            <w:tcW w:w="320" w:type="pct"/>
            <w:vMerge w:val="restar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C</w:t>
            </w:r>
          </w:p>
        </w:tc>
        <w:tc>
          <w:tcPr>
            <w:tcW w:w="329"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C2</w:t>
            </w:r>
          </w:p>
        </w:tc>
        <w:tc>
          <w:tcPr>
            <w:tcW w:w="352"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,882a</w:t>
            </w:r>
          </w:p>
        </w:tc>
        <w:tc>
          <w:tcPr>
            <w:tcW w:w="447"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0,784</w:t>
            </w: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0,501</w:t>
            </w:r>
          </w:p>
        </w:tc>
        <w:tc>
          <w:tcPr>
            <w:tcW w:w="356"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r>
      <w:tr w:rsidR="00EF7C67" w:rsidRPr="00EF7C67" w:rsidTr="00CE5E7E">
        <w:trPr>
          <w:trHeight w:val="20"/>
          <w:jc w:val="center"/>
        </w:trPr>
        <w:tc>
          <w:tcPr>
            <w:tcW w:w="320" w:type="pct"/>
            <w:vMerge/>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29"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C4</w:t>
            </w:r>
          </w:p>
        </w:tc>
        <w:tc>
          <w:tcPr>
            <w:tcW w:w="352"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,926a</w:t>
            </w:r>
          </w:p>
        </w:tc>
        <w:tc>
          <w:tcPr>
            <w:tcW w:w="447"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0,782</w:t>
            </w: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c>
          <w:tcPr>
            <w:tcW w:w="355" w:type="pct"/>
            <w:shd w:val="clear" w:color="000000" w:fill="FFFFFF"/>
            <w:noWrap/>
            <w:vAlign w:val="center"/>
            <w:hideMark/>
          </w:tcPr>
          <w:p w:rsidR="00EF7C67" w:rsidRPr="00EF7C67" w:rsidRDefault="00EF7C67" w:rsidP="004E251F">
            <w:pPr>
              <w:spacing w:after="0"/>
              <w:jc w:val="center"/>
              <w:rPr>
                <w:rFonts w:ascii="Times New Roman" w:hAnsi="Times New Roman" w:cs="Times New Roman"/>
                <w:sz w:val="18"/>
                <w:szCs w:val="20"/>
              </w:rPr>
            </w:pPr>
            <w:r w:rsidRPr="00EF7C67">
              <w:rPr>
                <w:rFonts w:ascii="Times New Roman" w:hAnsi="Times New Roman" w:cs="Times New Roman"/>
                <w:sz w:val="18"/>
                <w:szCs w:val="20"/>
              </w:rPr>
              <w:t>0,558</w:t>
            </w:r>
          </w:p>
        </w:tc>
        <w:tc>
          <w:tcPr>
            <w:tcW w:w="356" w:type="pct"/>
            <w:shd w:val="clear" w:color="000000" w:fill="FFFFFF"/>
            <w:vAlign w:val="center"/>
            <w:hideMark/>
          </w:tcPr>
          <w:p w:rsidR="00EF7C67" w:rsidRPr="00EF7C67" w:rsidRDefault="00EF7C67" w:rsidP="004E251F">
            <w:pPr>
              <w:spacing w:after="0"/>
              <w:jc w:val="center"/>
              <w:rPr>
                <w:rFonts w:ascii="Times New Roman" w:hAnsi="Times New Roman" w:cs="Times New Roman"/>
                <w:sz w:val="18"/>
                <w:szCs w:val="20"/>
              </w:rPr>
            </w:pPr>
          </w:p>
        </w:tc>
      </w:tr>
      <w:tr w:rsidR="00CE5E7E" w:rsidRPr="00EF7C67" w:rsidTr="006A7646">
        <w:trPr>
          <w:trHeight w:val="20"/>
          <w:jc w:val="center"/>
        </w:trPr>
        <w:tc>
          <w:tcPr>
            <w:tcW w:w="320" w:type="pct"/>
            <w:vMerge w:val="restart"/>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D</w:t>
            </w:r>
          </w:p>
        </w:tc>
        <w:tc>
          <w:tcPr>
            <w:tcW w:w="329" w:type="pct"/>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D1</w:t>
            </w:r>
          </w:p>
        </w:tc>
        <w:tc>
          <w:tcPr>
            <w:tcW w:w="352"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,939a</w:t>
            </w:r>
          </w:p>
        </w:tc>
        <w:tc>
          <w:tcPr>
            <w:tcW w:w="447"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0,767</w:t>
            </w: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0,705</w:t>
            </w: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r>
      <w:tr w:rsidR="00CE5E7E" w:rsidRPr="00EF7C67" w:rsidTr="006A7646">
        <w:trPr>
          <w:trHeight w:val="20"/>
          <w:jc w:val="center"/>
        </w:trPr>
        <w:tc>
          <w:tcPr>
            <w:tcW w:w="320" w:type="pct"/>
            <w:vMerge/>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D2</w:t>
            </w:r>
          </w:p>
        </w:tc>
        <w:tc>
          <w:tcPr>
            <w:tcW w:w="352"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,878a</w:t>
            </w:r>
          </w:p>
        </w:tc>
        <w:tc>
          <w:tcPr>
            <w:tcW w:w="447"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0,909</w:t>
            </w: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0,794</w:t>
            </w: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r>
      <w:tr w:rsidR="00CE5E7E" w:rsidRPr="00EF7C67" w:rsidTr="00CE5E7E">
        <w:trPr>
          <w:trHeight w:val="20"/>
          <w:jc w:val="center"/>
        </w:trPr>
        <w:tc>
          <w:tcPr>
            <w:tcW w:w="320" w:type="pct"/>
            <w:vMerge/>
            <w:tcBorders>
              <w:bottom w:val="single" w:sz="4" w:space="0" w:color="000000"/>
            </w:tcBorders>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29" w:type="pct"/>
            <w:tcBorders>
              <w:bottom w:val="single" w:sz="4" w:space="0" w:color="000000"/>
            </w:tcBorders>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D5</w:t>
            </w:r>
          </w:p>
        </w:tc>
        <w:tc>
          <w:tcPr>
            <w:tcW w:w="352" w:type="pct"/>
            <w:tcBorders>
              <w:bottom w:val="single" w:sz="4" w:space="0" w:color="000000"/>
            </w:tcBorders>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,873a</w:t>
            </w:r>
          </w:p>
        </w:tc>
        <w:tc>
          <w:tcPr>
            <w:tcW w:w="447" w:type="pct"/>
            <w:tcBorders>
              <w:bottom w:val="single" w:sz="4" w:space="0" w:color="000000"/>
            </w:tcBorders>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0,880</w:t>
            </w:r>
          </w:p>
        </w:tc>
        <w:tc>
          <w:tcPr>
            <w:tcW w:w="355" w:type="pct"/>
            <w:tcBorders>
              <w:bottom w:val="single" w:sz="4" w:space="0" w:color="000000"/>
            </w:tcBorders>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0,850</w:t>
            </w:r>
          </w:p>
        </w:tc>
        <w:tc>
          <w:tcPr>
            <w:tcW w:w="355" w:type="pct"/>
            <w:tcBorders>
              <w:bottom w:val="single" w:sz="4" w:space="0" w:color="000000"/>
            </w:tcBorders>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tcBorders>
              <w:bottom w:val="single" w:sz="4" w:space="0" w:color="000000"/>
            </w:tcBorders>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tcBorders>
              <w:bottom w:val="single" w:sz="4" w:space="0" w:color="000000"/>
            </w:tcBorders>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tcBorders>
              <w:bottom w:val="single" w:sz="4" w:space="0" w:color="000000"/>
            </w:tcBorders>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tcBorders>
              <w:bottom w:val="single" w:sz="4" w:space="0" w:color="000000"/>
            </w:tcBorders>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tcBorders>
              <w:bottom w:val="single" w:sz="4" w:space="0" w:color="000000"/>
            </w:tcBorders>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tcBorders>
              <w:bottom w:val="single" w:sz="4" w:space="0" w:color="000000"/>
            </w:tcBorders>
            <w:shd w:val="clear" w:color="000000" w:fill="FFFFFF"/>
            <w:noWrap/>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5" w:type="pct"/>
            <w:tcBorders>
              <w:bottom w:val="single" w:sz="4" w:space="0" w:color="000000"/>
            </w:tcBorders>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p>
        </w:tc>
        <w:tc>
          <w:tcPr>
            <w:tcW w:w="356" w:type="pct"/>
            <w:tcBorders>
              <w:bottom w:val="single" w:sz="4" w:space="0" w:color="000000"/>
            </w:tcBorders>
            <w:shd w:val="clear" w:color="000000" w:fill="FFFFFF"/>
            <w:vAlign w:val="center"/>
            <w:hideMark/>
          </w:tcPr>
          <w:p w:rsidR="00CE5E7E" w:rsidRPr="00EF7C67" w:rsidRDefault="00CE5E7E" w:rsidP="006A7646">
            <w:pPr>
              <w:spacing w:after="0"/>
              <w:jc w:val="center"/>
              <w:rPr>
                <w:rFonts w:ascii="Times New Roman" w:hAnsi="Times New Roman" w:cs="Times New Roman"/>
                <w:sz w:val="18"/>
                <w:szCs w:val="20"/>
              </w:rPr>
            </w:pPr>
          </w:p>
        </w:tc>
      </w:tr>
    </w:tbl>
    <w:p w:rsidR="00D75DE5" w:rsidRPr="008F0F7C" w:rsidRDefault="00D75DE5" w:rsidP="00D75DE5">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8F0F7C">
        <w:rPr>
          <w:rFonts w:ascii="Times New Roman" w:eastAsia="Times New Roman" w:hAnsi="Times New Roman" w:cs="Times New Roman"/>
          <w:b/>
          <w:color w:val="000000"/>
        </w:rPr>
        <w:lastRenderedPageBreak/>
        <w:t>Table 4.</w:t>
      </w:r>
      <w:r w:rsidRPr="008F0F7C">
        <w:rPr>
          <w:rFonts w:ascii="Times New Roman" w:eastAsia="Times New Roman" w:hAnsi="Times New Roman" w:cs="Times New Roman"/>
          <w:color w:val="000000"/>
        </w:rPr>
        <w:t xml:space="preserve"> MSA, communalities, factor loading</w:t>
      </w:r>
      <w:r>
        <w:rPr>
          <w:rFonts w:ascii="Times New Roman" w:eastAsia="Times New Roman" w:hAnsi="Times New Roman" w:cs="Times New Roman"/>
          <w:color w:val="000000"/>
        </w:rPr>
        <w:t xml:space="preserve"> - continue</w:t>
      </w:r>
    </w:p>
    <w:tbl>
      <w:tblPr>
        <w:tblW w:w="5000" w:type="pct"/>
        <w:jc w:val="center"/>
        <w:tblLook w:val="04A0" w:firstRow="1" w:lastRow="0" w:firstColumn="1" w:lastColumn="0" w:noHBand="0" w:noVBand="1"/>
      </w:tblPr>
      <w:tblGrid>
        <w:gridCol w:w="581"/>
        <w:gridCol w:w="597"/>
        <w:gridCol w:w="639"/>
        <w:gridCol w:w="811"/>
        <w:gridCol w:w="644"/>
        <w:gridCol w:w="644"/>
        <w:gridCol w:w="644"/>
        <w:gridCol w:w="644"/>
        <w:gridCol w:w="644"/>
        <w:gridCol w:w="644"/>
        <w:gridCol w:w="644"/>
        <w:gridCol w:w="644"/>
        <w:gridCol w:w="644"/>
        <w:gridCol w:w="646"/>
      </w:tblGrid>
      <w:tr w:rsidR="00D75DE5" w:rsidRPr="00EF7C67" w:rsidTr="00D75DE5">
        <w:trPr>
          <w:trHeight w:val="20"/>
          <w:tblHeader/>
          <w:jc w:val="center"/>
        </w:trPr>
        <w:tc>
          <w:tcPr>
            <w:tcW w:w="320" w:type="pct"/>
            <w:vMerge w:val="restart"/>
            <w:tcBorders>
              <w:top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Var.</w:t>
            </w:r>
          </w:p>
        </w:tc>
        <w:tc>
          <w:tcPr>
            <w:tcW w:w="329" w:type="pct"/>
            <w:vMerge w:val="restart"/>
            <w:tcBorders>
              <w:top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Item</w:t>
            </w:r>
          </w:p>
        </w:tc>
        <w:tc>
          <w:tcPr>
            <w:tcW w:w="352" w:type="pct"/>
            <w:vMerge w:val="restart"/>
            <w:tcBorders>
              <w:top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MSA</w:t>
            </w:r>
          </w:p>
        </w:tc>
        <w:tc>
          <w:tcPr>
            <w:tcW w:w="447" w:type="pct"/>
            <w:vMerge w:val="restart"/>
            <w:tcBorders>
              <w:top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Comm.</w:t>
            </w:r>
          </w:p>
        </w:tc>
        <w:tc>
          <w:tcPr>
            <w:tcW w:w="3551" w:type="pct"/>
            <w:gridSpan w:val="10"/>
            <w:tcBorders>
              <w:top w:val="single" w:sz="6" w:space="0" w:color="000000"/>
              <w:bottom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Factor Loading</w:t>
            </w:r>
          </w:p>
        </w:tc>
      </w:tr>
      <w:tr w:rsidR="00D75DE5" w:rsidRPr="00EF7C67" w:rsidTr="00D75DE5">
        <w:trPr>
          <w:trHeight w:val="20"/>
          <w:tblHeader/>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2"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447"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1" w:type="pct"/>
            <w:gridSpan w:val="10"/>
            <w:tcBorders>
              <w:top w:val="single" w:sz="6" w:space="0" w:color="000000"/>
              <w:bottom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Components</w:t>
            </w:r>
          </w:p>
        </w:tc>
      </w:tr>
      <w:tr w:rsidR="00D75DE5" w:rsidRPr="00EF7C67" w:rsidTr="00D75DE5">
        <w:trPr>
          <w:trHeight w:val="20"/>
          <w:tblHeader/>
          <w:jc w:val="center"/>
        </w:trPr>
        <w:tc>
          <w:tcPr>
            <w:tcW w:w="320" w:type="pct"/>
            <w:vMerge/>
            <w:tcBorders>
              <w:bottom w:val="single" w:sz="6" w:space="0" w:color="000000"/>
            </w:tcBorders>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vMerge/>
            <w:tcBorders>
              <w:bottom w:val="single" w:sz="6" w:space="0" w:color="000000"/>
            </w:tcBorders>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2" w:type="pct"/>
            <w:vMerge/>
            <w:tcBorders>
              <w:bottom w:val="single" w:sz="6" w:space="0" w:color="000000"/>
            </w:tcBorders>
            <w:vAlign w:val="center"/>
            <w:hideMark/>
          </w:tcPr>
          <w:p w:rsidR="00D75DE5" w:rsidRPr="00EF7C67" w:rsidRDefault="00D75DE5" w:rsidP="006A7646">
            <w:pPr>
              <w:spacing w:after="0"/>
              <w:jc w:val="center"/>
              <w:rPr>
                <w:rFonts w:ascii="Times New Roman" w:hAnsi="Times New Roman" w:cs="Times New Roman"/>
                <w:sz w:val="18"/>
                <w:szCs w:val="20"/>
              </w:rPr>
            </w:pPr>
          </w:p>
        </w:tc>
        <w:tc>
          <w:tcPr>
            <w:tcW w:w="447" w:type="pct"/>
            <w:vMerge/>
            <w:tcBorders>
              <w:bottom w:val="single" w:sz="6" w:space="0" w:color="000000"/>
            </w:tcBorders>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tcBorders>
              <w:top w:val="single" w:sz="6" w:space="0" w:color="000000"/>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1</w:t>
            </w:r>
          </w:p>
        </w:tc>
        <w:tc>
          <w:tcPr>
            <w:tcW w:w="355" w:type="pct"/>
            <w:tcBorders>
              <w:top w:val="single" w:sz="6" w:space="0" w:color="000000"/>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2</w:t>
            </w:r>
          </w:p>
        </w:tc>
        <w:tc>
          <w:tcPr>
            <w:tcW w:w="355" w:type="pct"/>
            <w:tcBorders>
              <w:top w:val="single" w:sz="6" w:space="0" w:color="000000"/>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3</w:t>
            </w:r>
          </w:p>
        </w:tc>
        <w:tc>
          <w:tcPr>
            <w:tcW w:w="355" w:type="pct"/>
            <w:tcBorders>
              <w:top w:val="single" w:sz="6" w:space="0" w:color="000000"/>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4</w:t>
            </w: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5</w:t>
            </w: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6</w:t>
            </w: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7</w:t>
            </w: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w:t>
            </w: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9</w:t>
            </w:r>
          </w:p>
        </w:tc>
        <w:tc>
          <w:tcPr>
            <w:tcW w:w="356" w:type="pct"/>
            <w:tcBorders>
              <w:top w:val="single" w:sz="6" w:space="0" w:color="000000"/>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10</w:t>
            </w:r>
          </w:p>
        </w:tc>
      </w:tr>
      <w:tr w:rsidR="00D75DE5" w:rsidRPr="00EF7C67" w:rsidTr="00D75DE5">
        <w:trPr>
          <w:trHeight w:val="20"/>
          <w:jc w:val="center"/>
        </w:trPr>
        <w:tc>
          <w:tcPr>
            <w:tcW w:w="320" w:type="pct"/>
            <w:vMerge w:val="restar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E</w:t>
            </w: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E2</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,887a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0,719</w:t>
            </w: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0,717</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E4</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,846a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0,794</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0,710</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E5</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,872a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0,873</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0,677</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restar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F</w:t>
            </w: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F2</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,931a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0,764</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0,503</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F3</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,930a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0,779</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0,461</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F5</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,889a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0,762</w:t>
            </w: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0,600</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restar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G</w:t>
            </w: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G2</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,925a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0,879</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0,760</w:t>
            </w: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G3</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,865a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0,884</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0,718</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G4</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,865a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0,861</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0,709</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restar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H</w:t>
            </w: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H1</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,870a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0,829</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0,590</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H3</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,912a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0,864</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0,649</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H5</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,927a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0,803</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0,711</w:t>
            </w: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restar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I</w:t>
            </w: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I1</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,961a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0,809</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0,706</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I4</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,948a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0,797</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0,658</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I5</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,883a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0,797</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0,761</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r>
      <w:tr w:rsidR="00D75DE5" w:rsidRPr="00EF7C67" w:rsidTr="00D75DE5">
        <w:trPr>
          <w:trHeight w:val="20"/>
          <w:jc w:val="center"/>
        </w:trPr>
        <w:tc>
          <w:tcPr>
            <w:tcW w:w="320" w:type="pct"/>
            <w:vMerge w:val="restar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J</w:t>
            </w: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J1</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,861a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0,885</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0,785</w:t>
            </w:r>
          </w:p>
        </w:tc>
      </w:tr>
      <w:tr w:rsidR="00D75DE5" w:rsidRPr="00EF7C67" w:rsidTr="00D75DE5">
        <w:trPr>
          <w:trHeight w:val="20"/>
          <w:jc w:val="center"/>
        </w:trPr>
        <w:tc>
          <w:tcPr>
            <w:tcW w:w="320" w:type="pct"/>
            <w:vMerge/>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J2</w:t>
            </w:r>
          </w:p>
        </w:tc>
        <w:tc>
          <w:tcPr>
            <w:tcW w:w="352"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,894a</w:t>
            </w:r>
          </w:p>
        </w:tc>
        <w:tc>
          <w:tcPr>
            <w:tcW w:w="447"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0,804</w:t>
            </w: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0,667</w:t>
            </w:r>
          </w:p>
        </w:tc>
      </w:tr>
      <w:tr w:rsidR="00D75DE5" w:rsidRPr="00EF7C67" w:rsidTr="00D75DE5">
        <w:trPr>
          <w:trHeight w:val="20"/>
          <w:jc w:val="center"/>
        </w:trPr>
        <w:tc>
          <w:tcPr>
            <w:tcW w:w="320" w:type="pct"/>
            <w:vMerge/>
            <w:tcBorders>
              <w:bottom w:val="single" w:sz="6" w:space="0" w:color="000000"/>
            </w:tcBorders>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29" w:type="pct"/>
            <w:tcBorders>
              <w:bottom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J4</w:t>
            </w:r>
          </w:p>
        </w:tc>
        <w:tc>
          <w:tcPr>
            <w:tcW w:w="352"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,854a</w:t>
            </w:r>
          </w:p>
        </w:tc>
        <w:tc>
          <w:tcPr>
            <w:tcW w:w="447"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0,816</w:t>
            </w: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tcBorders>
              <w:bottom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tcBorders>
              <w:bottom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tcBorders>
              <w:bottom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5" w:type="pct"/>
            <w:tcBorders>
              <w:bottom w:val="single" w:sz="6" w:space="0" w:color="000000"/>
            </w:tcBorders>
            <w:shd w:val="clear" w:color="000000" w:fill="FFFFFF"/>
            <w:vAlign w:val="center"/>
            <w:hideMark/>
          </w:tcPr>
          <w:p w:rsidR="00D75DE5" w:rsidRPr="00EF7C67" w:rsidRDefault="00D75DE5" w:rsidP="006A7646">
            <w:pPr>
              <w:spacing w:after="0"/>
              <w:jc w:val="center"/>
              <w:rPr>
                <w:rFonts w:ascii="Times New Roman" w:hAnsi="Times New Roman" w:cs="Times New Roman"/>
                <w:sz w:val="18"/>
                <w:szCs w:val="20"/>
              </w:rPr>
            </w:pPr>
          </w:p>
        </w:tc>
        <w:tc>
          <w:tcPr>
            <w:tcW w:w="356" w:type="pct"/>
            <w:tcBorders>
              <w:bottom w:val="single" w:sz="6" w:space="0" w:color="000000"/>
            </w:tcBorders>
            <w:shd w:val="clear" w:color="000000" w:fill="FFFFFF"/>
            <w:noWrap/>
            <w:vAlign w:val="center"/>
            <w:hideMark/>
          </w:tcPr>
          <w:p w:rsidR="00D75DE5" w:rsidRPr="00EF7C67" w:rsidRDefault="00D75DE5" w:rsidP="006A7646">
            <w:pPr>
              <w:spacing w:after="0"/>
              <w:jc w:val="center"/>
              <w:rPr>
                <w:rFonts w:ascii="Times New Roman" w:hAnsi="Times New Roman" w:cs="Times New Roman"/>
                <w:sz w:val="18"/>
                <w:szCs w:val="20"/>
              </w:rPr>
            </w:pPr>
            <w:r w:rsidRPr="00EF7C67">
              <w:rPr>
                <w:rFonts w:ascii="Times New Roman" w:hAnsi="Times New Roman" w:cs="Times New Roman"/>
                <w:sz w:val="18"/>
                <w:szCs w:val="20"/>
              </w:rPr>
              <w:t>0,775</w:t>
            </w:r>
          </w:p>
        </w:tc>
      </w:tr>
    </w:tbl>
    <w:p w:rsidR="00D75DE5" w:rsidRDefault="00D75DE5" w:rsidP="008F0F7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p>
    <w:p w:rsidR="008F0F7C" w:rsidRPr="008F0F7C" w:rsidRDefault="008F0F7C" w:rsidP="008F0F7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8F0F7C">
        <w:rPr>
          <w:rFonts w:ascii="Times New Roman" w:eastAsia="Times New Roman" w:hAnsi="Times New Roman" w:cs="Times New Roman"/>
          <w:color w:val="000000"/>
        </w:rPr>
        <w:t xml:space="preserve">Table </w:t>
      </w:r>
      <w:r>
        <w:rPr>
          <w:rFonts w:ascii="Times New Roman" w:eastAsia="Times New Roman" w:hAnsi="Times New Roman" w:cs="Times New Roman"/>
          <w:color w:val="000000"/>
        </w:rPr>
        <w:t>5</w:t>
      </w:r>
      <w:r w:rsidRPr="008F0F7C">
        <w:rPr>
          <w:rFonts w:ascii="Times New Roman" w:eastAsia="Times New Roman" w:hAnsi="Times New Roman" w:cs="Times New Roman"/>
          <w:color w:val="000000"/>
        </w:rPr>
        <w:t xml:space="preserve"> shows the summary results of the Exploratory Factor Analysis (EFA) value for competency framework research to determine the achievement of architectural engineering student competencies in Indonesia. Classification details that have passed the EFA test are based on KMO index values, Bartlett's Test, MSA, factor loading, and eigenvalues which have all passed the recommended values. </w:t>
      </w:r>
    </w:p>
    <w:p w:rsidR="008F0F7C" w:rsidRPr="008F0F7C" w:rsidRDefault="008F0F7C" w:rsidP="008F0F7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F0F7C">
        <w:rPr>
          <w:rFonts w:ascii="Times New Roman" w:eastAsia="Times New Roman" w:hAnsi="Times New Roman" w:cs="Times New Roman"/>
          <w:color w:val="000000"/>
        </w:rPr>
        <w:t xml:space="preserve"> </w:t>
      </w:r>
    </w:p>
    <w:p w:rsidR="00AD5D6C" w:rsidRDefault="008F0F7C" w:rsidP="008F0F7C">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8F0F7C">
        <w:rPr>
          <w:rFonts w:ascii="Times New Roman" w:eastAsia="Times New Roman" w:hAnsi="Times New Roman" w:cs="Times New Roman"/>
          <w:b/>
          <w:color w:val="000000"/>
        </w:rPr>
        <w:t>Table 5.</w:t>
      </w:r>
      <w:r w:rsidRPr="008F0F7C">
        <w:rPr>
          <w:rFonts w:ascii="Times New Roman" w:eastAsia="Times New Roman" w:hAnsi="Times New Roman" w:cs="Times New Roman"/>
          <w:color w:val="000000"/>
        </w:rPr>
        <w:t xml:space="preserve"> Exploratory factor analysis measurement indicator</w:t>
      </w:r>
    </w:p>
    <w:tbl>
      <w:tblPr>
        <w:tblW w:w="0" w:type="auto"/>
        <w:jc w:val="center"/>
        <w:tblLook w:val="04A0" w:firstRow="1" w:lastRow="0" w:firstColumn="1" w:lastColumn="0" w:noHBand="0" w:noVBand="1"/>
      </w:tblPr>
      <w:tblGrid>
        <w:gridCol w:w="1321"/>
        <w:gridCol w:w="1221"/>
        <w:gridCol w:w="1486"/>
        <w:gridCol w:w="876"/>
        <w:gridCol w:w="1056"/>
      </w:tblGrid>
      <w:tr w:rsidR="008F0F7C" w:rsidRPr="00CE5E7E" w:rsidTr="00AB07F7">
        <w:trPr>
          <w:trHeight w:val="20"/>
          <w:jc w:val="center"/>
        </w:trPr>
        <w:tc>
          <w:tcPr>
            <w:tcW w:w="0" w:type="auto"/>
            <w:tcBorders>
              <w:top w:val="single" w:sz="6" w:space="0" w:color="000000"/>
              <w:bottom w:val="single" w:sz="6" w:space="0" w:color="000000"/>
            </w:tcBorders>
            <w:shd w:val="clear" w:color="auto" w:fill="auto"/>
            <w:vAlign w:val="center"/>
            <w:hideMark/>
          </w:tcPr>
          <w:p w:rsidR="008F0F7C" w:rsidRPr="00CE5E7E" w:rsidRDefault="008F0F7C" w:rsidP="004E251F">
            <w:pPr>
              <w:spacing w:after="0"/>
              <w:jc w:val="center"/>
              <w:rPr>
                <w:rFonts w:ascii="Times New Roman" w:hAnsi="Times New Roman" w:cs="Times New Roman"/>
                <w:sz w:val="18"/>
                <w:szCs w:val="19"/>
              </w:rPr>
            </w:pPr>
            <w:r w:rsidRPr="00CE5E7E">
              <w:rPr>
                <w:rFonts w:ascii="Times New Roman" w:hAnsi="Times New Roman" w:cs="Times New Roman"/>
                <w:sz w:val="18"/>
                <w:szCs w:val="19"/>
              </w:rPr>
              <w:t>Index</w:t>
            </w:r>
          </w:p>
        </w:tc>
        <w:tc>
          <w:tcPr>
            <w:tcW w:w="0" w:type="auto"/>
            <w:tcBorders>
              <w:top w:val="single" w:sz="6" w:space="0" w:color="000000"/>
              <w:bottom w:val="single" w:sz="6" w:space="0" w:color="000000"/>
            </w:tcBorders>
            <w:vAlign w:val="center"/>
          </w:tcPr>
          <w:p w:rsidR="008F0F7C" w:rsidRPr="00CE5E7E" w:rsidRDefault="008F0F7C" w:rsidP="004E251F">
            <w:pPr>
              <w:spacing w:after="0"/>
              <w:jc w:val="center"/>
              <w:rPr>
                <w:rFonts w:ascii="Times New Roman" w:hAnsi="Times New Roman" w:cs="Times New Roman"/>
                <w:sz w:val="18"/>
                <w:szCs w:val="19"/>
              </w:rPr>
            </w:pPr>
            <w:r w:rsidRPr="00CE5E7E">
              <w:rPr>
                <w:rFonts w:ascii="Times New Roman" w:hAnsi="Times New Roman" w:cs="Times New Roman"/>
                <w:sz w:val="18"/>
                <w:szCs w:val="19"/>
              </w:rPr>
              <w:t>Value Results</w:t>
            </w:r>
          </w:p>
        </w:tc>
        <w:tc>
          <w:tcPr>
            <w:tcW w:w="0" w:type="auto"/>
            <w:tcBorders>
              <w:top w:val="single" w:sz="6" w:space="0" w:color="000000"/>
              <w:bottom w:val="single" w:sz="6" w:space="0" w:color="000000"/>
            </w:tcBorders>
            <w:shd w:val="clear" w:color="auto" w:fill="auto"/>
            <w:vAlign w:val="center"/>
            <w:hideMark/>
          </w:tcPr>
          <w:p w:rsidR="008F0F7C" w:rsidRPr="00CE5E7E" w:rsidRDefault="008F0F7C" w:rsidP="004E251F">
            <w:pPr>
              <w:spacing w:after="0"/>
              <w:jc w:val="center"/>
              <w:rPr>
                <w:rFonts w:ascii="Times New Roman" w:hAnsi="Times New Roman" w:cs="Times New Roman"/>
                <w:sz w:val="18"/>
                <w:szCs w:val="19"/>
              </w:rPr>
            </w:pPr>
            <w:r w:rsidRPr="00CE5E7E">
              <w:rPr>
                <w:rFonts w:ascii="Times New Roman" w:hAnsi="Times New Roman" w:cs="Times New Roman"/>
                <w:sz w:val="18"/>
                <w:szCs w:val="19"/>
              </w:rPr>
              <w:t>Recommendation</w:t>
            </w:r>
          </w:p>
        </w:tc>
        <w:tc>
          <w:tcPr>
            <w:tcW w:w="0" w:type="auto"/>
            <w:tcBorders>
              <w:top w:val="single" w:sz="6" w:space="0" w:color="000000"/>
              <w:bottom w:val="single" w:sz="6" w:space="0" w:color="000000"/>
            </w:tcBorders>
            <w:vAlign w:val="center"/>
          </w:tcPr>
          <w:p w:rsidR="008F0F7C" w:rsidRPr="00CE5E7E" w:rsidRDefault="008F0F7C" w:rsidP="004E251F">
            <w:pPr>
              <w:spacing w:after="0"/>
              <w:jc w:val="center"/>
              <w:rPr>
                <w:rFonts w:ascii="Times New Roman" w:hAnsi="Times New Roman" w:cs="Times New Roman"/>
                <w:sz w:val="18"/>
                <w:szCs w:val="19"/>
              </w:rPr>
            </w:pPr>
            <w:r w:rsidRPr="00CE5E7E">
              <w:rPr>
                <w:rFonts w:ascii="Times New Roman" w:hAnsi="Times New Roman" w:cs="Times New Roman"/>
                <w:sz w:val="18"/>
                <w:szCs w:val="19"/>
              </w:rPr>
              <w:t>Category</w:t>
            </w:r>
          </w:p>
        </w:tc>
        <w:tc>
          <w:tcPr>
            <w:tcW w:w="0" w:type="auto"/>
            <w:tcBorders>
              <w:top w:val="single" w:sz="6" w:space="0" w:color="000000"/>
              <w:bottom w:val="single" w:sz="6" w:space="0" w:color="000000"/>
            </w:tcBorders>
            <w:shd w:val="clear" w:color="auto" w:fill="auto"/>
            <w:noWrap/>
            <w:vAlign w:val="center"/>
            <w:hideMark/>
          </w:tcPr>
          <w:p w:rsidR="008F0F7C" w:rsidRPr="00CE5E7E" w:rsidRDefault="008F0F7C" w:rsidP="004E251F">
            <w:pPr>
              <w:spacing w:after="0"/>
              <w:jc w:val="center"/>
              <w:rPr>
                <w:rFonts w:ascii="Times New Roman" w:hAnsi="Times New Roman" w:cs="Times New Roman"/>
                <w:sz w:val="18"/>
                <w:szCs w:val="19"/>
              </w:rPr>
            </w:pPr>
            <w:r w:rsidRPr="00CE5E7E">
              <w:rPr>
                <w:rFonts w:ascii="Times New Roman" w:hAnsi="Times New Roman" w:cs="Times New Roman"/>
                <w:sz w:val="18"/>
                <w:szCs w:val="19"/>
              </w:rPr>
              <w:t>Source</w:t>
            </w:r>
          </w:p>
        </w:tc>
      </w:tr>
      <w:tr w:rsidR="008F0F7C" w:rsidRPr="00CE5E7E" w:rsidTr="00AB07F7">
        <w:trPr>
          <w:trHeight w:val="20"/>
          <w:jc w:val="center"/>
        </w:trPr>
        <w:tc>
          <w:tcPr>
            <w:tcW w:w="0" w:type="auto"/>
            <w:vMerge w:val="restart"/>
            <w:tcBorders>
              <w:top w:val="single" w:sz="6" w:space="0" w:color="000000"/>
            </w:tcBorders>
            <w:shd w:val="clear" w:color="auto" w:fill="auto"/>
            <w:noWrap/>
            <w:vAlign w:val="center"/>
            <w:hideMark/>
          </w:tcPr>
          <w:p w:rsidR="008F0F7C" w:rsidRPr="00CE5E7E" w:rsidRDefault="008F0F7C" w:rsidP="000F7348">
            <w:pPr>
              <w:spacing w:after="0"/>
              <w:rPr>
                <w:rFonts w:ascii="Times New Roman" w:hAnsi="Times New Roman" w:cs="Times New Roman"/>
                <w:sz w:val="18"/>
                <w:szCs w:val="19"/>
              </w:rPr>
            </w:pPr>
            <w:r w:rsidRPr="00CE5E7E">
              <w:rPr>
                <w:rFonts w:ascii="Times New Roman" w:hAnsi="Times New Roman" w:cs="Times New Roman"/>
                <w:sz w:val="18"/>
                <w:szCs w:val="19"/>
              </w:rPr>
              <w:t>Indeks KMO</w:t>
            </w:r>
          </w:p>
        </w:tc>
        <w:tc>
          <w:tcPr>
            <w:tcW w:w="0" w:type="auto"/>
            <w:vMerge w:val="restart"/>
            <w:tcBorders>
              <w:top w:val="single" w:sz="6" w:space="0" w:color="000000"/>
            </w:tcBorders>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0,886</w:t>
            </w:r>
          </w:p>
        </w:tc>
        <w:tc>
          <w:tcPr>
            <w:tcW w:w="0" w:type="auto"/>
            <w:tcBorders>
              <w:top w:val="single" w:sz="6" w:space="0" w:color="000000"/>
            </w:tcBorders>
            <w:shd w:val="clear" w:color="auto" w:fill="auto"/>
            <w:noWrap/>
            <w:vAlign w:val="center"/>
            <w:hideMark/>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0,50 ≥ x ≤ 0,8</w:t>
            </w:r>
          </w:p>
        </w:tc>
        <w:tc>
          <w:tcPr>
            <w:tcW w:w="0" w:type="auto"/>
            <w:tcBorders>
              <w:top w:val="single" w:sz="6" w:space="0" w:color="000000"/>
            </w:tcBorders>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suitable</w:t>
            </w:r>
          </w:p>
        </w:tc>
        <w:tc>
          <w:tcPr>
            <w:tcW w:w="0" w:type="auto"/>
            <w:vMerge w:val="restart"/>
            <w:tcBorders>
              <w:top w:val="single" w:sz="6" w:space="0" w:color="000000"/>
            </w:tcBorders>
            <w:shd w:val="clear" w:color="auto" w:fill="auto"/>
            <w:noWrap/>
            <w:vAlign w:val="center"/>
          </w:tcPr>
          <w:p w:rsidR="008F0F7C" w:rsidRPr="00CE5E7E" w:rsidRDefault="003D62B0" w:rsidP="00B83D0C">
            <w:pPr>
              <w:spacing w:after="0"/>
              <w:rPr>
                <w:rFonts w:ascii="Times New Roman" w:hAnsi="Times New Roman" w:cs="Times New Roman"/>
                <w:sz w:val="18"/>
                <w:szCs w:val="19"/>
              </w:rPr>
            </w:pPr>
            <w:r w:rsidRPr="00CE5E7E">
              <w:rPr>
                <w:rFonts w:ascii="Times New Roman" w:eastAsia="Times New Roman" w:hAnsi="Times New Roman" w:cs="Times New Roman"/>
                <w:color w:val="000000"/>
                <w:sz w:val="18"/>
                <w:szCs w:val="19"/>
              </w:rPr>
              <w:t>[22, 24, 25]</w:t>
            </w:r>
          </w:p>
        </w:tc>
      </w:tr>
      <w:tr w:rsidR="008F0F7C" w:rsidRPr="00CE5E7E" w:rsidTr="00AB07F7">
        <w:trPr>
          <w:trHeight w:val="20"/>
          <w:jc w:val="center"/>
        </w:trPr>
        <w:tc>
          <w:tcPr>
            <w:tcW w:w="0" w:type="auto"/>
            <w:vMerge/>
            <w:shd w:val="clear" w:color="auto" w:fill="auto"/>
            <w:noWrap/>
            <w:vAlign w:val="center"/>
          </w:tcPr>
          <w:p w:rsidR="008F0F7C" w:rsidRPr="00CE5E7E" w:rsidRDefault="008F0F7C" w:rsidP="000F7348">
            <w:pPr>
              <w:spacing w:after="0"/>
              <w:rPr>
                <w:rFonts w:ascii="Times New Roman" w:hAnsi="Times New Roman" w:cs="Times New Roman"/>
                <w:sz w:val="18"/>
                <w:szCs w:val="19"/>
              </w:rPr>
            </w:pPr>
          </w:p>
        </w:tc>
        <w:tc>
          <w:tcPr>
            <w:tcW w:w="0" w:type="auto"/>
            <w:vMerge/>
            <w:vAlign w:val="center"/>
          </w:tcPr>
          <w:p w:rsidR="008F0F7C" w:rsidRPr="00CE5E7E" w:rsidRDefault="008F0F7C" w:rsidP="008F0F7C">
            <w:pPr>
              <w:spacing w:after="0"/>
              <w:jc w:val="center"/>
              <w:rPr>
                <w:rFonts w:ascii="Times New Roman" w:hAnsi="Times New Roman" w:cs="Times New Roman"/>
                <w:sz w:val="18"/>
                <w:szCs w:val="19"/>
              </w:rPr>
            </w:pPr>
          </w:p>
        </w:tc>
        <w:tc>
          <w:tcPr>
            <w:tcW w:w="0" w:type="auto"/>
            <w:shd w:val="clear" w:color="auto" w:fill="auto"/>
            <w:noWrap/>
            <w:vAlign w:val="center"/>
            <w:hideMark/>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0,80 ≥ x ≤ 1,0</w:t>
            </w:r>
          </w:p>
        </w:tc>
        <w:tc>
          <w:tcPr>
            <w:tcW w:w="0" w:type="auto"/>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suitable</w:t>
            </w:r>
          </w:p>
        </w:tc>
        <w:tc>
          <w:tcPr>
            <w:tcW w:w="0" w:type="auto"/>
            <w:vMerge/>
            <w:shd w:val="clear" w:color="auto" w:fill="auto"/>
            <w:vAlign w:val="center"/>
          </w:tcPr>
          <w:p w:rsidR="008F0F7C" w:rsidRPr="00CE5E7E" w:rsidRDefault="008F0F7C" w:rsidP="00B83D0C">
            <w:pPr>
              <w:spacing w:after="0"/>
              <w:rPr>
                <w:rFonts w:ascii="Times New Roman" w:hAnsi="Times New Roman" w:cs="Times New Roman"/>
                <w:sz w:val="18"/>
                <w:szCs w:val="19"/>
              </w:rPr>
            </w:pPr>
          </w:p>
        </w:tc>
      </w:tr>
      <w:tr w:rsidR="008F0F7C" w:rsidRPr="00CE5E7E" w:rsidTr="00AB07F7">
        <w:trPr>
          <w:trHeight w:val="20"/>
          <w:jc w:val="center"/>
        </w:trPr>
        <w:tc>
          <w:tcPr>
            <w:tcW w:w="0" w:type="auto"/>
            <w:shd w:val="clear" w:color="auto" w:fill="auto"/>
            <w:noWrap/>
            <w:vAlign w:val="center"/>
          </w:tcPr>
          <w:p w:rsidR="008F0F7C" w:rsidRPr="00CE5E7E" w:rsidRDefault="008F0F7C" w:rsidP="000F7348">
            <w:pPr>
              <w:spacing w:after="0"/>
              <w:rPr>
                <w:rFonts w:ascii="Times New Roman" w:hAnsi="Times New Roman" w:cs="Times New Roman"/>
                <w:sz w:val="18"/>
                <w:szCs w:val="19"/>
              </w:rPr>
            </w:pPr>
            <w:r w:rsidRPr="00CE5E7E">
              <w:rPr>
                <w:rFonts w:ascii="Times New Roman" w:hAnsi="Times New Roman" w:cs="Times New Roman"/>
                <w:sz w:val="18"/>
                <w:szCs w:val="19"/>
              </w:rPr>
              <w:t>Bartlett's Test</w:t>
            </w:r>
          </w:p>
        </w:tc>
        <w:tc>
          <w:tcPr>
            <w:tcW w:w="0" w:type="auto"/>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p &lt;0,000</w:t>
            </w:r>
          </w:p>
        </w:tc>
        <w:tc>
          <w:tcPr>
            <w:tcW w:w="0" w:type="auto"/>
            <w:shd w:val="clear" w:color="auto" w:fill="auto"/>
            <w:noWrap/>
            <w:vAlign w:val="center"/>
            <w:hideMark/>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p &lt;0,05</w:t>
            </w:r>
          </w:p>
        </w:tc>
        <w:tc>
          <w:tcPr>
            <w:tcW w:w="0" w:type="auto"/>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suitable</w:t>
            </w:r>
          </w:p>
        </w:tc>
        <w:tc>
          <w:tcPr>
            <w:tcW w:w="0" w:type="auto"/>
            <w:vMerge w:val="restart"/>
            <w:shd w:val="clear" w:color="auto" w:fill="auto"/>
            <w:vAlign w:val="center"/>
          </w:tcPr>
          <w:p w:rsidR="008F0F7C" w:rsidRPr="00CE5E7E" w:rsidRDefault="007E1A7E" w:rsidP="007E1A7E">
            <w:pPr>
              <w:spacing w:after="0"/>
              <w:rPr>
                <w:rFonts w:ascii="Times New Roman" w:hAnsi="Times New Roman" w:cs="Times New Roman"/>
                <w:sz w:val="18"/>
                <w:szCs w:val="19"/>
              </w:rPr>
            </w:pPr>
            <w:r>
              <w:rPr>
                <w:rFonts w:ascii="Times New Roman" w:eastAsia="Times New Roman" w:hAnsi="Times New Roman" w:cs="Times New Roman"/>
                <w:color w:val="000000"/>
                <w:sz w:val="18"/>
                <w:szCs w:val="19"/>
              </w:rPr>
              <w:t>[24, 29</w:t>
            </w:r>
            <w:r w:rsidR="00A02359" w:rsidRPr="00CE5E7E">
              <w:rPr>
                <w:rFonts w:ascii="Times New Roman" w:eastAsia="Times New Roman" w:hAnsi="Times New Roman" w:cs="Times New Roman"/>
                <w:color w:val="000000"/>
                <w:sz w:val="18"/>
                <w:szCs w:val="19"/>
              </w:rPr>
              <w:t>]</w:t>
            </w:r>
          </w:p>
        </w:tc>
      </w:tr>
      <w:tr w:rsidR="008F0F7C" w:rsidRPr="00CE5E7E" w:rsidTr="00AB07F7">
        <w:trPr>
          <w:trHeight w:val="20"/>
          <w:jc w:val="center"/>
        </w:trPr>
        <w:tc>
          <w:tcPr>
            <w:tcW w:w="0" w:type="auto"/>
            <w:shd w:val="clear" w:color="auto" w:fill="auto"/>
            <w:noWrap/>
            <w:vAlign w:val="center"/>
          </w:tcPr>
          <w:p w:rsidR="008F0F7C" w:rsidRPr="00CE5E7E" w:rsidRDefault="008F0F7C" w:rsidP="000F7348">
            <w:pPr>
              <w:spacing w:after="0"/>
              <w:rPr>
                <w:rFonts w:ascii="Times New Roman" w:hAnsi="Times New Roman" w:cs="Times New Roman"/>
                <w:sz w:val="18"/>
                <w:szCs w:val="19"/>
              </w:rPr>
            </w:pPr>
            <w:r w:rsidRPr="00CE5E7E">
              <w:rPr>
                <w:rFonts w:ascii="Times New Roman" w:hAnsi="Times New Roman" w:cs="Times New Roman"/>
                <w:sz w:val="18"/>
                <w:szCs w:val="19"/>
              </w:rPr>
              <w:t>MSA</w:t>
            </w:r>
          </w:p>
        </w:tc>
        <w:tc>
          <w:tcPr>
            <w:tcW w:w="0" w:type="auto"/>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0,709 – 0,961</w:t>
            </w:r>
          </w:p>
        </w:tc>
        <w:tc>
          <w:tcPr>
            <w:tcW w:w="0" w:type="auto"/>
            <w:shd w:val="clear" w:color="auto" w:fill="auto"/>
            <w:noWrap/>
            <w:vAlign w:val="center"/>
            <w:hideMark/>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 xml:space="preserve"> &lt; 0,07</w:t>
            </w:r>
          </w:p>
        </w:tc>
        <w:tc>
          <w:tcPr>
            <w:tcW w:w="0" w:type="auto"/>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dropout</w:t>
            </w:r>
          </w:p>
        </w:tc>
        <w:tc>
          <w:tcPr>
            <w:tcW w:w="0" w:type="auto"/>
            <w:vMerge/>
            <w:shd w:val="clear" w:color="auto" w:fill="auto"/>
            <w:vAlign w:val="center"/>
          </w:tcPr>
          <w:p w:rsidR="008F0F7C" w:rsidRPr="00CE5E7E" w:rsidRDefault="008F0F7C" w:rsidP="00B83D0C">
            <w:pPr>
              <w:spacing w:after="0"/>
              <w:rPr>
                <w:rFonts w:ascii="Times New Roman" w:hAnsi="Times New Roman" w:cs="Times New Roman"/>
                <w:sz w:val="18"/>
                <w:szCs w:val="19"/>
              </w:rPr>
            </w:pPr>
          </w:p>
        </w:tc>
      </w:tr>
      <w:tr w:rsidR="008F0F7C" w:rsidRPr="00CE5E7E" w:rsidTr="00AB07F7">
        <w:trPr>
          <w:trHeight w:val="20"/>
          <w:jc w:val="center"/>
        </w:trPr>
        <w:tc>
          <w:tcPr>
            <w:tcW w:w="0" w:type="auto"/>
            <w:shd w:val="clear" w:color="auto" w:fill="auto"/>
            <w:noWrap/>
            <w:vAlign w:val="center"/>
          </w:tcPr>
          <w:p w:rsidR="008F0F7C" w:rsidRPr="00CE5E7E" w:rsidRDefault="008F0F7C" w:rsidP="000F7348">
            <w:pPr>
              <w:spacing w:after="0"/>
              <w:rPr>
                <w:rFonts w:ascii="Times New Roman" w:hAnsi="Times New Roman" w:cs="Times New Roman"/>
                <w:sz w:val="18"/>
                <w:szCs w:val="19"/>
              </w:rPr>
            </w:pPr>
            <w:r w:rsidRPr="00CE5E7E">
              <w:rPr>
                <w:rFonts w:ascii="Times New Roman" w:hAnsi="Times New Roman" w:cs="Times New Roman"/>
                <w:sz w:val="18"/>
                <w:szCs w:val="19"/>
              </w:rPr>
              <w:t>Factor Loading</w:t>
            </w:r>
          </w:p>
        </w:tc>
        <w:tc>
          <w:tcPr>
            <w:tcW w:w="0" w:type="auto"/>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0,461 - 0,899</w:t>
            </w:r>
          </w:p>
        </w:tc>
        <w:tc>
          <w:tcPr>
            <w:tcW w:w="0" w:type="auto"/>
            <w:shd w:val="clear" w:color="auto" w:fill="auto"/>
            <w:noWrap/>
            <w:vAlign w:val="center"/>
            <w:hideMark/>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0,4 - 0,9</w:t>
            </w:r>
          </w:p>
        </w:tc>
        <w:tc>
          <w:tcPr>
            <w:tcW w:w="0" w:type="auto"/>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suitable</w:t>
            </w:r>
          </w:p>
        </w:tc>
        <w:tc>
          <w:tcPr>
            <w:tcW w:w="0" w:type="auto"/>
            <w:vMerge w:val="restart"/>
            <w:shd w:val="clear" w:color="auto" w:fill="auto"/>
            <w:vAlign w:val="center"/>
          </w:tcPr>
          <w:p w:rsidR="008F0F7C" w:rsidRPr="00CE5E7E" w:rsidRDefault="00A02359" w:rsidP="007E1A7E">
            <w:pPr>
              <w:spacing w:after="0"/>
              <w:rPr>
                <w:rFonts w:ascii="Times New Roman" w:hAnsi="Times New Roman" w:cs="Times New Roman"/>
                <w:sz w:val="18"/>
                <w:szCs w:val="19"/>
              </w:rPr>
            </w:pPr>
            <w:r w:rsidRPr="00CE5E7E">
              <w:rPr>
                <w:rFonts w:ascii="Times New Roman" w:eastAsia="Times New Roman" w:hAnsi="Times New Roman" w:cs="Times New Roman"/>
                <w:color w:val="000000"/>
                <w:sz w:val="18"/>
                <w:szCs w:val="19"/>
              </w:rPr>
              <w:t>[</w:t>
            </w:r>
            <w:r w:rsidR="007E1A7E">
              <w:rPr>
                <w:rFonts w:ascii="Times New Roman" w:eastAsia="Times New Roman" w:hAnsi="Times New Roman" w:cs="Times New Roman"/>
                <w:color w:val="000000"/>
                <w:sz w:val="18"/>
                <w:szCs w:val="19"/>
              </w:rPr>
              <w:t>22, 24, 25</w:t>
            </w:r>
            <w:r w:rsidRPr="00CE5E7E">
              <w:rPr>
                <w:rFonts w:ascii="Times New Roman" w:eastAsia="Times New Roman" w:hAnsi="Times New Roman" w:cs="Times New Roman"/>
                <w:color w:val="000000"/>
                <w:sz w:val="18"/>
                <w:szCs w:val="19"/>
              </w:rPr>
              <w:t>]</w:t>
            </w:r>
          </w:p>
        </w:tc>
      </w:tr>
      <w:tr w:rsidR="008F0F7C" w:rsidRPr="00CE5E7E" w:rsidTr="00AB07F7">
        <w:trPr>
          <w:trHeight w:val="20"/>
          <w:jc w:val="center"/>
        </w:trPr>
        <w:tc>
          <w:tcPr>
            <w:tcW w:w="0" w:type="auto"/>
            <w:tcBorders>
              <w:bottom w:val="single" w:sz="6" w:space="0" w:color="000000"/>
            </w:tcBorders>
            <w:shd w:val="clear" w:color="auto" w:fill="auto"/>
            <w:noWrap/>
            <w:vAlign w:val="center"/>
          </w:tcPr>
          <w:p w:rsidR="008F0F7C" w:rsidRPr="00CE5E7E" w:rsidRDefault="008F0F7C" w:rsidP="000F7348">
            <w:pPr>
              <w:spacing w:after="0"/>
              <w:rPr>
                <w:rFonts w:ascii="Times New Roman" w:hAnsi="Times New Roman" w:cs="Times New Roman"/>
                <w:sz w:val="18"/>
                <w:szCs w:val="19"/>
              </w:rPr>
            </w:pPr>
            <w:r w:rsidRPr="00CE5E7E">
              <w:rPr>
                <w:rFonts w:ascii="Times New Roman" w:hAnsi="Times New Roman" w:cs="Times New Roman"/>
                <w:sz w:val="18"/>
                <w:szCs w:val="19"/>
              </w:rPr>
              <w:t>Nilai eigen</w:t>
            </w:r>
          </w:p>
        </w:tc>
        <w:tc>
          <w:tcPr>
            <w:tcW w:w="0" w:type="auto"/>
            <w:tcBorders>
              <w:bottom w:val="single" w:sz="6" w:space="0" w:color="000000"/>
            </w:tcBorders>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&gt;2,228</w:t>
            </w:r>
          </w:p>
        </w:tc>
        <w:tc>
          <w:tcPr>
            <w:tcW w:w="0" w:type="auto"/>
            <w:tcBorders>
              <w:bottom w:val="single" w:sz="6" w:space="0" w:color="000000"/>
            </w:tcBorders>
            <w:shd w:val="clear" w:color="auto" w:fill="auto"/>
            <w:noWrap/>
            <w:vAlign w:val="center"/>
            <w:hideMark/>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 1,0</w:t>
            </w:r>
          </w:p>
        </w:tc>
        <w:tc>
          <w:tcPr>
            <w:tcW w:w="0" w:type="auto"/>
            <w:tcBorders>
              <w:bottom w:val="single" w:sz="6" w:space="0" w:color="000000"/>
            </w:tcBorders>
            <w:vAlign w:val="center"/>
          </w:tcPr>
          <w:p w:rsidR="008F0F7C" w:rsidRPr="00CE5E7E" w:rsidRDefault="008F0F7C" w:rsidP="008F0F7C">
            <w:pPr>
              <w:spacing w:after="0"/>
              <w:jc w:val="center"/>
              <w:rPr>
                <w:rFonts w:ascii="Times New Roman" w:hAnsi="Times New Roman" w:cs="Times New Roman"/>
                <w:sz w:val="18"/>
                <w:szCs w:val="19"/>
              </w:rPr>
            </w:pPr>
            <w:r w:rsidRPr="00CE5E7E">
              <w:rPr>
                <w:rFonts w:ascii="Times New Roman" w:hAnsi="Times New Roman" w:cs="Times New Roman"/>
                <w:sz w:val="18"/>
                <w:szCs w:val="19"/>
              </w:rPr>
              <w:t>dropout</w:t>
            </w:r>
          </w:p>
        </w:tc>
        <w:tc>
          <w:tcPr>
            <w:tcW w:w="0" w:type="auto"/>
            <w:vMerge/>
            <w:tcBorders>
              <w:bottom w:val="single" w:sz="6" w:space="0" w:color="000000"/>
            </w:tcBorders>
            <w:shd w:val="clear" w:color="auto" w:fill="auto"/>
            <w:vAlign w:val="center"/>
          </w:tcPr>
          <w:p w:rsidR="008F0F7C" w:rsidRPr="00CE5E7E" w:rsidRDefault="008F0F7C" w:rsidP="008F0F7C">
            <w:pPr>
              <w:spacing w:after="0"/>
              <w:jc w:val="center"/>
              <w:rPr>
                <w:rFonts w:ascii="Times New Roman" w:hAnsi="Times New Roman" w:cs="Times New Roman"/>
                <w:sz w:val="18"/>
                <w:szCs w:val="19"/>
              </w:rPr>
            </w:pPr>
          </w:p>
        </w:tc>
      </w:tr>
    </w:tbl>
    <w:p w:rsidR="00335B8E" w:rsidRDefault="00335B8E" w:rsidP="00AD5D6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AD5D6C" w:rsidRPr="00910C66" w:rsidRDefault="00910C66" w:rsidP="00910C66">
      <w:pPr>
        <w:pStyle w:val="ListParagraph"/>
        <w:numPr>
          <w:ilvl w:val="1"/>
          <w:numId w:val="1"/>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i/>
          <w:color w:val="000000"/>
        </w:rPr>
      </w:pPr>
      <w:r w:rsidRPr="00910C66">
        <w:rPr>
          <w:rFonts w:ascii="Times New Roman" w:eastAsia="Times New Roman" w:hAnsi="Times New Roman" w:cs="Times New Roman"/>
          <w:i/>
          <w:color w:val="000000"/>
        </w:rPr>
        <w:t>Confirmatory Factor Analysis (CFA)</w:t>
      </w:r>
    </w:p>
    <w:p w:rsidR="00AD5D6C" w:rsidRDefault="00522DEB" w:rsidP="00AD5D6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522DEB">
        <w:rPr>
          <w:rFonts w:ascii="Times New Roman" w:eastAsia="Times New Roman" w:hAnsi="Times New Roman" w:cs="Times New Roman"/>
          <w:color w:val="000000"/>
        </w:rPr>
        <w:t xml:space="preserve">Based on the EFA results, this study consisted of 20 competency variables to measure the level of achievement of vocational education students. CFA analysis is intended to prove and confirm the validation of the data for each factor of the instrument measuring the level of achievement of vocational student competencies. CFA can prove the suitability of the suggested model with the factor structure analyzed through EFA </w:t>
      </w:r>
      <w:r w:rsidR="00FA47AC">
        <w:rPr>
          <w:rFonts w:ascii="Times New Roman" w:eastAsia="Times New Roman" w:hAnsi="Times New Roman" w:cs="Times New Roman"/>
          <w:color w:val="000000"/>
        </w:rPr>
        <w:t>[22]</w:t>
      </w:r>
      <w:r w:rsidRPr="00522DEB">
        <w:rPr>
          <w:rFonts w:ascii="Times New Roman" w:eastAsia="Times New Roman" w:hAnsi="Times New Roman" w:cs="Times New Roman"/>
          <w:color w:val="000000"/>
        </w:rPr>
        <w:t xml:space="preserve">. Model fit assessments are based on chi-square (χ2) and include an absolute mismatch index and a relative compatibility index. The absolute mismatch index includes the root mean of estimated error (RMSEA) </w:t>
      </w:r>
      <w:r w:rsidR="00FA47AC">
        <w:rPr>
          <w:rFonts w:ascii="Times New Roman" w:eastAsia="Times New Roman" w:hAnsi="Times New Roman" w:cs="Times New Roman"/>
          <w:color w:val="000000"/>
        </w:rPr>
        <w:t xml:space="preserve">[25] </w:t>
      </w:r>
      <w:r w:rsidRPr="00522DEB">
        <w:rPr>
          <w:rFonts w:ascii="Times New Roman" w:eastAsia="Times New Roman" w:hAnsi="Times New Roman" w:cs="Times New Roman"/>
          <w:color w:val="000000"/>
        </w:rPr>
        <w:t xml:space="preserve">and the relative-goodness index follows the values set in CFI, TLI, IFI </w:t>
      </w:r>
      <w:r w:rsidR="007E1A7E">
        <w:rPr>
          <w:rFonts w:ascii="Times New Roman" w:eastAsia="Times New Roman" w:hAnsi="Times New Roman" w:cs="Times New Roman"/>
          <w:color w:val="000000"/>
        </w:rPr>
        <w:t>[24</w:t>
      </w:r>
      <w:r w:rsidR="00FA47AC">
        <w:rPr>
          <w:rFonts w:ascii="Times New Roman" w:eastAsia="Times New Roman" w:hAnsi="Times New Roman" w:cs="Times New Roman"/>
          <w:color w:val="000000"/>
        </w:rPr>
        <w:t>]</w:t>
      </w:r>
      <w:r w:rsidRPr="00522DEB">
        <w:rPr>
          <w:rFonts w:ascii="Times New Roman" w:eastAsia="Times New Roman" w:hAnsi="Times New Roman" w:cs="Times New Roman"/>
          <w:color w:val="000000"/>
        </w:rPr>
        <w:t xml:space="preserve">. It is assumed that CMIN/df values range from 1 to 5 which can be interpreted as acceptable models and data, Comparative Fit Index (CFI) index value ≥0.90, Tucker Lewis Index (TLI) value ≥0.90, IFI value ≥0,90, and </w:t>
      </w:r>
      <w:r w:rsidR="00FA47AC">
        <w:rPr>
          <w:rFonts w:ascii="Times New Roman" w:eastAsia="Times New Roman" w:hAnsi="Times New Roman" w:cs="Times New Roman"/>
          <w:color w:val="000000"/>
        </w:rPr>
        <w:t>RMSEA</w:t>
      </w:r>
      <w:r w:rsidRPr="00522DEB">
        <w:rPr>
          <w:rFonts w:ascii="Times New Roman" w:eastAsia="Times New Roman" w:hAnsi="Times New Roman" w:cs="Times New Roman"/>
          <w:color w:val="000000"/>
        </w:rPr>
        <w:t xml:space="preserve"> index ≤0.08 with a meaningful and acceptable error rate. Figure 2 visualizes the measurement model for mastery of VS competencies</w:t>
      </w:r>
      <w:r>
        <w:rPr>
          <w:rFonts w:ascii="Times New Roman" w:eastAsia="Times New Roman" w:hAnsi="Times New Roman" w:cs="Times New Roman"/>
          <w:color w:val="000000"/>
        </w:rPr>
        <w:t>.</w:t>
      </w:r>
    </w:p>
    <w:p w:rsidR="00522DEB" w:rsidRDefault="00522DEB" w:rsidP="00AD5D6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522DEB" w:rsidRDefault="00522DEB" w:rsidP="00522DE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BB4D89">
        <w:rPr>
          <w:noProof/>
          <w:lang w:val="id-ID"/>
        </w:rPr>
        <w:lastRenderedPageBreak/>
        <w:drawing>
          <wp:inline distT="0" distB="0" distL="0" distR="0" wp14:anchorId="6D5BDFC5" wp14:editId="78A471D6">
            <wp:extent cx="3231570" cy="2664000"/>
            <wp:effectExtent l="0" t="0" r="6985" b="3175"/>
            <wp:docPr id="3" name="Picture 3" descr="D:\IJOST\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JOST\MODEL.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27"/>
                    <a:stretch/>
                  </pic:blipFill>
                  <pic:spPr bwMode="auto">
                    <a:xfrm>
                      <a:off x="0" y="0"/>
                      <a:ext cx="3231570" cy="2664000"/>
                    </a:xfrm>
                    <a:prstGeom prst="rect">
                      <a:avLst/>
                    </a:prstGeom>
                    <a:noFill/>
                    <a:ln>
                      <a:noFill/>
                    </a:ln>
                    <a:extLst>
                      <a:ext uri="{53640926-AAD7-44D8-BBD7-CCE9431645EC}">
                        <a14:shadowObscured xmlns:a14="http://schemas.microsoft.com/office/drawing/2010/main"/>
                      </a:ext>
                    </a:extLst>
                  </pic:spPr>
                </pic:pic>
              </a:graphicData>
            </a:graphic>
          </wp:inline>
        </w:drawing>
      </w:r>
    </w:p>
    <w:p w:rsidR="00522DEB" w:rsidRPr="00AD5D6C" w:rsidRDefault="00522DEB" w:rsidP="00522DEB">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sidRPr="00D12CE9">
        <w:rPr>
          <w:rFonts w:ascii="Times New Roman" w:eastAsia="Times New Roman" w:hAnsi="Times New Roman" w:cs="Times New Roman"/>
          <w:b/>
          <w:color w:val="000000"/>
        </w:rPr>
        <w:t>Figure 2.</w:t>
      </w:r>
      <w:r w:rsidRPr="00522DEB">
        <w:rPr>
          <w:rFonts w:ascii="Times New Roman" w:eastAsia="Times New Roman" w:hAnsi="Times New Roman" w:cs="Times New Roman"/>
          <w:color w:val="000000"/>
        </w:rPr>
        <w:t xml:space="preserve"> Measurement model for the achievement of vocational student competencie</w:t>
      </w:r>
    </w:p>
    <w:p w:rsidR="00AB4A24" w:rsidRPr="006A7646" w:rsidRDefault="00AB4A24" w:rsidP="000F7348">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sz w:val="18"/>
        </w:rPr>
      </w:pPr>
    </w:p>
    <w:p w:rsidR="000F7348" w:rsidRDefault="000F7348" w:rsidP="000F7348">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0F7348">
        <w:rPr>
          <w:rFonts w:ascii="Times New Roman" w:eastAsia="Times New Roman" w:hAnsi="Times New Roman" w:cs="Times New Roman"/>
          <w:color w:val="000000"/>
        </w:rPr>
        <w:t>Ten competencies along with 30 sub indications of competency analyzed were hypo</w:t>
      </w:r>
      <w:r w:rsidR="00EB31E7">
        <w:rPr>
          <w:rFonts w:ascii="Times New Roman" w:eastAsia="Times New Roman" w:hAnsi="Times New Roman" w:cs="Times New Roman"/>
          <w:color w:val="000000"/>
        </w:rPr>
        <w:t>thesized very well. The results</w:t>
      </w:r>
      <w:r w:rsidRPr="000F7348">
        <w:rPr>
          <w:rFonts w:ascii="Times New Roman" w:eastAsia="Times New Roman" w:hAnsi="Times New Roman" w:cs="Times New Roman"/>
          <w:color w:val="000000"/>
        </w:rPr>
        <w:t xml:space="preserve"> of χ</w:t>
      </w:r>
      <w:r w:rsidRPr="00EB31E7">
        <w:rPr>
          <w:rFonts w:ascii="Times New Roman" w:eastAsia="Times New Roman" w:hAnsi="Times New Roman" w:cs="Times New Roman"/>
          <w:color w:val="000000"/>
          <w:vertAlign w:val="superscript"/>
        </w:rPr>
        <w:t xml:space="preserve">2 </w:t>
      </w:r>
      <w:r w:rsidRPr="000F7348">
        <w:rPr>
          <w:rFonts w:ascii="Times New Roman" w:eastAsia="Times New Roman" w:hAnsi="Times New Roman" w:cs="Times New Roman"/>
          <w:color w:val="000000"/>
        </w:rPr>
        <w:t>= 487,695</w:t>
      </w:r>
      <w:r w:rsidR="00EB31E7">
        <w:rPr>
          <w:rFonts w:ascii="Times New Roman" w:eastAsia="Times New Roman" w:hAnsi="Times New Roman" w:cs="Times New Roman"/>
          <w:color w:val="000000"/>
        </w:rPr>
        <w:t>, Degrees of freedom = 359, Prob. Lev.</w:t>
      </w:r>
      <w:r w:rsidRPr="000F7348">
        <w:rPr>
          <w:rFonts w:ascii="Times New Roman" w:eastAsia="Times New Roman" w:hAnsi="Times New Roman" w:cs="Times New Roman"/>
          <w:color w:val="000000"/>
        </w:rPr>
        <w:t xml:space="preserve"> = 0,00. In the fit model, the index </w:t>
      </w:r>
      <w:r w:rsidR="00EB31E7">
        <w:rPr>
          <w:rFonts w:ascii="Times New Roman" w:eastAsia="Times New Roman" w:hAnsi="Times New Roman" w:cs="Times New Roman"/>
          <w:color w:val="000000"/>
        </w:rPr>
        <w:t>dof</w:t>
      </w:r>
      <w:r w:rsidRPr="000F7348">
        <w:rPr>
          <w:rFonts w:ascii="Times New Roman" w:eastAsia="Times New Roman" w:hAnsi="Times New Roman" w:cs="Times New Roman"/>
          <w:color w:val="000000"/>
        </w:rPr>
        <w:t xml:space="preserve">, χ2/df = 1.358, CFI = 0.928, TLI = 0.913, IFI = 0.931, and RMSEA = 0.065, show that the data from the sample matches the mastery competency model of vocational education students architectural engineering in Table </w:t>
      </w:r>
      <w:r>
        <w:rPr>
          <w:rFonts w:ascii="Times New Roman" w:eastAsia="Times New Roman" w:hAnsi="Times New Roman" w:cs="Times New Roman"/>
          <w:color w:val="000000"/>
        </w:rPr>
        <w:t>6</w:t>
      </w:r>
      <w:r w:rsidRPr="000F7348">
        <w:rPr>
          <w:rFonts w:ascii="Times New Roman" w:eastAsia="Times New Roman" w:hAnsi="Times New Roman" w:cs="Times New Roman"/>
          <w:color w:val="000000"/>
        </w:rPr>
        <w:t>.</w:t>
      </w:r>
    </w:p>
    <w:p w:rsidR="00FA47AC" w:rsidRPr="006A7646" w:rsidRDefault="00FA47AC" w:rsidP="000F7348">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sz w:val="18"/>
        </w:rPr>
      </w:pPr>
    </w:p>
    <w:p w:rsidR="00D12CE9" w:rsidRDefault="000F7348" w:rsidP="001C62E6">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0F7348">
        <w:rPr>
          <w:rFonts w:ascii="Times New Roman" w:eastAsia="Times New Roman" w:hAnsi="Times New Roman" w:cs="Times New Roman"/>
          <w:color w:val="000000"/>
        </w:rPr>
        <w:t xml:space="preserve"> </w:t>
      </w:r>
      <w:r w:rsidRPr="00C955E6">
        <w:rPr>
          <w:rFonts w:ascii="Times New Roman" w:eastAsia="Times New Roman" w:hAnsi="Times New Roman" w:cs="Times New Roman"/>
          <w:b/>
          <w:color w:val="000000"/>
        </w:rPr>
        <w:t>Table 6.</w:t>
      </w:r>
      <w:r w:rsidRPr="000F7348">
        <w:rPr>
          <w:rFonts w:ascii="Times New Roman" w:eastAsia="Times New Roman" w:hAnsi="Times New Roman" w:cs="Times New Roman"/>
          <w:color w:val="000000"/>
        </w:rPr>
        <w:t xml:space="preserve"> A measurement model for the achievement of vocational student competencies</w:t>
      </w:r>
    </w:p>
    <w:tbl>
      <w:tblPr>
        <w:tblW w:w="0" w:type="auto"/>
        <w:jc w:val="center"/>
        <w:tblLook w:val="04A0" w:firstRow="1" w:lastRow="0" w:firstColumn="1" w:lastColumn="0" w:noHBand="0" w:noVBand="1"/>
      </w:tblPr>
      <w:tblGrid>
        <w:gridCol w:w="2127"/>
        <w:gridCol w:w="646"/>
        <w:gridCol w:w="1486"/>
        <w:gridCol w:w="1371"/>
      </w:tblGrid>
      <w:tr w:rsidR="000F7348" w:rsidRPr="006A7646" w:rsidTr="006A7646">
        <w:trPr>
          <w:trHeight w:val="20"/>
          <w:jc w:val="center"/>
        </w:trPr>
        <w:tc>
          <w:tcPr>
            <w:tcW w:w="2127" w:type="dxa"/>
            <w:tcBorders>
              <w:top w:val="single" w:sz="6" w:space="0" w:color="000000"/>
              <w:bottom w:val="single" w:sz="6" w:space="0" w:color="000000"/>
            </w:tcBorders>
            <w:shd w:val="clear" w:color="auto" w:fill="auto"/>
            <w:vAlign w:val="center"/>
            <w:hideMark/>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Parameter</w:t>
            </w:r>
          </w:p>
        </w:tc>
        <w:tc>
          <w:tcPr>
            <w:tcW w:w="0" w:type="auto"/>
            <w:tcBorders>
              <w:top w:val="single" w:sz="6" w:space="0" w:color="000000"/>
              <w:bottom w:val="single" w:sz="6" w:space="0" w:color="000000"/>
            </w:tcBorders>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Value</w:t>
            </w:r>
          </w:p>
        </w:tc>
        <w:tc>
          <w:tcPr>
            <w:tcW w:w="0" w:type="auto"/>
            <w:tcBorders>
              <w:top w:val="single" w:sz="6" w:space="0" w:color="000000"/>
              <w:bottom w:val="single" w:sz="6" w:space="0" w:color="000000"/>
            </w:tcBorders>
            <w:shd w:val="clear" w:color="auto" w:fill="auto"/>
            <w:vAlign w:val="center"/>
            <w:hideMark/>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Recommendation</w:t>
            </w:r>
          </w:p>
        </w:tc>
        <w:tc>
          <w:tcPr>
            <w:tcW w:w="0" w:type="auto"/>
            <w:tcBorders>
              <w:top w:val="single" w:sz="6" w:space="0" w:color="000000"/>
              <w:bottom w:val="single" w:sz="6" w:space="0" w:color="000000"/>
            </w:tcBorders>
            <w:shd w:val="clear" w:color="auto" w:fill="auto"/>
            <w:noWrap/>
            <w:vAlign w:val="center"/>
            <w:hideMark/>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Source</w:t>
            </w:r>
          </w:p>
        </w:tc>
      </w:tr>
      <w:tr w:rsidR="000F7348" w:rsidRPr="006A7646" w:rsidTr="006A7646">
        <w:trPr>
          <w:trHeight w:val="20"/>
          <w:jc w:val="center"/>
        </w:trPr>
        <w:tc>
          <w:tcPr>
            <w:tcW w:w="2127" w:type="dxa"/>
            <w:tcBorders>
              <w:top w:val="single" w:sz="6" w:space="0" w:color="000000"/>
            </w:tcBorders>
            <w:shd w:val="clear" w:color="auto" w:fill="auto"/>
            <w:noWrap/>
            <w:vAlign w:val="center"/>
          </w:tcPr>
          <w:p w:rsidR="000F7348" w:rsidRPr="006A7646" w:rsidRDefault="000F7348" w:rsidP="004E251F">
            <w:pPr>
              <w:spacing w:after="0"/>
              <w:rPr>
                <w:rFonts w:ascii="Times New Roman" w:hAnsi="Times New Roman" w:cs="Times New Roman"/>
                <w:sz w:val="18"/>
                <w:szCs w:val="20"/>
              </w:rPr>
            </w:pPr>
            <w:r w:rsidRPr="006A7646">
              <w:rPr>
                <w:rFonts w:ascii="Times New Roman" w:hAnsi="Times New Roman" w:cs="Times New Roman"/>
                <w:sz w:val="18"/>
                <w:szCs w:val="20"/>
              </w:rPr>
              <w:t>(χ</w:t>
            </w:r>
            <w:r w:rsidRPr="006A7646">
              <w:rPr>
                <w:rFonts w:ascii="Times New Roman" w:hAnsi="Times New Roman" w:cs="Times New Roman"/>
                <w:sz w:val="18"/>
                <w:szCs w:val="20"/>
                <w:vertAlign w:val="superscript"/>
              </w:rPr>
              <w:t>2</w:t>
            </w:r>
            <w:r w:rsidRPr="006A7646">
              <w:rPr>
                <w:rFonts w:ascii="Times New Roman" w:hAnsi="Times New Roman" w:cs="Times New Roman"/>
                <w:sz w:val="18"/>
                <w:szCs w:val="20"/>
              </w:rPr>
              <w:t>/df) or CMIN/df</w:t>
            </w:r>
          </w:p>
        </w:tc>
        <w:tc>
          <w:tcPr>
            <w:tcW w:w="0" w:type="auto"/>
            <w:tcBorders>
              <w:top w:val="single" w:sz="6" w:space="0" w:color="000000"/>
            </w:tcBorders>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1,358</w:t>
            </w:r>
          </w:p>
        </w:tc>
        <w:tc>
          <w:tcPr>
            <w:tcW w:w="0" w:type="auto"/>
            <w:tcBorders>
              <w:top w:val="single" w:sz="6" w:space="0" w:color="000000"/>
            </w:tcBorders>
            <w:shd w:val="clear" w:color="auto" w:fill="auto"/>
            <w:noWrap/>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≤5.00</w:t>
            </w:r>
          </w:p>
        </w:tc>
        <w:tc>
          <w:tcPr>
            <w:tcW w:w="0" w:type="auto"/>
            <w:vMerge w:val="restart"/>
            <w:tcBorders>
              <w:top w:val="single" w:sz="6" w:space="0" w:color="000000"/>
            </w:tcBorders>
            <w:shd w:val="clear" w:color="auto" w:fill="auto"/>
            <w:vAlign w:val="center"/>
          </w:tcPr>
          <w:p w:rsidR="00EB31E7" w:rsidRPr="006A7646" w:rsidRDefault="007E1A7E" w:rsidP="007E1A7E">
            <w:pPr>
              <w:jc w:val="both"/>
              <w:rPr>
                <w:rFonts w:ascii="Times New Roman" w:hAnsi="Times New Roman" w:cs="Times New Roman"/>
                <w:sz w:val="18"/>
                <w:szCs w:val="20"/>
              </w:rPr>
            </w:pPr>
            <w:r>
              <w:rPr>
                <w:rFonts w:ascii="Times New Roman" w:eastAsia="Times New Roman" w:hAnsi="Times New Roman" w:cs="Times New Roman"/>
                <w:color w:val="000000"/>
                <w:sz w:val="18"/>
              </w:rPr>
              <w:t xml:space="preserve"> [29, 22, 24, 25</w:t>
            </w:r>
            <w:r w:rsidR="00EB31E7" w:rsidRPr="006A7646">
              <w:rPr>
                <w:rFonts w:ascii="Times New Roman" w:eastAsia="Times New Roman" w:hAnsi="Times New Roman" w:cs="Times New Roman"/>
                <w:color w:val="000000"/>
                <w:sz w:val="18"/>
              </w:rPr>
              <w:t>]</w:t>
            </w:r>
          </w:p>
        </w:tc>
      </w:tr>
      <w:tr w:rsidR="000F7348" w:rsidRPr="006A7646" w:rsidTr="006A7646">
        <w:trPr>
          <w:trHeight w:val="20"/>
          <w:jc w:val="center"/>
        </w:trPr>
        <w:tc>
          <w:tcPr>
            <w:tcW w:w="2127" w:type="dxa"/>
            <w:shd w:val="clear" w:color="auto" w:fill="auto"/>
            <w:noWrap/>
            <w:vAlign w:val="center"/>
          </w:tcPr>
          <w:p w:rsidR="000F7348" w:rsidRPr="006A7646" w:rsidRDefault="000F7348" w:rsidP="004E251F">
            <w:pPr>
              <w:spacing w:after="0"/>
              <w:rPr>
                <w:rFonts w:ascii="Times New Roman" w:hAnsi="Times New Roman" w:cs="Times New Roman"/>
                <w:sz w:val="18"/>
                <w:szCs w:val="20"/>
              </w:rPr>
            </w:pPr>
            <w:r w:rsidRPr="006A7646">
              <w:rPr>
                <w:rFonts w:ascii="Times New Roman" w:hAnsi="Times New Roman" w:cs="Times New Roman"/>
                <w:sz w:val="18"/>
                <w:szCs w:val="20"/>
              </w:rPr>
              <w:t>Prob. level</w:t>
            </w:r>
          </w:p>
        </w:tc>
        <w:tc>
          <w:tcPr>
            <w:tcW w:w="0" w:type="auto"/>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0,000</w:t>
            </w:r>
          </w:p>
        </w:tc>
        <w:tc>
          <w:tcPr>
            <w:tcW w:w="0" w:type="auto"/>
            <w:shd w:val="clear" w:color="auto" w:fill="auto"/>
            <w:noWrap/>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≤0,05</w:t>
            </w:r>
          </w:p>
        </w:tc>
        <w:tc>
          <w:tcPr>
            <w:tcW w:w="0" w:type="auto"/>
            <w:vMerge/>
            <w:shd w:val="clear" w:color="auto" w:fill="auto"/>
            <w:vAlign w:val="center"/>
          </w:tcPr>
          <w:p w:rsidR="000F7348" w:rsidRPr="006A7646" w:rsidRDefault="000F7348" w:rsidP="004E251F">
            <w:pPr>
              <w:rPr>
                <w:rFonts w:ascii="Times New Roman" w:hAnsi="Times New Roman" w:cs="Times New Roman"/>
                <w:sz w:val="18"/>
                <w:szCs w:val="20"/>
              </w:rPr>
            </w:pPr>
          </w:p>
        </w:tc>
      </w:tr>
      <w:tr w:rsidR="000F7348" w:rsidRPr="006A7646" w:rsidTr="006A7646">
        <w:trPr>
          <w:trHeight w:val="20"/>
          <w:jc w:val="center"/>
        </w:trPr>
        <w:tc>
          <w:tcPr>
            <w:tcW w:w="2127" w:type="dxa"/>
            <w:shd w:val="clear" w:color="auto" w:fill="auto"/>
            <w:noWrap/>
            <w:vAlign w:val="center"/>
          </w:tcPr>
          <w:p w:rsidR="000F7348" w:rsidRPr="006A7646" w:rsidRDefault="000F7348" w:rsidP="004E251F">
            <w:pPr>
              <w:spacing w:after="0"/>
              <w:rPr>
                <w:rFonts w:ascii="Times New Roman" w:hAnsi="Times New Roman" w:cs="Times New Roman"/>
                <w:sz w:val="18"/>
                <w:szCs w:val="20"/>
              </w:rPr>
            </w:pPr>
            <w:r w:rsidRPr="006A7646">
              <w:rPr>
                <w:rFonts w:ascii="Times New Roman" w:hAnsi="Times New Roman" w:cs="Times New Roman"/>
                <w:sz w:val="18"/>
                <w:szCs w:val="20"/>
              </w:rPr>
              <w:t>RMSEA</w:t>
            </w:r>
          </w:p>
        </w:tc>
        <w:tc>
          <w:tcPr>
            <w:tcW w:w="0" w:type="auto"/>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0,065</w:t>
            </w:r>
          </w:p>
        </w:tc>
        <w:tc>
          <w:tcPr>
            <w:tcW w:w="0" w:type="auto"/>
            <w:shd w:val="clear" w:color="auto" w:fill="auto"/>
            <w:noWrap/>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≤0,08</w:t>
            </w:r>
          </w:p>
        </w:tc>
        <w:tc>
          <w:tcPr>
            <w:tcW w:w="0" w:type="auto"/>
            <w:vMerge/>
            <w:shd w:val="clear" w:color="auto" w:fill="auto"/>
            <w:vAlign w:val="center"/>
          </w:tcPr>
          <w:p w:rsidR="000F7348" w:rsidRPr="006A7646" w:rsidRDefault="000F7348" w:rsidP="004E251F">
            <w:pPr>
              <w:rPr>
                <w:rFonts w:ascii="Times New Roman" w:hAnsi="Times New Roman" w:cs="Times New Roman"/>
                <w:sz w:val="18"/>
                <w:szCs w:val="20"/>
              </w:rPr>
            </w:pPr>
          </w:p>
        </w:tc>
      </w:tr>
      <w:tr w:rsidR="000F7348" w:rsidRPr="006A7646" w:rsidTr="006A7646">
        <w:trPr>
          <w:trHeight w:val="20"/>
          <w:jc w:val="center"/>
        </w:trPr>
        <w:tc>
          <w:tcPr>
            <w:tcW w:w="2127" w:type="dxa"/>
            <w:shd w:val="clear" w:color="auto" w:fill="auto"/>
            <w:noWrap/>
            <w:vAlign w:val="center"/>
          </w:tcPr>
          <w:p w:rsidR="000F7348" w:rsidRPr="006A7646" w:rsidRDefault="000F7348" w:rsidP="004E251F">
            <w:pPr>
              <w:spacing w:after="0"/>
              <w:rPr>
                <w:rFonts w:ascii="Times New Roman" w:hAnsi="Times New Roman" w:cs="Times New Roman"/>
                <w:sz w:val="18"/>
                <w:szCs w:val="20"/>
              </w:rPr>
            </w:pPr>
            <w:r w:rsidRPr="006A7646">
              <w:rPr>
                <w:rFonts w:ascii="Times New Roman" w:hAnsi="Times New Roman" w:cs="Times New Roman"/>
                <w:sz w:val="18"/>
                <w:szCs w:val="20"/>
              </w:rPr>
              <w:t>IFI</w:t>
            </w:r>
          </w:p>
        </w:tc>
        <w:tc>
          <w:tcPr>
            <w:tcW w:w="0" w:type="auto"/>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0,931</w:t>
            </w:r>
          </w:p>
        </w:tc>
        <w:tc>
          <w:tcPr>
            <w:tcW w:w="0" w:type="auto"/>
            <w:shd w:val="clear" w:color="auto" w:fill="auto"/>
            <w:noWrap/>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≥0,90</w:t>
            </w:r>
          </w:p>
        </w:tc>
        <w:tc>
          <w:tcPr>
            <w:tcW w:w="0" w:type="auto"/>
            <w:vMerge/>
            <w:shd w:val="clear" w:color="auto" w:fill="auto"/>
            <w:vAlign w:val="center"/>
          </w:tcPr>
          <w:p w:rsidR="000F7348" w:rsidRPr="006A7646" w:rsidRDefault="000F7348" w:rsidP="004E251F">
            <w:pPr>
              <w:rPr>
                <w:rFonts w:ascii="Times New Roman" w:hAnsi="Times New Roman" w:cs="Times New Roman"/>
                <w:sz w:val="18"/>
                <w:szCs w:val="20"/>
              </w:rPr>
            </w:pPr>
          </w:p>
        </w:tc>
      </w:tr>
      <w:tr w:rsidR="000F7348" w:rsidRPr="006A7646" w:rsidTr="006A7646">
        <w:trPr>
          <w:trHeight w:val="20"/>
          <w:jc w:val="center"/>
        </w:trPr>
        <w:tc>
          <w:tcPr>
            <w:tcW w:w="2127" w:type="dxa"/>
            <w:shd w:val="clear" w:color="auto" w:fill="auto"/>
            <w:noWrap/>
            <w:vAlign w:val="center"/>
          </w:tcPr>
          <w:p w:rsidR="000F7348" w:rsidRPr="006A7646" w:rsidRDefault="000F7348" w:rsidP="004E251F">
            <w:pPr>
              <w:spacing w:after="0"/>
              <w:rPr>
                <w:rFonts w:ascii="Times New Roman" w:hAnsi="Times New Roman" w:cs="Times New Roman"/>
                <w:sz w:val="18"/>
                <w:szCs w:val="20"/>
              </w:rPr>
            </w:pPr>
            <w:r w:rsidRPr="006A7646">
              <w:rPr>
                <w:rFonts w:ascii="Times New Roman" w:hAnsi="Times New Roman" w:cs="Times New Roman"/>
                <w:sz w:val="18"/>
                <w:szCs w:val="20"/>
              </w:rPr>
              <w:t>TLI</w:t>
            </w:r>
          </w:p>
        </w:tc>
        <w:tc>
          <w:tcPr>
            <w:tcW w:w="0" w:type="auto"/>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0,913</w:t>
            </w:r>
          </w:p>
        </w:tc>
        <w:tc>
          <w:tcPr>
            <w:tcW w:w="0" w:type="auto"/>
            <w:shd w:val="clear" w:color="auto" w:fill="auto"/>
            <w:noWrap/>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≥0,90</w:t>
            </w:r>
          </w:p>
        </w:tc>
        <w:tc>
          <w:tcPr>
            <w:tcW w:w="0" w:type="auto"/>
            <w:vMerge/>
            <w:shd w:val="clear" w:color="auto" w:fill="auto"/>
            <w:vAlign w:val="center"/>
          </w:tcPr>
          <w:p w:rsidR="000F7348" w:rsidRPr="006A7646" w:rsidRDefault="000F7348" w:rsidP="004E251F">
            <w:pPr>
              <w:rPr>
                <w:rFonts w:ascii="Times New Roman" w:hAnsi="Times New Roman" w:cs="Times New Roman"/>
                <w:sz w:val="18"/>
                <w:szCs w:val="20"/>
              </w:rPr>
            </w:pPr>
          </w:p>
        </w:tc>
      </w:tr>
      <w:tr w:rsidR="000F7348" w:rsidRPr="006A7646" w:rsidTr="006A7646">
        <w:trPr>
          <w:trHeight w:val="20"/>
          <w:jc w:val="center"/>
        </w:trPr>
        <w:tc>
          <w:tcPr>
            <w:tcW w:w="2127" w:type="dxa"/>
            <w:tcBorders>
              <w:bottom w:val="single" w:sz="6" w:space="0" w:color="000000"/>
            </w:tcBorders>
            <w:shd w:val="clear" w:color="auto" w:fill="auto"/>
            <w:noWrap/>
            <w:vAlign w:val="center"/>
          </w:tcPr>
          <w:p w:rsidR="000F7348" w:rsidRPr="006A7646" w:rsidRDefault="000F7348" w:rsidP="004E251F">
            <w:pPr>
              <w:spacing w:after="0"/>
              <w:rPr>
                <w:rFonts w:ascii="Times New Roman" w:hAnsi="Times New Roman" w:cs="Times New Roman"/>
                <w:sz w:val="18"/>
                <w:szCs w:val="20"/>
              </w:rPr>
            </w:pPr>
            <w:r w:rsidRPr="006A7646">
              <w:rPr>
                <w:rFonts w:ascii="Times New Roman" w:hAnsi="Times New Roman" w:cs="Times New Roman"/>
                <w:sz w:val="18"/>
                <w:szCs w:val="20"/>
              </w:rPr>
              <w:t>CFI</w:t>
            </w:r>
          </w:p>
        </w:tc>
        <w:tc>
          <w:tcPr>
            <w:tcW w:w="0" w:type="auto"/>
            <w:tcBorders>
              <w:bottom w:val="single" w:sz="6" w:space="0" w:color="000000"/>
            </w:tcBorders>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0,928</w:t>
            </w:r>
          </w:p>
        </w:tc>
        <w:tc>
          <w:tcPr>
            <w:tcW w:w="0" w:type="auto"/>
            <w:tcBorders>
              <w:bottom w:val="single" w:sz="6" w:space="0" w:color="000000"/>
            </w:tcBorders>
            <w:shd w:val="clear" w:color="auto" w:fill="auto"/>
            <w:noWrap/>
            <w:vAlign w:val="center"/>
          </w:tcPr>
          <w:p w:rsidR="000F7348" w:rsidRPr="006A7646" w:rsidRDefault="000F7348" w:rsidP="000F7348">
            <w:pPr>
              <w:spacing w:after="0"/>
              <w:jc w:val="center"/>
              <w:rPr>
                <w:rFonts w:ascii="Times New Roman" w:hAnsi="Times New Roman" w:cs="Times New Roman"/>
                <w:sz w:val="18"/>
                <w:szCs w:val="20"/>
              </w:rPr>
            </w:pPr>
            <w:r w:rsidRPr="006A7646">
              <w:rPr>
                <w:rFonts w:ascii="Times New Roman" w:hAnsi="Times New Roman" w:cs="Times New Roman"/>
                <w:sz w:val="18"/>
                <w:szCs w:val="20"/>
              </w:rPr>
              <w:t>≥0,90</w:t>
            </w:r>
          </w:p>
        </w:tc>
        <w:tc>
          <w:tcPr>
            <w:tcW w:w="0" w:type="auto"/>
            <w:vMerge/>
            <w:tcBorders>
              <w:bottom w:val="single" w:sz="6" w:space="0" w:color="000000"/>
            </w:tcBorders>
            <w:shd w:val="clear" w:color="auto" w:fill="auto"/>
            <w:vAlign w:val="center"/>
          </w:tcPr>
          <w:p w:rsidR="000F7348" w:rsidRPr="006A7646" w:rsidRDefault="000F7348" w:rsidP="004E251F">
            <w:pPr>
              <w:rPr>
                <w:rFonts w:ascii="Times New Roman" w:hAnsi="Times New Roman" w:cs="Times New Roman"/>
                <w:sz w:val="18"/>
                <w:szCs w:val="20"/>
              </w:rPr>
            </w:pPr>
          </w:p>
        </w:tc>
      </w:tr>
    </w:tbl>
    <w:p w:rsidR="006A7646" w:rsidRPr="006A7646" w:rsidRDefault="006A7646" w:rsidP="00C955E6">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sz w:val="18"/>
        </w:rPr>
      </w:pPr>
    </w:p>
    <w:p w:rsidR="00C955E6" w:rsidRDefault="00C955E6" w:rsidP="00C955E6">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In this instrument (Table 7</w:t>
      </w:r>
      <w:r w:rsidRPr="00C955E6">
        <w:rPr>
          <w:rFonts w:ascii="Times New Roman" w:eastAsia="Times New Roman" w:hAnsi="Times New Roman" w:cs="Times New Roman"/>
          <w:color w:val="000000"/>
        </w:rPr>
        <w:t xml:space="preserve">), construct reliability (CR) and Average Variance Extracted (AVE) are analyzed. Analysis of the choice of construction values ≥0.50 is rated from the loading factor value, then the AVE from 0.518 to 0.796. If the AVE is ≤0.9, the validity of the discriminant is has been satisfying </w:t>
      </w:r>
      <w:r w:rsidR="00E83128">
        <w:rPr>
          <w:rFonts w:ascii="Times New Roman" w:eastAsia="Times New Roman" w:hAnsi="Times New Roman" w:cs="Times New Roman"/>
          <w:color w:val="000000"/>
        </w:rPr>
        <w:t>[24</w:t>
      </w:r>
      <w:r w:rsidR="00D66953">
        <w:rPr>
          <w:rFonts w:ascii="Times New Roman" w:eastAsia="Times New Roman" w:hAnsi="Times New Roman" w:cs="Times New Roman"/>
          <w:color w:val="000000"/>
        </w:rPr>
        <w:t>]</w:t>
      </w:r>
      <w:r w:rsidRPr="00C955E6">
        <w:rPr>
          <w:rFonts w:ascii="Times New Roman" w:eastAsia="Times New Roman" w:hAnsi="Times New Roman" w:cs="Times New Roman"/>
          <w:color w:val="000000"/>
        </w:rPr>
        <w:t xml:space="preserve">. The results of the analysis of all components of the model fulfillment instrument for measuring students' achievements of competence and compatibility with the provisions of </w:t>
      </w:r>
      <w:r w:rsidR="007E1A7E">
        <w:rPr>
          <w:rFonts w:ascii="Times New Roman" w:eastAsia="Times New Roman" w:hAnsi="Times New Roman" w:cs="Times New Roman"/>
          <w:color w:val="000000"/>
        </w:rPr>
        <w:t>[22, 25</w:t>
      </w:r>
      <w:r w:rsidR="00D66953">
        <w:rPr>
          <w:rFonts w:ascii="Times New Roman" w:eastAsia="Times New Roman" w:hAnsi="Times New Roman" w:cs="Times New Roman"/>
          <w:color w:val="000000"/>
        </w:rPr>
        <w:t>]</w:t>
      </w:r>
      <w:r w:rsidR="00B911EA">
        <w:rPr>
          <w:rFonts w:ascii="Times New Roman" w:eastAsia="Times New Roman" w:hAnsi="Times New Roman" w:cs="Times New Roman"/>
          <w:color w:val="000000"/>
        </w:rPr>
        <w:t>.</w:t>
      </w:r>
    </w:p>
    <w:p w:rsidR="00335B8E" w:rsidRPr="006A7646" w:rsidRDefault="00335B8E" w:rsidP="00C955E6">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sz w:val="18"/>
        </w:rPr>
      </w:pPr>
    </w:p>
    <w:p w:rsidR="00C955E6" w:rsidRDefault="00C955E6" w:rsidP="00C955E6">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C955E6">
        <w:rPr>
          <w:rFonts w:ascii="Times New Roman" w:eastAsia="Times New Roman" w:hAnsi="Times New Roman" w:cs="Times New Roman"/>
          <w:b/>
          <w:color w:val="000000"/>
        </w:rPr>
        <w:t xml:space="preserve">Table </w:t>
      </w:r>
      <w:r w:rsidR="001C62E6">
        <w:rPr>
          <w:rFonts w:ascii="Times New Roman" w:eastAsia="Times New Roman" w:hAnsi="Times New Roman" w:cs="Times New Roman"/>
          <w:b/>
          <w:color w:val="000000"/>
        </w:rPr>
        <w:t>7</w:t>
      </w:r>
      <w:r w:rsidRPr="00C955E6">
        <w:rPr>
          <w:rFonts w:ascii="Times New Roman" w:eastAsia="Times New Roman" w:hAnsi="Times New Roman" w:cs="Times New Roman"/>
          <w:b/>
          <w:color w:val="000000"/>
        </w:rPr>
        <w:t>.</w:t>
      </w:r>
      <w:r w:rsidRPr="00C955E6">
        <w:rPr>
          <w:rFonts w:ascii="Times New Roman" w:eastAsia="Times New Roman" w:hAnsi="Times New Roman" w:cs="Times New Roman"/>
          <w:color w:val="000000"/>
        </w:rPr>
        <w:t xml:space="preserve"> CFA result, construct validity evaluation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621"/>
        <w:gridCol w:w="621"/>
      </w:tblGrid>
      <w:tr w:rsidR="00000E79" w:rsidRPr="006A7646" w:rsidTr="008501B2">
        <w:trPr>
          <w:trHeight w:val="57"/>
          <w:jc w:val="center"/>
        </w:trPr>
        <w:tc>
          <w:tcPr>
            <w:tcW w:w="0" w:type="auto"/>
            <w:tcBorders>
              <w:top w:val="single" w:sz="4" w:space="0" w:color="000000" w:themeColor="text1"/>
              <w:bottom w:val="single" w:sz="4" w:space="0" w:color="000000" w:themeColor="text1"/>
            </w:tcBorders>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Construct</w:t>
            </w:r>
          </w:p>
        </w:tc>
        <w:tc>
          <w:tcPr>
            <w:tcW w:w="0" w:type="auto"/>
            <w:tcBorders>
              <w:top w:val="single" w:sz="4" w:space="0" w:color="000000" w:themeColor="text1"/>
              <w:bottom w:val="single" w:sz="4" w:space="0" w:color="000000" w:themeColor="text1"/>
            </w:tcBorders>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CR</w:t>
            </w:r>
          </w:p>
        </w:tc>
        <w:tc>
          <w:tcPr>
            <w:tcW w:w="0" w:type="auto"/>
            <w:tcBorders>
              <w:top w:val="single" w:sz="4" w:space="0" w:color="000000" w:themeColor="text1"/>
              <w:bottom w:val="single" w:sz="4" w:space="0" w:color="000000" w:themeColor="text1"/>
            </w:tcBorders>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AVE</w:t>
            </w:r>
          </w:p>
        </w:tc>
      </w:tr>
      <w:tr w:rsidR="00000E79" w:rsidRPr="006A7646" w:rsidTr="008501B2">
        <w:trPr>
          <w:trHeight w:val="57"/>
          <w:jc w:val="center"/>
        </w:trPr>
        <w:tc>
          <w:tcPr>
            <w:tcW w:w="0" w:type="auto"/>
            <w:tcBorders>
              <w:top w:val="single" w:sz="4" w:space="0" w:color="000000" w:themeColor="text1"/>
            </w:tcBorders>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General competence</w:t>
            </w:r>
          </w:p>
        </w:tc>
        <w:tc>
          <w:tcPr>
            <w:tcW w:w="0" w:type="auto"/>
            <w:tcBorders>
              <w:top w:val="single" w:sz="4" w:space="0" w:color="000000" w:themeColor="text1"/>
            </w:tcBorders>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0,928</w:t>
            </w:r>
          </w:p>
        </w:tc>
        <w:tc>
          <w:tcPr>
            <w:tcW w:w="0" w:type="auto"/>
            <w:tcBorders>
              <w:top w:val="single" w:sz="4" w:space="0" w:color="000000" w:themeColor="text1"/>
            </w:tcBorders>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0,518</w:t>
            </w:r>
          </w:p>
        </w:tc>
      </w:tr>
      <w:tr w:rsidR="00000E79" w:rsidRPr="006A7646" w:rsidTr="008501B2">
        <w:trPr>
          <w:trHeight w:val="57"/>
          <w:jc w:val="center"/>
        </w:trPr>
        <w:tc>
          <w:tcPr>
            <w:tcW w:w="0" w:type="auto"/>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Technical drawing competencies</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0,914</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0,504</w:t>
            </w:r>
          </w:p>
        </w:tc>
      </w:tr>
      <w:tr w:rsidR="00000E79" w:rsidRPr="006A7646" w:rsidTr="008501B2">
        <w:trPr>
          <w:trHeight w:val="57"/>
          <w:jc w:val="center"/>
        </w:trPr>
        <w:tc>
          <w:tcPr>
            <w:tcW w:w="0" w:type="auto"/>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Statically structures competence</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0,955</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0,630</w:t>
            </w:r>
          </w:p>
        </w:tc>
      </w:tr>
      <w:tr w:rsidR="00000E79" w:rsidRPr="006A7646" w:rsidTr="008501B2">
        <w:trPr>
          <w:trHeight w:val="57"/>
          <w:jc w:val="center"/>
        </w:trPr>
        <w:tc>
          <w:tcPr>
            <w:tcW w:w="0" w:type="auto"/>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Basic building construction competencies</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0,964</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0,796</w:t>
            </w:r>
          </w:p>
        </w:tc>
      </w:tr>
      <w:tr w:rsidR="00000E79" w:rsidRPr="006A7646" w:rsidTr="008501B2">
        <w:trPr>
          <w:trHeight w:val="57"/>
          <w:jc w:val="center"/>
        </w:trPr>
        <w:tc>
          <w:tcPr>
            <w:tcW w:w="0" w:type="auto"/>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Land measurement engineering competencies</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0,929</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0,711</w:t>
            </w:r>
          </w:p>
        </w:tc>
      </w:tr>
      <w:tr w:rsidR="00000E79" w:rsidRPr="006A7646" w:rsidTr="008501B2">
        <w:trPr>
          <w:trHeight w:val="57"/>
          <w:jc w:val="center"/>
        </w:trPr>
        <w:tc>
          <w:tcPr>
            <w:tcW w:w="0" w:type="auto"/>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Software application and building interior design competencies</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0,948</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0,569</w:t>
            </w:r>
          </w:p>
        </w:tc>
      </w:tr>
      <w:tr w:rsidR="00000E79" w:rsidRPr="006A7646" w:rsidTr="008501B2">
        <w:trPr>
          <w:trHeight w:val="57"/>
          <w:jc w:val="center"/>
        </w:trPr>
        <w:tc>
          <w:tcPr>
            <w:tcW w:w="0" w:type="auto"/>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Road and bridge construction competencies</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0,974</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0,769</w:t>
            </w:r>
          </w:p>
        </w:tc>
      </w:tr>
      <w:tr w:rsidR="00000E79" w:rsidRPr="006A7646" w:rsidTr="008501B2">
        <w:trPr>
          <w:trHeight w:val="57"/>
          <w:jc w:val="center"/>
        </w:trPr>
        <w:tc>
          <w:tcPr>
            <w:tcW w:w="0" w:type="auto"/>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Estimated construction costs competencies</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0,971</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0,748</w:t>
            </w:r>
          </w:p>
        </w:tc>
      </w:tr>
      <w:tr w:rsidR="00000E79" w:rsidRPr="006A7646" w:rsidTr="008501B2">
        <w:trPr>
          <w:trHeight w:val="57"/>
          <w:jc w:val="center"/>
        </w:trPr>
        <w:tc>
          <w:tcPr>
            <w:tcW w:w="0" w:type="auto"/>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Building construction and utility competencies</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0,958</w:t>
            </w:r>
          </w:p>
        </w:tc>
        <w:tc>
          <w:tcPr>
            <w:tcW w:w="0" w:type="auto"/>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0,541</w:t>
            </w:r>
          </w:p>
        </w:tc>
      </w:tr>
      <w:tr w:rsidR="00000E79" w:rsidRPr="006A7646" w:rsidTr="008501B2">
        <w:trPr>
          <w:trHeight w:val="57"/>
          <w:jc w:val="center"/>
        </w:trPr>
        <w:tc>
          <w:tcPr>
            <w:tcW w:w="0" w:type="auto"/>
            <w:tcBorders>
              <w:bottom w:val="single" w:sz="4" w:space="0" w:color="000000" w:themeColor="text1"/>
            </w:tcBorders>
            <w:vAlign w:val="center"/>
          </w:tcPr>
          <w:p w:rsidR="00000E79" w:rsidRPr="006A7646" w:rsidRDefault="00000E79" w:rsidP="00000E79">
            <w:pPr>
              <w:spacing w:line="276" w:lineRule="auto"/>
              <w:rPr>
                <w:rFonts w:ascii="Times New Roman" w:hAnsi="Times New Roman" w:cs="Times New Roman"/>
                <w:sz w:val="18"/>
                <w:szCs w:val="20"/>
              </w:rPr>
            </w:pPr>
            <w:r w:rsidRPr="006A7646">
              <w:rPr>
                <w:rFonts w:ascii="Times New Roman" w:hAnsi="Times New Roman" w:cs="Times New Roman"/>
                <w:sz w:val="18"/>
                <w:szCs w:val="20"/>
              </w:rPr>
              <w:t>Creative and entrepreneurship product competencies</w:t>
            </w:r>
          </w:p>
        </w:tc>
        <w:tc>
          <w:tcPr>
            <w:tcW w:w="0" w:type="auto"/>
            <w:tcBorders>
              <w:bottom w:val="single" w:sz="4" w:space="0" w:color="000000" w:themeColor="text1"/>
            </w:tcBorders>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0,879</w:t>
            </w:r>
          </w:p>
        </w:tc>
        <w:tc>
          <w:tcPr>
            <w:tcW w:w="0" w:type="auto"/>
            <w:tcBorders>
              <w:bottom w:val="single" w:sz="4" w:space="0" w:color="000000" w:themeColor="text1"/>
            </w:tcBorders>
            <w:vAlign w:val="center"/>
          </w:tcPr>
          <w:p w:rsidR="00000E79" w:rsidRPr="006A7646" w:rsidRDefault="00000E79" w:rsidP="00000E79">
            <w:pPr>
              <w:spacing w:line="276" w:lineRule="auto"/>
              <w:jc w:val="center"/>
              <w:rPr>
                <w:rFonts w:ascii="Times New Roman" w:hAnsi="Times New Roman" w:cs="Times New Roman"/>
                <w:sz w:val="18"/>
                <w:szCs w:val="20"/>
              </w:rPr>
            </w:pPr>
            <w:r w:rsidRPr="006A7646">
              <w:rPr>
                <w:rFonts w:ascii="Times New Roman" w:hAnsi="Times New Roman" w:cs="Times New Roman"/>
                <w:sz w:val="18"/>
                <w:szCs w:val="20"/>
              </w:rPr>
              <w:t>0,586</w:t>
            </w:r>
          </w:p>
        </w:tc>
      </w:tr>
    </w:tbl>
    <w:p w:rsidR="00B46A30" w:rsidRDefault="00B46A30" w:rsidP="00335B8E">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B46A30">
        <w:rPr>
          <w:rFonts w:ascii="Times New Roman" w:eastAsia="Times New Roman" w:hAnsi="Times New Roman" w:cs="Times New Roman"/>
          <w:color w:val="000000"/>
        </w:rPr>
        <w:lastRenderedPageBreak/>
        <w:t xml:space="preserve">This structure is in accordance with the original fact structure, although 20 items of competency items have fallen out of 20 items because the data do not meet the descriptive statistical requirements and data normality so there are still 30 items of competency items. The findings of this study are consistent with previous studies </w:t>
      </w:r>
      <w:r w:rsidR="007E1A7E">
        <w:rPr>
          <w:rFonts w:ascii="Times New Roman" w:eastAsia="Times New Roman" w:hAnsi="Times New Roman" w:cs="Times New Roman"/>
          <w:color w:val="000000"/>
        </w:rPr>
        <w:t>[22, 25</w:t>
      </w:r>
      <w:r w:rsidR="00335B8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B46A30">
        <w:rPr>
          <w:rFonts w:ascii="Times New Roman" w:eastAsia="Times New Roman" w:hAnsi="Times New Roman" w:cs="Times New Roman"/>
          <w:color w:val="000000"/>
        </w:rPr>
        <w:t>The CFA approach also verifies and proves the suitability of variants on instruments to measure the level of mastery of student competencies. The reliability value can reach the target for the Indonesian sample in the feasible category. The hypothesis of the instrument for measuring competency mastery has been valid and reliable to be implemented in vocational education students in Indonesia.</w:t>
      </w:r>
    </w:p>
    <w:p w:rsidR="00B46A30" w:rsidRPr="00B46A30" w:rsidRDefault="00B46A30" w:rsidP="00B46A30">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p>
    <w:p w:rsidR="006B7DFA" w:rsidRDefault="002E4D1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0F4D1A" w:rsidRPr="000F4D1A" w:rsidRDefault="000F4D1A" w:rsidP="00E368E0">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0F4D1A">
        <w:rPr>
          <w:rFonts w:ascii="Times New Roman" w:eastAsia="Times New Roman" w:hAnsi="Times New Roman" w:cs="Times New Roman"/>
          <w:color w:val="000000"/>
        </w:rPr>
        <w:t xml:space="preserve">This study confirms the validity and reliability of measurement instruments for achieving the competency level of architectural engineering vocational students in Indonesia. It is expected that this research as information material for vocational teachers in adding insight and compilation of competencies needed by the construction service industry in the learning process so as to improve the competency of postgraduate students, so that schools can be used as </w:t>
      </w:r>
      <w:r w:rsidR="00E368E0">
        <w:rPr>
          <w:rFonts w:ascii="Times New Roman" w:eastAsia="Times New Roman" w:hAnsi="Times New Roman" w:cs="Times New Roman"/>
          <w:color w:val="000000"/>
        </w:rPr>
        <w:t>information, recommendations</w:t>
      </w:r>
      <w:r w:rsidRPr="000F4D1A">
        <w:rPr>
          <w:rFonts w:ascii="Times New Roman" w:eastAsia="Times New Roman" w:hAnsi="Times New Roman" w:cs="Times New Roman"/>
          <w:color w:val="000000"/>
        </w:rPr>
        <w:t>, implementing and monitoring school programs, especially in the implementation of school curriculum programs, in the teaching and learning process so as to improve the mastery of student competencies in accordance with the needs of the world of construction service sector work.</w:t>
      </w:r>
    </w:p>
    <w:p w:rsidR="006B7DFA" w:rsidRDefault="000F4D1A" w:rsidP="008F013E">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0F4D1A">
        <w:rPr>
          <w:rFonts w:ascii="Times New Roman" w:eastAsia="Times New Roman" w:hAnsi="Times New Roman" w:cs="Times New Roman"/>
          <w:color w:val="000000"/>
        </w:rPr>
        <w:t>This research can be as a recommendation for vocational schools in adding insight in the compilation of competencies needed by the construction industry in the learning process so as to improve the competency of architecture engineering students in Indonesia, as input and curriculum development in vocational engineering architectural techniques, and can be used as information and input in preparing graduates to be ready to work in the construction industry in order to become competent graduates in accordance with the needs and development of technology.</w:t>
      </w:r>
      <w:r w:rsidR="008F013E">
        <w:rPr>
          <w:rFonts w:ascii="Times New Roman" w:eastAsia="Times New Roman" w:hAnsi="Times New Roman" w:cs="Times New Roman"/>
          <w:color w:val="000000"/>
        </w:rPr>
        <w:t xml:space="preserve"> </w:t>
      </w:r>
      <w:r w:rsidRPr="000F4D1A">
        <w:rPr>
          <w:rFonts w:ascii="Times New Roman" w:eastAsia="Times New Roman" w:hAnsi="Times New Roman" w:cs="Times New Roman"/>
          <w:color w:val="000000"/>
        </w:rPr>
        <w:t>For the construction industry it can be used as information, advice, and input in making and planning policies in planning, and overseeing programs in improving and developing the competence of construction workers and other policies related to employment in Indonesia and building cooperation with the construction industry so that graduates will be competent in accordance with their fields and in line with expectations.</w:t>
      </w:r>
    </w:p>
    <w:p w:rsidR="004A4382" w:rsidRDefault="004A4382" w:rsidP="008F013E">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p>
    <w:p w:rsidR="006B7DFA" w:rsidRDefault="002E4D1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CA4BC1" w:rsidRPr="00CA4BC1" w:rsidRDefault="006466D4" w:rsidP="006466D4">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lang w:val="id-ID"/>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3B4531">
        <w:rPr>
          <w:rFonts w:ascii="Times New Roman" w:eastAsia="Times New Roman" w:hAnsi="Times New Roman" w:cs="Times New Roman"/>
          <w:color w:val="000000"/>
        </w:rPr>
        <w:t>Slamet</w:t>
      </w:r>
      <w:r w:rsidR="003B4531">
        <w:rPr>
          <w:rFonts w:ascii="Times New Roman" w:hAnsi="Times New Roman" w:cs="Times New Roman"/>
          <w:lang w:val="id-ID"/>
        </w:rPr>
        <w:t xml:space="preserve"> </w:t>
      </w:r>
      <w:r w:rsidR="00122C12">
        <w:rPr>
          <w:rFonts w:ascii="Times New Roman" w:hAnsi="Times New Roman" w:cs="Times New Roman"/>
          <w:lang w:val="en-US"/>
        </w:rPr>
        <w:t xml:space="preserve">P H </w:t>
      </w:r>
      <w:r w:rsidR="003B4531">
        <w:rPr>
          <w:rFonts w:ascii="Times New Roman" w:hAnsi="Times New Roman" w:cs="Times New Roman"/>
          <w:lang w:val="id-ID"/>
        </w:rPr>
        <w:t>2013</w:t>
      </w:r>
      <w:r w:rsidR="00CA4BC1" w:rsidRPr="00CA4BC1">
        <w:rPr>
          <w:rFonts w:ascii="Times New Roman" w:hAnsi="Times New Roman" w:cs="Times New Roman"/>
          <w:lang w:val="id-ID"/>
        </w:rPr>
        <w:t xml:space="preserve"> Pengemba</w:t>
      </w:r>
      <w:r w:rsidR="003B4531">
        <w:rPr>
          <w:rFonts w:ascii="Times New Roman" w:hAnsi="Times New Roman" w:cs="Times New Roman"/>
          <w:lang w:val="id-ID"/>
        </w:rPr>
        <w:t>ngan SMK Model untuk Masa Depan</w:t>
      </w:r>
      <w:r w:rsidR="00CA4BC1" w:rsidRPr="00CA4BC1">
        <w:rPr>
          <w:rFonts w:ascii="Times New Roman" w:hAnsi="Times New Roman" w:cs="Times New Roman"/>
          <w:lang w:val="id-ID"/>
        </w:rPr>
        <w:t xml:space="preserve"> </w:t>
      </w:r>
      <w:r w:rsidR="003B4531">
        <w:rPr>
          <w:rFonts w:ascii="Times New Roman" w:hAnsi="Times New Roman" w:cs="Times New Roman"/>
          <w:i/>
          <w:iCs/>
        </w:rPr>
        <w:t>Cakrawala Pendidikan</w:t>
      </w:r>
      <w:r w:rsidR="00CA4BC1" w:rsidRPr="00CA4BC1">
        <w:rPr>
          <w:rFonts w:ascii="Times New Roman" w:hAnsi="Times New Roman" w:cs="Times New Roman"/>
          <w:lang w:val="id-ID"/>
        </w:rPr>
        <w:t xml:space="preserve">, </w:t>
      </w:r>
      <w:r w:rsidR="003B4531">
        <w:rPr>
          <w:rFonts w:ascii="Times New Roman" w:hAnsi="Times New Roman" w:cs="Times New Roman"/>
          <w:i/>
          <w:lang w:val="en-US"/>
        </w:rPr>
        <w:t xml:space="preserve">32 </w:t>
      </w:r>
      <w:r w:rsidR="003B4531">
        <w:rPr>
          <w:rFonts w:ascii="Times New Roman" w:hAnsi="Times New Roman" w:cs="Times New Roman"/>
          <w:lang w:val="id-ID"/>
        </w:rPr>
        <w:t>(1)</w:t>
      </w:r>
      <w:r w:rsidR="00CA4BC1" w:rsidRPr="00CA4BC1">
        <w:rPr>
          <w:rFonts w:ascii="Times New Roman" w:hAnsi="Times New Roman" w:cs="Times New Roman"/>
          <w:lang w:val="id-ID"/>
        </w:rPr>
        <w:t xml:space="preserve"> </w:t>
      </w:r>
      <w:r w:rsidR="00615D09">
        <w:rPr>
          <w:rFonts w:ascii="Times New Roman" w:hAnsi="Times New Roman" w:cs="Times New Roman"/>
          <w:lang w:val="id-ID"/>
        </w:rPr>
        <w:tab/>
      </w:r>
      <w:r w:rsidR="003B4531">
        <w:rPr>
          <w:rFonts w:ascii="Times New Roman" w:hAnsi="Times New Roman" w:cs="Times New Roman"/>
          <w:lang w:val="en-US"/>
        </w:rPr>
        <w:t xml:space="preserve">p </w:t>
      </w:r>
      <w:r w:rsidR="00CA4BC1" w:rsidRPr="00CA4BC1">
        <w:rPr>
          <w:rFonts w:ascii="Times New Roman" w:hAnsi="Times New Roman" w:cs="Times New Roman"/>
          <w:lang w:val="id-ID"/>
        </w:rPr>
        <w:t>14-26</w:t>
      </w:r>
    </w:p>
    <w:p w:rsidR="00CA4BC1" w:rsidRPr="00CA4BC1" w:rsidRDefault="00FE4888" w:rsidP="006466D4">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lang w:val="id-ID"/>
        </w:rPr>
      </w:pPr>
      <w:r>
        <w:rPr>
          <w:rFonts w:ascii="Times New Roman" w:eastAsia="Times New Roman" w:hAnsi="Times New Roman" w:cs="Times New Roman"/>
          <w:color w:val="000000"/>
        </w:rPr>
        <w:t>[2</w:t>
      </w:r>
      <w:r w:rsidR="006466D4">
        <w:rPr>
          <w:rFonts w:ascii="Times New Roman" w:eastAsia="Times New Roman" w:hAnsi="Times New Roman" w:cs="Times New Roman"/>
          <w:color w:val="000000"/>
        </w:rPr>
        <w:t>]</w:t>
      </w:r>
      <w:r w:rsidR="006466D4">
        <w:rPr>
          <w:rFonts w:ascii="Times New Roman" w:eastAsia="Times New Roman" w:hAnsi="Times New Roman" w:cs="Times New Roman"/>
          <w:color w:val="000000"/>
        </w:rPr>
        <w:tab/>
      </w:r>
      <w:r w:rsidR="00CA4BC1" w:rsidRPr="006466D4">
        <w:rPr>
          <w:rFonts w:ascii="Times New Roman" w:hAnsi="Times New Roman" w:cs="Times New Roman"/>
        </w:rPr>
        <w:t>Widarto</w:t>
      </w:r>
      <w:r w:rsidR="00CA4BC1" w:rsidRPr="00CA4BC1">
        <w:rPr>
          <w:rFonts w:ascii="Times New Roman" w:hAnsi="Times New Roman" w:cs="Times New Roman"/>
          <w:lang w:val="id-ID"/>
        </w:rPr>
        <w:t xml:space="preserve">, Pardjono, </w:t>
      </w:r>
      <w:r w:rsidR="003B4531">
        <w:rPr>
          <w:rFonts w:ascii="Times New Roman" w:hAnsi="Times New Roman" w:cs="Times New Roman"/>
          <w:lang w:val="id-ID"/>
        </w:rPr>
        <w:t xml:space="preserve">Widodo, </w:t>
      </w:r>
      <w:r w:rsidR="008D226D">
        <w:rPr>
          <w:rFonts w:ascii="Times New Roman" w:hAnsi="Times New Roman" w:cs="Times New Roman"/>
        </w:rPr>
        <w:t>and</w:t>
      </w:r>
      <w:r w:rsidR="008D226D">
        <w:rPr>
          <w:rFonts w:ascii="Times New Roman" w:hAnsi="Times New Roman" w:cs="Times New Roman"/>
          <w:lang w:val="id-ID"/>
        </w:rPr>
        <w:t xml:space="preserve"> </w:t>
      </w:r>
      <w:r w:rsidR="003B4531">
        <w:rPr>
          <w:rFonts w:ascii="Times New Roman" w:hAnsi="Times New Roman" w:cs="Times New Roman"/>
          <w:lang w:val="id-ID"/>
        </w:rPr>
        <w:t xml:space="preserve">Noto 2012 </w:t>
      </w:r>
      <w:r w:rsidR="00CA4BC1" w:rsidRPr="00CA4BC1">
        <w:rPr>
          <w:rFonts w:ascii="Times New Roman" w:hAnsi="Times New Roman" w:cs="Times New Roman"/>
          <w:lang w:val="id-ID"/>
        </w:rPr>
        <w:t xml:space="preserve">Pengembangan Model Pembelajaran </w:t>
      </w:r>
      <w:r w:rsidR="00CA4BC1" w:rsidRPr="00CA4BC1">
        <w:rPr>
          <w:rFonts w:ascii="Times New Roman" w:hAnsi="Times New Roman" w:cs="Times New Roman"/>
          <w:i/>
          <w:iCs/>
          <w:lang w:val="id-ID"/>
        </w:rPr>
        <w:t>Soft Skills</w:t>
      </w:r>
      <w:r w:rsidR="00CA4BC1" w:rsidRPr="00CA4BC1">
        <w:rPr>
          <w:rFonts w:ascii="Times New Roman" w:hAnsi="Times New Roman" w:cs="Times New Roman"/>
          <w:lang w:val="id-ID"/>
        </w:rPr>
        <w:t xml:space="preserve"> dan </w:t>
      </w:r>
      <w:r w:rsidR="008D226D">
        <w:rPr>
          <w:rFonts w:ascii="Times New Roman" w:hAnsi="Times New Roman" w:cs="Times New Roman"/>
          <w:lang w:val="id-ID"/>
        </w:rPr>
        <w:tab/>
      </w:r>
      <w:r w:rsidR="00CA4BC1" w:rsidRPr="00CA4BC1">
        <w:rPr>
          <w:rFonts w:ascii="Times New Roman" w:hAnsi="Times New Roman" w:cs="Times New Roman"/>
          <w:i/>
          <w:iCs/>
          <w:lang w:val="id-ID"/>
        </w:rPr>
        <w:t>Hard Skills</w:t>
      </w:r>
      <w:r w:rsidR="003B4531">
        <w:rPr>
          <w:rFonts w:ascii="Times New Roman" w:hAnsi="Times New Roman" w:cs="Times New Roman"/>
          <w:lang w:val="id-ID"/>
        </w:rPr>
        <w:t xml:space="preserve"> untuk Siswa SMK</w:t>
      </w:r>
      <w:r w:rsidR="00CA4BC1" w:rsidRPr="00CA4BC1">
        <w:rPr>
          <w:rFonts w:ascii="Times New Roman" w:hAnsi="Times New Roman" w:cs="Times New Roman"/>
          <w:lang w:val="id-ID"/>
        </w:rPr>
        <w:t xml:space="preserve"> </w:t>
      </w:r>
      <w:r w:rsidR="003B4531">
        <w:rPr>
          <w:rFonts w:ascii="Times New Roman" w:hAnsi="Times New Roman" w:cs="Times New Roman"/>
          <w:i/>
          <w:iCs/>
        </w:rPr>
        <w:t>Cakrawala Pendidikan</w:t>
      </w:r>
      <w:r w:rsidR="00CA4BC1" w:rsidRPr="00CA4BC1">
        <w:rPr>
          <w:rFonts w:ascii="Times New Roman" w:hAnsi="Times New Roman" w:cs="Times New Roman"/>
          <w:i/>
          <w:iCs/>
        </w:rPr>
        <w:t>,</w:t>
      </w:r>
      <w:r w:rsidR="00CA4BC1" w:rsidRPr="00CA4BC1">
        <w:rPr>
          <w:rFonts w:ascii="Times New Roman" w:hAnsi="Times New Roman" w:cs="Times New Roman"/>
          <w:i/>
          <w:iCs/>
          <w:lang w:val="id-ID"/>
        </w:rPr>
        <w:t xml:space="preserve"> </w:t>
      </w:r>
      <w:r w:rsidR="003B4531">
        <w:rPr>
          <w:rFonts w:ascii="Times New Roman" w:hAnsi="Times New Roman" w:cs="Times New Roman"/>
          <w:i/>
          <w:lang w:val="en-US"/>
        </w:rPr>
        <w:t xml:space="preserve">31 </w:t>
      </w:r>
      <w:r w:rsidR="00CA4BC1" w:rsidRPr="00CA4BC1">
        <w:rPr>
          <w:rFonts w:ascii="Times New Roman" w:hAnsi="Times New Roman" w:cs="Times New Roman"/>
          <w:lang w:val="id-ID"/>
        </w:rPr>
        <w:t xml:space="preserve">(3), </w:t>
      </w:r>
      <w:r w:rsidR="003B4531">
        <w:rPr>
          <w:rFonts w:ascii="Times New Roman" w:hAnsi="Times New Roman" w:cs="Times New Roman"/>
          <w:lang w:val="id-ID"/>
        </w:rPr>
        <w:t>p 409-423</w:t>
      </w:r>
    </w:p>
    <w:p w:rsidR="00CA4BC1" w:rsidRPr="00CA4BC1" w:rsidRDefault="00FE4888" w:rsidP="00CA4347">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[3</w:t>
      </w:r>
      <w:r w:rsidR="00CA4347">
        <w:rPr>
          <w:rFonts w:ascii="Times New Roman" w:eastAsia="Times New Roman" w:hAnsi="Times New Roman" w:cs="Times New Roman"/>
          <w:color w:val="000000"/>
        </w:rPr>
        <w:t>]</w:t>
      </w:r>
      <w:r w:rsidR="00CA4347">
        <w:rPr>
          <w:rFonts w:ascii="Times New Roman" w:eastAsia="Times New Roman" w:hAnsi="Times New Roman" w:cs="Times New Roman"/>
          <w:color w:val="000000"/>
        </w:rPr>
        <w:tab/>
      </w:r>
      <w:r w:rsidR="00CA4BC1" w:rsidRPr="00CA4347">
        <w:rPr>
          <w:rFonts w:ascii="Times New Roman" w:hAnsi="Times New Roman" w:cs="Times New Roman"/>
        </w:rPr>
        <w:t>Schwa</w:t>
      </w:r>
      <w:r w:rsidR="003B4531">
        <w:rPr>
          <w:rFonts w:ascii="Times New Roman" w:hAnsi="Times New Roman" w:cs="Times New Roman"/>
        </w:rPr>
        <w:t xml:space="preserve"> K 2019</w:t>
      </w:r>
      <w:r w:rsidR="00CA4BC1" w:rsidRPr="00CA4BC1">
        <w:rPr>
          <w:rFonts w:ascii="Times New Roman" w:hAnsi="Times New Roman" w:cs="Times New Roman"/>
        </w:rPr>
        <w:t xml:space="preserve"> </w:t>
      </w:r>
      <w:r w:rsidR="00CA4BC1" w:rsidRPr="00CA4BC1">
        <w:rPr>
          <w:rFonts w:ascii="Times New Roman" w:hAnsi="Times New Roman" w:cs="Times New Roman"/>
          <w:i/>
        </w:rPr>
        <w:t>Insight Report: The Global Competitiveness Report 2019</w:t>
      </w:r>
      <w:r w:rsidR="00CA4BC1" w:rsidRPr="00CA4BC1">
        <w:rPr>
          <w:rFonts w:ascii="Times New Roman" w:hAnsi="Times New Roman" w:cs="Times New Roman"/>
        </w:rPr>
        <w:t xml:space="preserve"> </w:t>
      </w:r>
      <w:r w:rsidR="003B4531">
        <w:rPr>
          <w:rFonts w:ascii="Times New Roman" w:hAnsi="Times New Roman" w:cs="Times New Roman"/>
        </w:rPr>
        <w:t>(</w:t>
      </w:r>
      <w:r w:rsidR="00CA4BC1" w:rsidRPr="00CA4BC1">
        <w:rPr>
          <w:rFonts w:ascii="Times New Roman" w:hAnsi="Times New Roman" w:cs="Times New Roman"/>
        </w:rPr>
        <w:t xml:space="preserve">World </w:t>
      </w:r>
      <w:r w:rsidR="00CA4BC1" w:rsidRPr="00CA4BC1">
        <w:rPr>
          <w:rFonts w:ascii="Times New Roman" w:hAnsi="Times New Roman" w:cs="Times New Roman"/>
          <w:color w:val="000000"/>
        </w:rPr>
        <w:t>Economic</w:t>
      </w:r>
      <w:r w:rsidR="00CA4BC1" w:rsidRPr="00CA4BC1">
        <w:rPr>
          <w:rFonts w:ascii="Times New Roman" w:hAnsi="Times New Roman" w:cs="Times New Roman"/>
        </w:rPr>
        <w:t xml:space="preserve"> </w:t>
      </w:r>
      <w:r w:rsidR="00893A85">
        <w:rPr>
          <w:rFonts w:ascii="Times New Roman" w:hAnsi="Times New Roman" w:cs="Times New Roman"/>
        </w:rPr>
        <w:tab/>
      </w:r>
      <w:r w:rsidR="00CA4BC1" w:rsidRPr="00CA4BC1">
        <w:rPr>
          <w:rFonts w:ascii="Times New Roman" w:hAnsi="Times New Roman" w:cs="Times New Roman"/>
        </w:rPr>
        <w:t>Forum: Switzerlan</w:t>
      </w:r>
      <w:r w:rsidR="003B4531">
        <w:rPr>
          <w:rFonts w:ascii="Times New Roman" w:hAnsi="Times New Roman" w:cs="Times New Roman"/>
        </w:rPr>
        <w:t>)</w:t>
      </w:r>
    </w:p>
    <w:p w:rsidR="00CA4BC1" w:rsidRPr="00CA4BC1" w:rsidRDefault="00FE4888" w:rsidP="00122C12">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[4</w:t>
      </w:r>
      <w:r w:rsidR="00CA4347">
        <w:rPr>
          <w:rFonts w:ascii="Times New Roman" w:eastAsia="Times New Roman" w:hAnsi="Times New Roman" w:cs="Times New Roman"/>
          <w:color w:val="000000"/>
        </w:rPr>
        <w:t>]</w:t>
      </w:r>
      <w:r w:rsidR="00CA4347">
        <w:rPr>
          <w:rFonts w:ascii="Times New Roman" w:eastAsia="Times New Roman" w:hAnsi="Times New Roman" w:cs="Times New Roman"/>
          <w:color w:val="000000"/>
        </w:rPr>
        <w:tab/>
      </w:r>
      <w:r w:rsidR="00CA4BC1" w:rsidRPr="00A977FC">
        <w:rPr>
          <w:rFonts w:ascii="Times New Roman" w:hAnsi="Times New Roman" w:cs="Times New Roman"/>
        </w:rPr>
        <w:t>INSEAD</w:t>
      </w:r>
      <w:r w:rsidR="003B4531">
        <w:rPr>
          <w:rFonts w:ascii="Times New Roman" w:hAnsi="Times New Roman" w:cs="Times New Roman"/>
        </w:rPr>
        <w:t xml:space="preserve"> the Adecco Group and Tata Communications 2019</w:t>
      </w:r>
      <w:r w:rsidR="00CA4BC1" w:rsidRPr="00CA4BC1">
        <w:rPr>
          <w:rFonts w:ascii="Times New Roman" w:hAnsi="Times New Roman" w:cs="Times New Roman"/>
        </w:rPr>
        <w:t xml:space="preserve">  </w:t>
      </w:r>
      <w:r w:rsidR="00122C12">
        <w:rPr>
          <w:rFonts w:ascii="Times New Roman" w:hAnsi="Times New Roman" w:cs="Times New Roman"/>
          <w:i/>
        </w:rPr>
        <w:t xml:space="preserve">The Global Talent </w:t>
      </w:r>
      <w:r w:rsidR="00CA4BC1" w:rsidRPr="003B4531">
        <w:rPr>
          <w:rFonts w:ascii="Times New Roman" w:hAnsi="Times New Roman" w:cs="Times New Roman"/>
          <w:i/>
        </w:rPr>
        <w:t xml:space="preserve">Competitiveness </w:t>
      </w:r>
      <w:r w:rsidR="00122C12">
        <w:rPr>
          <w:rFonts w:ascii="Times New Roman" w:hAnsi="Times New Roman" w:cs="Times New Roman"/>
          <w:i/>
        </w:rPr>
        <w:tab/>
      </w:r>
      <w:r w:rsidR="00CA4BC1" w:rsidRPr="003B4531">
        <w:rPr>
          <w:rFonts w:ascii="Times New Roman" w:hAnsi="Times New Roman" w:cs="Times New Roman"/>
          <w:i/>
        </w:rPr>
        <w:t>Index 2019</w:t>
      </w:r>
      <w:r w:rsidR="00CA4BC1" w:rsidRPr="00CA4BC1">
        <w:rPr>
          <w:rFonts w:ascii="Times New Roman" w:hAnsi="Times New Roman" w:cs="Times New Roman"/>
        </w:rPr>
        <w:t xml:space="preserve"> </w:t>
      </w:r>
      <w:r w:rsidR="003B4531">
        <w:rPr>
          <w:rFonts w:ascii="Times New Roman" w:hAnsi="Times New Roman" w:cs="Times New Roman"/>
        </w:rPr>
        <w:t>(</w:t>
      </w:r>
      <w:r w:rsidR="00CA4BC1" w:rsidRPr="00CA4BC1">
        <w:rPr>
          <w:rFonts w:ascii="Times New Roman" w:hAnsi="Times New Roman" w:cs="Times New Roman"/>
        </w:rPr>
        <w:t>Fontainebleau: France</w:t>
      </w:r>
      <w:r w:rsidR="003B4531">
        <w:rPr>
          <w:rFonts w:ascii="Times New Roman" w:hAnsi="Times New Roman" w:cs="Times New Roman"/>
        </w:rPr>
        <w:t>)</w:t>
      </w:r>
    </w:p>
    <w:p w:rsidR="001667A6" w:rsidRDefault="00FE4888" w:rsidP="00A977FC">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[5</w:t>
      </w:r>
      <w:r w:rsidR="00CA4347">
        <w:rPr>
          <w:rFonts w:ascii="Times New Roman" w:eastAsia="Times New Roman" w:hAnsi="Times New Roman" w:cs="Times New Roman"/>
          <w:color w:val="000000"/>
        </w:rPr>
        <w:t>]</w:t>
      </w:r>
      <w:r w:rsidR="00CA4347">
        <w:rPr>
          <w:rFonts w:ascii="Times New Roman" w:eastAsia="Times New Roman" w:hAnsi="Times New Roman" w:cs="Times New Roman"/>
          <w:color w:val="000000"/>
        </w:rPr>
        <w:tab/>
      </w:r>
      <w:r w:rsidR="003B4531">
        <w:rPr>
          <w:rFonts w:ascii="Times New Roman" w:hAnsi="Times New Roman" w:cs="Times New Roman"/>
        </w:rPr>
        <w:t>Spoettl</w:t>
      </w:r>
      <w:r w:rsidR="00A977FC">
        <w:rPr>
          <w:rFonts w:ascii="Times New Roman" w:hAnsi="Times New Roman" w:cs="Times New Roman"/>
        </w:rPr>
        <w:t xml:space="preserve"> </w:t>
      </w:r>
      <w:r w:rsidR="003B4531">
        <w:rPr>
          <w:rFonts w:ascii="Times New Roman" w:hAnsi="Times New Roman" w:cs="Times New Roman"/>
        </w:rPr>
        <w:t>G</w:t>
      </w:r>
      <w:r w:rsidR="001667A6">
        <w:rPr>
          <w:rFonts w:ascii="Times New Roman" w:hAnsi="Times New Roman" w:cs="Times New Roman"/>
        </w:rPr>
        <w:t xml:space="preserve"> </w:t>
      </w:r>
      <w:r w:rsidR="00F20B3F">
        <w:rPr>
          <w:rFonts w:ascii="Times New Roman" w:hAnsi="Times New Roman" w:cs="Times New Roman"/>
        </w:rPr>
        <w:t>and</w:t>
      </w:r>
      <w:r w:rsidR="00F20B3F">
        <w:rPr>
          <w:rFonts w:ascii="Times New Roman" w:hAnsi="Times New Roman" w:cs="Times New Roman"/>
          <w:lang w:val="id-ID"/>
        </w:rPr>
        <w:t xml:space="preserve"> </w:t>
      </w:r>
      <w:r w:rsidR="001667A6">
        <w:rPr>
          <w:rFonts w:ascii="Times New Roman" w:hAnsi="Times New Roman" w:cs="Times New Roman"/>
        </w:rPr>
        <w:t>Tutly</w:t>
      </w:r>
      <w:r w:rsidR="003B4531">
        <w:rPr>
          <w:rFonts w:ascii="Times New Roman" w:hAnsi="Times New Roman" w:cs="Times New Roman"/>
        </w:rPr>
        <w:t xml:space="preserve">s V </w:t>
      </w:r>
      <w:r w:rsidR="001667A6">
        <w:rPr>
          <w:rFonts w:ascii="Times New Roman" w:hAnsi="Times New Roman" w:cs="Times New Roman"/>
        </w:rPr>
        <w:t>2020</w:t>
      </w:r>
      <w:r w:rsidR="001667A6" w:rsidRPr="00CA4BC1">
        <w:rPr>
          <w:rFonts w:ascii="Times New Roman" w:hAnsi="Times New Roman" w:cs="Times New Roman"/>
        </w:rPr>
        <w:t xml:space="preserve"> </w:t>
      </w:r>
      <w:r w:rsidR="001667A6">
        <w:rPr>
          <w:rFonts w:ascii="Times New Roman" w:hAnsi="Times New Roman" w:cs="Times New Roman"/>
        </w:rPr>
        <w:t>Education and Training for the Fourth Industrial Revolution</w:t>
      </w:r>
      <w:r w:rsidR="00893A85">
        <w:rPr>
          <w:rFonts w:ascii="Times New Roman" w:hAnsi="Times New Roman" w:cs="Times New Roman"/>
        </w:rPr>
        <w:tab/>
      </w:r>
      <w:r w:rsidR="001667A6" w:rsidRPr="00C751BE">
        <w:rPr>
          <w:rFonts w:ascii="Times New Roman" w:hAnsi="Times New Roman" w:cs="Times New Roman"/>
          <w:i/>
        </w:rPr>
        <w:t>Jurnal Pendidikan Teknologi dan Kejuruan</w:t>
      </w:r>
      <w:r w:rsidR="001667A6" w:rsidRPr="00CA4BC1">
        <w:rPr>
          <w:rFonts w:ascii="Times New Roman" w:hAnsi="Times New Roman" w:cs="Times New Roman"/>
          <w:i/>
        </w:rPr>
        <w:t xml:space="preserve"> </w:t>
      </w:r>
      <w:r w:rsidR="001667A6">
        <w:rPr>
          <w:rFonts w:ascii="Times New Roman" w:hAnsi="Times New Roman" w:cs="Times New Roman"/>
          <w:i/>
        </w:rPr>
        <w:t>26</w:t>
      </w:r>
      <w:r w:rsidR="003B4531">
        <w:rPr>
          <w:rFonts w:ascii="Times New Roman" w:hAnsi="Times New Roman" w:cs="Times New Roman"/>
          <w:i/>
        </w:rPr>
        <w:t xml:space="preserve"> </w:t>
      </w:r>
      <w:r w:rsidR="001667A6">
        <w:rPr>
          <w:rFonts w:ascii="Times New Roman" w:hAnsi="Times New Roman" w:cs="Times New Roman"/>
        </w:rPr>
        <w:t>(1</w:t>
      </w:r>
      <w:r w:rsidR="003B4531">
        <w:rPr>
          <w:rFonts w:ascii="Times New Roman" w:hAnsi="Times New Roman" w:cs="Times New Roman"/>
        </w:rPr>
        <w:t>)</w:t>
      </w:r>
      <w:r w:rsidR="001667A6" w:rsidRPr="00CA4BC1">
        <w:rPr>
          <w:rFonts w:ascii="Times New Roman" w:hAnsi="Times New Roman" w:cs="Times New Roman"/>
        </w:rPr>
        <w:t xml:space="preserve"> </w:t>
      </w:r>
      <w:r w:rsidR="003B4531">
        <w:rPr>
          <w:rFonts w:ascii="Times New Roman" w:hAnsi="Times New Roman" w:cs="Times New Roman"/>
        </w:rPr>
        <w:t xml:space="preserve">p </w:t>
      </w:r>
      <w:r w:rsidR="001667A6">
        <w:rPr>
          <w:rFonts w:ascii="Times New Roman" w:hAnsi="Times New Roman" w:cs="Times New Roman"/>
        </w:rPr>
        <w:t xml:space="preserve">83-93 </w:t>
      </w:r>
      <w:r w:rsidR="00893A85">
        <w:rPr>
          <w:rFonts w:ascii="Times New Roman" w:hAnsi="Times New Roman" w:cs="Times New Roman"/>
        </w:rPr>
        <w:tab/>
      </w:r>
    </w:p>
    <w:p w:rsidR="00CA4BC1" w:rsidRPr="00762D1A" w:rsidRDefault="00FE4888" w:rsidP="00A977FC">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lang w:val="en-US"/>
        </w:rPr>
      </w:pPr>
      <w:r>
        <w:rPr>
          <w:rFonts w:ascii="Times New Roman" w:eastAsia="Times New Roman" w:hAnsi="Times New Roman" w:cs="Times New Roman"/>
          <w:color w:val="000000"/>
        </w:rPr>
        <w:t>[6</w:t>
      </w:r>
      <w:r w:rsidR="00CA4347">
        <w:rPr>
          <w:rFonts w:ascii="Times New Roman" w:eastAsia="Times New Roman" w:hAnsi="Times New Roman" w:cs="Times New Roman"/>
          <w:color w:val="000000"/>
        </w:rPr>
        <w:t>]</w:t>
      </w:r>
      <w:r w:rsidR="00CA4347">
        <w:rPr>
          <w:rFonts w:ascii="Times New Roman" w:eastAsia="Times New Roman" w:hAnsi="Times New Roman" w:cs="Times New Roman"/>
          <w:color w:val="000000"/>
        </w:rPr>
        <w:tab/>
      </w:r>
      <w:r w:rsidR="00CA4BC1" w:rsidRPr="00A977FC">
        <w:rPr>
          <w:rFonts w:ascii="Times New Roman" w:hAnsi="Times New Roman" w:cs="Times New Roman"/>
        </w:rPr>
        <w:t>Subdirektorat</w:t>
      </w:r>
      <w:r w:rsidR="00762D1A">
        <w:rPr>
          <w:rFonts w:ascii="Times New Roman" w:hAnsi="Times New Roman" w:cs="Times New Roman"/>
          <w:lang w:val="id-ID"/>
        </w:rPr>
        <w:t xml:space="preserve"> Statistik Konstruksi 2019</w:t>
      </w:r>
      <w:r w:rsidR="00CA4BC1" w:rsidRPr="00CA4BC1">
        <w:rPr>
          <w:rFonts w:ascii="Times New Roman" w:hAnsi="Times New Roman" w:cs="Times New Roman"/>
          <w:lang w:val="id-ID"/>
        </w:rPr>
        <w:t xml:space="preserve"> </w:t>
      </w:r>
      <w:r w:rsidR="00CA4BC1" w:rsidRPr="00CA4BC1">
        <w:rPr>
          <w:rFonts w:ascii="Times New Roman" w:hAnsi="Times New Roman" w:cs="Times New Roman"/>
          <w:i/>
          <w:iCs/>
          <w:lang w:val="id-ID"/>
        </w:rPr>
        <w:t xml:space="preserve">Direktori Perusaan Konstruksi: Buku II Pulau Jawa, </w:t>
      </w:r>
      <w:r w:rsidR="00893A85">
        <w:rPr>
          <w:rFonts w:ascii="Times New Roman" w:hAnsi="Times New Roman" w:cs="Times New Roman"/>
          <w:i/>
          <w:iCs/>
          <w:lang w:val="id-ID"/>
        </w:rPr>
        <w:tab/>
      </w:r>
      <w:r w:rsidR="00CA4BC1" w:rsidRPr="00CA4BC1">
        <w:rPr>
          <w:rFonts w:ascii="Times New Roman" w:hAnsi="Times New Roman" w:cs="Times New Roman"/>
          <w:i/>
          <w:iCs/>
          <w:lang w:val="id-ID"/>
        </w:rPr>
        <w:t>bali, Nusa Tenggara, dan Kepulauan Maluku</w:t>
      </w:r>
      <w:r w:rsidR="00CA4BC1" w:rsidRPr="00CA4BC1">
        <w:rPr>
          <w:rFonts w:ascii="Times New Roman" w:hAnsi="Times New Roman" w:cs="Times New Roman"/>
          <w:lang w:val="id-ID"/>
        </w:rPr>
        <w:t xml:space="preserve"> </w:t>
      </w:r>
      <w:r w:rsidR="00762D1A">
        <w:rPr>
          <w:rFonts w:ascii="Times New Roman" w:hAnsi="Times New Roman" w:cs="Times New Roman"/>
          <w:lang w:val="en-US"/>
        </w:rPr>
        <w:t>(</w:t>
      </w:r>
      <w:r w:rsidR="00CA4BC1" w:rsidRPr="00CA4BC1">
        <w:rPr>
          <w:rFonts w:ascii="Times New Roman" w:hAnsi="Times New Roman" w:cs="Times New Roman"/>
          <w:lang w:val="id-ID"/>
        </w:rPr>
        <w:t>BPS RI/BPS-</w:t>
      </w:r>
      <w:r w:rsidR="00CA4BC1" w:rsidRPr="00CA4BC1">
        <w:rPr>
          <w:rFonts w:ascii="Times New Roman" w:hAnsi="Times New Roman" w:cs="Times New Roman"/>
          <w:i/>
          <w:iCs/>
          <w:lang w:val="id-ID"/>
        </w:rPr>
        <w:t>Statistics</w:t>
      </w:r>
      <w:r w:rsidR="00762D1A">
        <w:rPr>
          <w:rFonts w:ascii="Times New Roman" w:hAnsi="Times New Roman" w:cs="Times New Roman"/>
          <w:lang w:val="id-ID"/>
        </w:rPr>
        <w:t xml:space="preserve"> Indonesia</w:t>
      </w:r>
      <w:r w:rsidR="00762D1A">
        <w:rPr>
          <w:rFonts w:ascii="Times New Roman" w:hAnsi="Times New Roman" w:cs="Times New Roman"/>
          <w:lang w:val="en-US"/>
        </w:rPr>
        <w:t>)</w:t>
      </w:r>
    </w:p>
    <w:p w:rsidR="00CA4BC1" w:rsidRPr="00CA4BC1" w:rsidRDefault="00FE4888" w:rsidP="00893A85">
      <w:pPr>
        <w:pBdr>
          <w:top w:val="nil"/>
          <w:left w:val="nil"/>
          <w:bottom w:val="nil"/>
          <w:right w:val="nil"/>
          <w:between w:val="nil"/>
        </w:pBdr>
        <w:tabs>
          <w:tab w:val="left" w:pos="851"/>
        </w:tabs>
        <w:spacing w:after="0" w:line="240" w:lineRule="auto"/>
        <w:ind w:left="570" w:hanging="570"/>
        <w:jc w:val="both"/>
        <w:rPr>
          <w:rFonts w:ascii="Times New Roman" w:hAnsi="Times New Roman" w:cs="Times New Roman"/>
        </w:rPr>
      </w:pPr>
      <w:r>
        <w:rPr>
          <w:rFonts w:ascii="Times New Roman" w:eastAsia="Times New Roman" w:hAnsi="Times New Roman" w:cs="Times New Roman"/>
          <w:color w:val="000000"/>
        </w:rPr>
        <w:t>[7</w:t>
      </w:r>
      <w:r w:rsidR="00A977FC">
        <w:rPr>
          <w:rFonts w:ascii="Times New Roman" w:eastAsia="Times New Roman" w:hAnsi="Times New Roman" w:cs="Times New Roman"/>
          <w:color w:val="000000"/>
        </w:rPr>
        <w:t>]</w:t>
      </w:r>
      <w:r w:rsidR="00A977FC">
        <w:rPr>
          <w:rFonts w:ascii="Times New Roman" w:eastAsia="Times New Roman" w:hAnsi="Times New Roman" w:cs="Times New Roman"/>
          <w:color w:val="000000"/>
        </w:rPr>
        <w:tab/>
      </w:r>
      <w:r w:rsidR="00CA4BC1" w:rsidRPr="00A977FC">
        <w:rPr>
          <w:rFonts w:ascii="Times New Roman" w:hAnsi="Times New Roman" w:cs="Times New Roman"/>
        </w:rPr>
        <w:t>Daryono</w:t>
      </w:r>
      <w:r w:rsidR="00762D1A">
        <w:rPr>
          <w:rFonts w:ascii="Times New Roman" w:hAnsi="Times New Roman" w:cs="Times New Roman"/>
        </w:rPr>
        <w:t xml:space="preserve"> R W</w:t>
      </w:r>
      <w:r w:rsidR="00F20B3F">
        <w:rPr>
          <w:rFonts w:ascii="Times New Roman" w:hAnsi="Times New Roman" w:cs="Times New Roman"/>
        </w:rPr>
        <w:t>,</w:t>
      </w:r>
      <w:r w:rsidR="00762D1A">
        <w:rPr>
          <w:rFonts w:ascii="Times New Roman" w:hAnsi="Times New Roman" w:cs="Times New Roman"/>
        </w:rPr>
        <w:t xml:space="preserve"> Yolando A P</w:t>
      </w:r>
      <w:r w:rsidR="00F20B3F">
        <w:rPr>
          <w:rFonts w:ascii="Times New Roman" w:hAnsi="Times New Roman" w:cs="Times New Roman"/>
        </w:rPr>
        <w:t>,</w:t>
      </w:r>
      <w:r w:rsidR="00762D1A">
        <w:rPr>
          <w:rFonts w:ascii="Times New Roman" w:hAnsi="Times New Roman" w:cs="Times New Roman"/>
        </w:rPr>
        <w:t xml:space="preserve"> Jaedun A</w:t>
      </w:r>
      <w:r w:rsidR="00F20B3F">
        <w:rPr>
          <w:rFonts w:ascii="Times New Roman" w:hAnsi="Times New Roman" w:cs="Times New Roman"/>
        </w:rPr>
        <w:t>, and</w:t>
      </w:r>
      <w:r w:rsidR="00762D1A">
        <w:rPr>
          <w:rFonts w:ascii="Times New Roman" w:hAnsi="Times New Roman" w:cs="Times New Roman"/>
        </w:rPr>
        <w:t xml:space="preserve"> Hidayat N 2020</w:t>
      </w:r>
      <w:r w:rsidR="00CA4BC1" w:rsidRPr="00CA4BC1">
        <w:rPr>
          <w:rFonts w:ascii="Times New Roman" w:hAnsi="Times New Roman" w:cs="Times New Roman"/>
        </w:rPr>
        <w:t xml:space="preserve"> Competency of vocational </w:t>
      </w:r>
      <w:r w:rsidR="00893A85">
        <w:rPr>
          <w:rFonts w:ascii="Times New Roman" w:hAnsi="Times New Roman" w:cs="Times New Roman"/>
        </w:rPr>
        <w:tab/>
      </w:r>
      <w:r w:rsidR="00122C12">
        <w:rPr>
          <w:rFonts w:ascii="Times New Roman" w:hAnsi="Times New Roman" w:cs="Times New Roman"/>
        </w:rPr>
        <w:t xml:space="preserve">schools </w:t>
      </w:r>
      <w:r w:rsidR="00CA4BC1" w:rsidRPr="00CA4BC1">
        <w:rPr>
          <w:rFonts w:ascii="Times New Roman" w:hAnsi="Times New Roman" w:cs="Times New Roman"/>
        </w:rPr>
        <w:t>required by construction industry in consultants’ superviso</w:t>
      </w:r>
      <w:r w:rsidR="00762D1A">
        <w:rPr>
          <w:rFonts w:ascii="Times New Roman" w:hAnsi="Times New Roman" w:cs="Times New Roman"/>
        </w:rPr>
        <w:t>r</w:t>
      </w:r>
      <w:r w:rsidR="00CA4BC1" w:rsidRPr="00CA4BC1">
        <w:rPr>
          <w:rFonts w:ascii="Times New Roman" w:hAnsi="Times New Roman" w:cs="Times New Roman"/>
        </w:rPr>
        <w:t xml:space="preserve"> </w:t>
      </w:r>
      <w:r w:rsidR="00CA4BC1" w:rsidRPr="00CA4BC1">
        <w:rPr>
          <w:rFonts w:ascii="Times New Roman" w:hAnsi="Times New Roman" w:cs="Times New Roman"/>
          <w:i/>
        </w:rPr>
        <w:t xml:space="preserve">Journal of </w:t>
      </w:r>
      <w:r w:rsidR="00893A85">
        <w:rPr>
          <w:rFonts w:ascii="Times New Roman" w:hAnsi="Times New Roman" w:cs="Times New Roman"/>
          <w:i/>
        </w:rPr>
        <w:tab/>
      </w:r>
      <w:r w:rsidR="00122C12">
        <w:rPr>
          <w:rFonts w:ascii="Times New Roman" w:hAnsi="Times New Roman" w:cs="Times New Roman"/>
          <w:i/>
        </w:rPr>
        <w:t xml:space="preserve">Physics: </w:t>
      </w:r>
      <w:r w:rsidR="00122C12">
        <w:rPr>
          <w:rFonts w:ascii="Times New Roman" w:hAnsi="Times New Roman" w:cs="Times New Roman"/>
          <w:i/>
        </w:rPr>
        <w:tab/>
      </w:r>
      <w:r w:rsidR="00762D1A">
        <w:rPr>
          <w:rFonts w:ascii="Times New Roman" w:hAnsi="Times New Roman" w:cs="Times New Roman"/>
          <w:i/>
        </w:rPr>
        <w:t>Conference Series,</w:t>
      </w:r>
      <w:r w:rsidR="00CA4BC1" w:rsidRPr="00CA4BC1">
        <w:rPr>
          <w:rFonts w:ascii="Times New Roman" w:hAnsi="Times New Roman" w:cs="Times New Roman"/>
          <w:i/>
        </w:rPr>
        <w:t xml:space="preserve"> </w:t>
      </w:r>
      <w:r w:rsidR="00CA4BC1" w:rsidRPr="00CA4BC1">
        <w:rPr>
          <w:rFonts w:ascii="Times New Roman" w:hAnsi="Times New Roman" w:cs="Times New Roman"/>
        </w:rPr>
        <w:t>1456</w:t>
      </w:r>
      <w:r w:rsidR="00762D1A">
        <w:rPr>
          <w:rFonts w:ascii="Times New Roman" w:hAnsi="Times New Roman" w:cs="Times New Roman"/>
        </w:rPr>
        <w:t xml:space="preserve"> (012057)</w:t>
      </w:r>
      <w:r w:rsidR="00615D09">
        <w:rPr>
          <w:rFonts w:ascii="Times New Roman" w:hAnsi="Times New Roman" w:cs="Times New Roman"/>
        </w:rPr>
        <w:t xml:space="preserve"> </w:t>
      </w:r>
      <w:r w:rsidR="00CA4BC1" w:rsidRPr="00CA4BC1">
        <w:rPr>
          <w:rFonts w:ascii="Times New Roman" w:hAnsi="Times New Roman" w:cs="Times New Roman"/>
        </w:rPr>
        <w:t>http://doi:10.1088/1742-6596/1456/1/012057</w:t>
      </w:r>
    </w:p>
    <w:p w:rsidR="00CA4BC1" w:rsidRPr="00CA4BC1" w:rsidRDefault="00FE4888" w:rsidP="00A977FC">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[8</w:t>
      </w:r>
      <w:r w:rsidR="00A977FC">
        <w:rPr>
          <w:rFonts w:ascii="Times New Roman" w:eastAsia="Times New Roman" w:hAnsi="Times New Roman" w:cs="Times New Roman"/>
          <w:color w:val="000000"/>
        </w:rPr>
        <w:t>]</w:t>
      </w:r>
      <w:r w:rsidR="00A977FC">
        <w:rPr>
          <w:rFonts w:ascii="Times New Roman" w:eastAsia="Times New Roman" w:hAnsi="Times New Roman" w:cs="Times New Roman"/>
          <w:color w:val="000000"/>
        </w:rPr>
        <w:tab/>
      </w:r>
      <w:r w:rsidR="00CA4BC1" w:rsidRPr="00A977FC">
        <w:rPr>
          <w:rFonts w:ascii="Times New Roman" w:hAnsi="Times New Roman" w:cs="Times New Roman"/>
        </w:rPr>
        <w:t>Kesai</w:t>
      </w:r>
      <w:r w:rsidR="00CA4BC1" w:rsidRPr="00CA4BC1">
        <w:rPr>
          <w:rFonts w:ascii="Times New Roman" w:hAnsi="Times New Roman" w:cs="Times New Roman"/>
        </w:rPr>
        <w:t xml:space="preserve"> P</w:t>
      </w:r>
      <w:r w:rsidR="00762D1A">
        <w:rPr>
          <w:rFonts w:ascii="Times New Roman" w:hAnsi="Times New Roman" w:cs="Times New Roman"/>
        </w:rPr>
        <w:t xml:space="preserve"> 2018 </w:t>
      </w:r>
      <w:r w:rsidR="00CA4BC1" w:rsidRPr="00CA4BC1">
        <w:rPr>
          <w:rFonts w:ascii="Times New Roman" w:hAnsi="Times New Roman" w:cs="Times New Roman"/>
        </w:rPr>
        <w:t xml:space="preserve">Indonesia Position in the Globalization of Construction </w:t>
      </w:r>
      <w:r w:rsidR="00CA4BC1" w:rsidRPr="00CA4BC1">
        <w:rPr>
          <w:rFonts w:ascii="Times New Roman" w:hAnsi="Times New Roman" w:cs="Times New Roman"/>
          <w:lang w:val="id-ID"/>
        </w:rPr>
        <w:t>Industry</w:t>
      </w:r>
      <w:r w:rsidR="00CA4BC1" w:rsidRPr="00CA4BC1">
        <w:rPr>
          <w:rFonts w:ascii="Times New Roman" w:hAnsi="Times New Roman" w:cs="Times New Roman"/>
        </w:rPr>
        <w:t xml:space="preserve"> </w:t>
      </w:r>
      <w:r w:rsidR="00762D1A">
        <w:rPr>
          <w:rFonts w:ascii="Times New Roman" w:hAnsi="Times New Roman" w:cs="Times New Roman"/>
          <w:i/>
        </w:rPr>
        <w:t>IOP Conf</w:t>
      </w:r>
      <w:r w:rsidR="00CA4BC1" w:rsidRPr="00CA4BC1">
        <w:rPr>
          <w:rFonts w:ascii="Times New Roman" w:hAnsi="Times New Roman" w:cs="Times New Roman"/>
          <w:i/>
        </w:rPr>
        <w:t xml:space="preserve"> </w:t>
      </w:r>
      <w:r w:rsidR="00893A85">
        <w:rPr>
          <w:rFonts w:ascii="Times New Roman" w:hAnsi="Times New Roman" w:cs="Times New Roman"/>
          <w:i/>
        </w:rPr>
        <w:tab/>
      </w:r>
      <w:r w:rsidR="00762D1A">
        <w:rPr>
          <w:rFonts w:ascii="Times New Roman" w:hAnsi="Times New Roman" w:cs="Times New Roman"/>
          <w:i/>
        </w:rPr>
        <w:t>Series: Journal of Physics Conf</w:t>
      </w:r>
      <w:r w:rsidR="00CA4BC1" w:rsidRPr="00CA4BC1">
        <w:rPr>
          <w:rFonts w:ascii="Times New Roman" w:hAnsi="Times New Roman" w:cs="Times New Roman"/>
          <w:i/>
        </w:rPr>
        <w:t xml:space="preserve"> WMA-Mathcomtech</w:t>
      </w:r>
      <w:r w:rsidR="00CA4BC1" w:rsidRPr="00CA4BC1">
        <w:rPr>
          <w:rFonts w:ascii="Times New Roman" w:hAnsi="Times New Roman" w:cs="Times New Roman"/>
        </w:rPr>
        <w:t xml:space="preserve"> Series 1114</w:t>
      </w:r>
      <w:r w:rsidR="00893A85">
        <w:rPr>
          <w:rFonts w:ascii="Times New Roman" w:hAnsi="Times New Roman" w:cs="Times New Roman"/>
        </w:rPr>
        <w:tab/>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lastRenderedPageBreak/>
        <w:t>[</w:t>
      </w:r>
      <w:r w:rsidR="00FE4888">
        <w:rPr>
          <w:rFonts w:ascii="Times New Roman" w:eastAsia="Times New Roman" w:hAnsi="Times New Roman" w:cs="Times New Roman"/>
          <w:color w:val="000000"/>
        </w:rPr>
        <w:t>9</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A4BC1" w:rsidRPr="00A977FC">
        <w:rPr>
          <w:rFonts w:ascii="Times New Roman" w:hAnsi="Times New Roman" w:cs="Times New Roman"/>
        </w:rPr>
        <w:t>Diwangkoro</w:t>
      </w:r>
      <w:r w:rsidR="00762D1A">
        <w:rPr>
          <w:rFonts w:ascii="Times New Roman" w:hAnsi="Times New Roman" w:cs="Times New Roman"/>
        </w:rPr>
        <w:t xml:space="preserve"> E </w:t>
      </w:r>
      <w:r w:rsidR="00F20B3F">
        <w:rPr>
          <w:rFonts w:ascii="Times New Roman" w:hAnsi="Times New Roman" w:cs="Times New Roman"/>
        </w:rPr>
        <w:t>and</w:t>
      </w:r>
      <w:r w:rsidR="00F20B3F">
        <w:rPr>
          <w:rFonts w:ascii="Times New Roman" w:hAnsi="Times New Roman" w:cs="Times New Roman"/>
          <w:lang w:val="id-ID"/>
        </w:rPr>
        <w:t xml:space="preserve"> </w:t>
      </w:r>
      <w:r w:rsidR="00762D1A">
        <w:rPr>
          <w:rFonts w:ascii="Times New Roman" w:hAnsi="Times New Roman" w:cs="Times New Roman"/>
        </w:rPr>
        <w:t>Soenarto 2020</w:t>
      </w:r>
      <w:r w:rsidR="00CA4BC1" w:rsidRPr="00CA4BC1">
        <w:rPr>
          <w:rFonts w:ascii="Times New Roman" w:hAnsi="Times New Roman" w:cs="Times New Roman"/>
        </w:rPr>
        <w:t xml:space="preserve"> Development of teaching factory learning models in </w:t>
      </w:r>
      <w:r w:rsidR="00893A85">
        <w:rPr>
          <w:rFonts w:ascii="Times New Roman" w:hAnsi="Times New Roman" w:cs="Times New Roman"/>
        </w:rPr>
        <w:tab/>
      </w:r>
      <w:r w:rsidR="00762D1A">
        <w:rPr>
          <w:rFonts w:ascii="Times New Roman" w:hAnsi="Times New Roman" w:cs="Times New Roman"/>
        </w:rPr>
        <w:t>vocational schools</w:t>
      </w:r>
      <w:r w:rsidR="00CA4BC1" w:rsidRPr="00CA4BC1">
        <w:rPr>
          <w:rFonts w:ascii="Times New Roman" w:hAnsi="Times New Roman" w:cs="Times New Roman"/>
        </w:rPr>
        <w:t xml:space="preserve"> </w:t>
      </w:r>
      <w:r w:rsidR="00762D1A">
        <w:rPr>
          <w:rFonts w:ascii="Times New Roman" w:hAnsi="Times New Roman" w:cs="Times New Roman"/>
          <w:i/>
        </w:rPr>
        <w:t>ICTVT 2019</w:t>
      </w:r>
      <w:r w:rsidR="00CA4BC1" w:rsidRPr="00CA4BC1">
        <w:rPr>
          <w:rFonts w:ascii="Times New Roman" w:hAnsi="Times New Roman" w:cs="Times New Roman"/>
          <w:i/>
        </w:rPr>
        <w:t xml:space="preserve"> Journal of Physics: Conference Series, IOP Publishing, </w:t>
      </w:r>
      <w:r w:rsidR="00893A85">
        <w:rPr>
          <w:rFonts w:ascii="Times New Roman" w:hAnsi="Times New Roman" w:cs="Times New Roman"/>
          <w:i/>
        </w:rPr>
        <w:tab/>
      </w:r>
      <w:r w:rsidR="00CA4BC1" w:rsidRPr="00CA4BC1">
        <w:rPr>
          <w:rFonts w:ascii="Times New Roman" w:hAnsi="Times New Roman" w:cs="Times New Roman"/>
          <w:i/>
        </w:rPr>
        <w:t>1456</w:t>
      </w:r>
      <w:r w:rsidR="00762D1A">
        <w:rPr>
          <w:rFonts w:ascii="Times New Roman" w:hAnsi="Times New Roman" w:cs="Times New Roman"/>
          <w:i/>
        </w:rPr>
        <w:t xml:space="preserve"> </w:t>
      </w:r>
      <w:r w:rsidR="00762D1A">
        <w:rPr>
          <w:rFonts w:ascii="Times New Roman" w:hAnsi="Times New Roman" w:cs="Times New Roman"/>
        </w:rPr>
        <w:t xml:space="preserve">(012046) </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[10]</w:t>
      </w:r>
      <w:r>
        <w:rPr>
          <w:rFonts w:ascii="Times New Roman" w:eastAsia="Times New Roman" w:hAnsi="Times New Roman" w:cs="Times New Roman"/>
          <w:color w:val="000000"/>
        </w:rPr>
        <w:tab/>
      </w:r>
      <w:r w:rsidR="00762D1A">
        <w:rPr>
          <w:rFonts w:ascii="Times New Roman" w:hAnsi="Times New Roman" w:cs="Times New Roman"/>
        </w:rPr>
        <w:t>Fakhri A</w:t>
      </w:r>
      <w:r w:rsidR="00F20B3F">
        <w:rPr>
          <w:rFonts w:ascii="Times New Roman" w:hAnsi="Times New Roman" w:cs="Times New Roman"/>
        </w:rPr>
        <w:t xml:space="preserve"> A</w:t>
      </w:r>
      <w:r w:rsidR="00762D1A">
        <w:rPr>
          <w:rFonts w:ascii="Times New Roman" w:hAnsi="Times New Roman" w:cs="Times New Roman"/>
        </w:rPr>
        <w:t xml:space="preserve"> </w:t>
      </w:r>
      <w:r w:rsidR="00F20B3F">
        <w:rPr>
          <w:rFonts w:ascii="Times New Roman" w:hAnsi="Times New Roman" w:cs="Times New Roman"/>
        </w:rPr>
        <w:t>and</w:t>
      </w:r>
      <w:r w:rsidR="00F20B3F">
        <w:rPr>
          <w:rFonts w:ascii="Times New Roman" w:hAnsi="Times New Roman" w:cs="Times New Roman"/>
          <w:lang w:val="id-ID"/>
        </w:rPr>
        <w:t xml:space="preserve"> </w:t>
      </w:r>
      <w:r w:rsidR="00762D1A">
        <w:rPr>
          <w:rFonts w:ascii="Times New Roman" w:hAnsi="Times New Roman" w:cs="Times New Roman"/>
        </w:rPr>
        <w:t>Munadi S 2019</w:t>
      </w:r>
      <w:r w:rsidR="00CA4BC1" w:rsidRPr="00CA4BC1">
        <w:rPr>
          <w:rFonts w:ascii="Times New Roman" w:hAnsi="Times New Roman" w:cs="Times New Roman"/>
        </w:rPr>
        <w:t xml:space="preserve"> The Evaluation of Industrial Internship for Vocational School </w:t>
      </w:r>
      <w:r w:rsidR="00893A85">
        <w:rPr>
          <w:rFonts w:ascii="Times New Roman" w:hAnsi="Times New Roman" w:cs="Times New Roman"/>
        </w:rPr>
        <w:tab/>
      </w:r>
      <w:r w:rsidR="00CA4BC1" w:rsidRPr="00CA4BC1">
        <w:rPr>
          <w:rFonts w:ascii="Times New Roman" w:hAnsi="Times New Roman" w:cs="Times New Roman"/>
        </w:rPr>
        <w:t>of M</w:t>
      </w:r>
      <w:r w:rsidR="00F20B3F">
        <w:rPr>
          <w:rFonts w:ascii="Times New Roman" w:hAnsi="Times New Roman" w:cs="Times New Roman"/>
        </w:rPr>
        <w:t xml:space="preserve">echanical Engineering in Tegal </w:t>
      </w:r>
      <w:r w:rsidR="00CA4BC1" w:rsidRPr="00CA4BC1">
        <w:rPr>
          <w:rFonts w:ascii="Times New Roman" w:hAnsi="Times New Roman" w:cs="Times New Roman"/>
          <w:i/>
        </w:rPr>
        <w:t xml:space="preserve">American </w:t>
      </w:r>
      <w:r w:rsidR="00F20B3F">
        <w:rPr>
          <w:rFonts w:ascii="Times New Roman" w:hAnsi="Times New Roman" w:cs="Times New Roman"/>
          <w:i/>
        </w:rPr>
        <w:t xml:space="preserve">Journal of Educational Research 7 </w:t>
      </w:r>
      <w:r w:rsidR="00F20B3F" w:rsidRPr="00F20B3F">
        <w:rPr>
          <w:rFonts w:ascii="Times New Roman" w:hAnsi="Times New Roman" w:cs="Times New Roman"/>
        </w:rPr>
        <w:t>(</w:t>
      </w:r>
      <w:r w:rsidR="00CA4BC1" w:rsidRPr="00F20B3F">
        <w:rPr>
          <w:rFonts w:ascii="Times New Roman" w:hAnsi="Times New Roman" w:cs="Times New Roman"/>
        </w:rPr>
        <w:t>11</w:t>
      </w:r>
      <w:r w:rsidR="00F20B3F" w:rsidRPr="00F20B3F">
        <w:rPr>
          <w:rFonts w:ascii="Times New Roman" w:hAnsi="Times New Roman" w:cs="Times New Roman"/>
        </w:rPr>
        <w:t>)</w:t>
      </w:r>
      <w:r w:rsidR="00CA4BC1" w:rsidRPr="00CA4BC1">
        <w:rPr>
          <w:rFonts w:ascii="Times New Roman" w:hAnsi="Times New Roman" w:cs="Times New Roman"/>
        </w:rPr>
        <w:t xml:space="preserve"> </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11</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A4BC1" w:rsidRPr="00A977FC">
        <w:rPr>
          <w:rFonts w:ascii="Times New Roman" w:hAnsi="Times New Roman" w:cs="Times New Roman"/>
        </w:rPr>
        <w:t>Muaini</w:t>
      </w:r>
      <w:r w:rsidR="00F20B3F">
        <w:rPr>
          <w:rFonts w:ascii="Times New Roman" w:hAnsi="Times New Roman" w:cs="Times New Roman"/>
        </w:rPr>
        <w:t>, Zamroni, and</w:t>
      </w:r>
      <w:r w:rsidR="00F20B3F">
        <w:rPr>
          <w:rFonts w:ascii="Times New Roman" w:hAnsi="Times New Roman" w:cs="Times New Roman"/>
          <w:lang w:val="id-ID"/>
        </w:rPr>
        <w:t xml:space="preserve"> </w:t>
      </w:r>
      <w:r w:rsidR="00F20B3F">
        <w:rPr>
          <w:rFonts w:ascii="Times New Roman" w:hAnsi="Times New Roman" w:cs="Times New Roman"/>
        </w:rPr>
        <w:t>Dwiningrum 2019</w:t>
      </w:r>
      <w:r w:rsidR="00CA4BC1" w:rsidRPr="00CA4BC1">
        <w:rPr>
          <w:rFonts w:ascii="Times New Roman" w:hAnsi="Times New Roman" w:cs="Times New Roman"/>
        </w:rPr>
        <w:t xml:space="preserve"> The Concept of Vocational High School Development </w:t>
      </w:r>
      <w:r w:rsidR="00893A85">
        <w:rPr>
          <w:rFonts w:ascii="Times New Roman" w:hAnsi="Times New Roman" w:cs="Times New Roman"/>
        </w:rPr>
        <w:tab/>
      </w:r>
      <w:r w:rsidR="00CA4BC1" w:rsidRPr="00CA4BC1">
        <w:rPr>
          <w:rFonts w:ascii="Times New Roman" w:hAnsi="Times New Roman" w:cs="Times New Roman"/>
        </w:rPr>
        <w:t xml:space="preserve">Industry </w:t>
      </w:r>
      <w:r w:rsidR="00F20B3F">
        <w:rPr>
          <w:rFonts w:ascii="Times New Roman" w:hAnsi="Times New Roman" w:cs="Times New Roman"/>
        </w:rPr>
        <w:t>Based in Central Lombok Regency</w:t>
      </w:r>
      <w:r w:rsidR="00CA4BC1" w:rsidRPr="00CA4BC1">
        <w:rPr>
          <w:rFonts w:ascii="Times New Roman" w:hAnsi="Times New Roman" w:cs="Times New Roman"/>
        </w:rPr>
        <w:t xml:space="preserve"> ICCOMSET 2018, </w:t>
      </w:r>
      <w:r w:rsidR="00CA4BC1" w:rsidRPr="00CA4BC1">
        <w:rPr>
          <w:rFonts w:ascii="Times New Roman" w:hAnsi="Times New Roman" w:cs="Times New Roman"/>
          <w:i/>
        </w:rPr>
        <w:t xml:space="preserve">Journal of Physics: Conf </w:t>
      </w:r>
      <w:r w:rsidR="00615D09">
        <w:rPr>
          <w:rFonts w:ascii="Times New Roman" w:hAnsi="Times New Roman" w:cs="Times New Roman"/>
          <w:i/>
        </w:rPr>
        <w:tab/>
      </w:r>
      <w:r w:rsidR="00CA4BC1" w:rsidRPr="00CA4BC1">
        <w:rPr>
          <w:rFonts w:ascii="Times New Roman" w:hAnsi="Times New Roman" w:cs="Times New Roman"/>
          <w:i/>
        </w:rPr>
        <w:t>Series, IOP Publishing, 1179</w:t>
      </w:r>
      <w:r w:rsidR="00F20B3F">
        <w:rPr>
          <w:rFonts w:ascii="Times New Roman" w:hAnsi="Times New Roman" w:cs="Times New Roman"/>
          <w:i/>
        </w:rPr>
        <w:t xml:space="preserve"> </w:t>
      </w:r>
      <w:r w:rsidR="00F20B3F">
        <w:rPr>
          <w:rFonts w:ascii="Times New Roman" w:hAnsi="Times New Roman" w:cs="Times New Roman"/>
        </w:rPr>
        <w:t xml:space="preserve">(012054) </w:t>
      </w:r>
    </w:p>
    <w:p w:rsidR="00240540" w:rsidRPr="00240540"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12</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F20B3F" w:rsidRPr="00B13566">
        <w:rPr>
          <w:rFonts w:ascii="Times New Roman" w:hAnsi="Times New Roman" w:cs="Times New Roman"/>
          <w:sz w:val="21"/>
          <w:szCs w:val="21"/>
        </w:rPr>
        <w:t>Indana L and</w:t>
      </w:r>
      <w:r w:rsidR="00F20B3F" w:rsidRPr="00B13566">
        <w:rPr>
          <w:rFonts w:ascii="Times New Roman" w:hAnsi="Times New Roman" w:cs="Times New Roman"/>
          <w:sz w:val="21"/>
          <w:szCs w:val="21"/>
          <w:lang w:val="id-ID"/>
        </w:rPr>
        <w:t xml:space="preserve"> </w:t>
      </w:r>
      <w:r w:rsidR="00F20B3F" w:rsidRPr="00B13566">
        <w:rPr>
          <w:rFonts w:ascii="Times New Roman" w:hAnsi="Times New Roman" w:cs="Times New Roman"/>
          <w:sz w:val="21"/>
          <w:szCs w:val="21"/>
        </w:rPr>
        <w:t xml:space="preserve">Soenarto </w:t>
      </w:r>
      <w:r w:rsidR="00240540" w:rsidRPr="00B13566">
        <w:rPr>
          <w:rFonts w:ascii="Times New Roman" w:hAnsi="Times New Roman" w:cs="Times New Roman"/>
          <w:sz w:val="21"/>
          <w:szCs w:val="21"/>
        </w:rPr>
        <w:t xml:space="preserve">2019 </w:t>
      </w:r>
      <w:r w:rsidR="00240540" w:rsidRPr="00B13566">
        <w:rPr>
          <w:rFonts w:ascii="Times New Roman" w:hAnsi="Times New Roman" w:cs="Times New Roman"/>
          <w:color w:val="000000"/>
          <w:sz w:val="21"/>
          <w:szCs w:val="21"/>
        </w:rPr>
        <w:t xml:space="preserve">Vocational Career Center as the Bridge Between Industry and </w:t>
      </w:r>
      <w:r w:rsidR="00893A85" w:rsidRPr="00B13566">
        <w:rPr>
          <w:rFonts w:ascii="Times New Roman" w:hAnsi="Times New Roman" w:cs="Times New Roman"/>
          <w:color w:val="000000"/>
          <w:sz w:val="21"/>
          <w:szCs w:val="21"/>
        </w:rPr>
        <w:tab/>
      </w:r>
      <w:r w:rsidR="00240540" w:rsidRPr="00B13566">
        <w:rPr>
          <w:rFonts w:ascii="Times New Roman" w:hAnsi="Times New Roman" w:cs="Times New Roman"/>
          <w:color w:val="000000"/>
          <w:sz w:val="21"/>
          <w:szCs w:val="21"/>
        </w:rPr>
        <w:t>Vocational High School Graduates</w:t>
      </w:r>
      <w:r w:rsidR="00240540" w:rsidRPr="00B13566">
        <w:rPr>
          <w:rFonts w:ascii="Times New Roman" w:hAnsi="Times New Roman" w:cs="Times New Roman"/>
          <w:sz w:val="21"/>
          <w:szCs w:val="21"/>
        </w:rPr>
        <w:t xml:space="preserve"> </w:t>
      </w:r>
      <w:r w:rsidR="00240540" w:rsidRPr="00B13566">
        <w:rPr>
          <w:rFonts w:ascii="Times New Roman" w:hAnsi="Times New Roman" w:cs="Times New Roman"/>
          <w:i/>
          <w:sz w:val="21"/>
          <w:szCs w:val="21"/>
        </w:rPr>
        <w:t>Jurnal Pendidikan Teknologi dan Kejuruan 25</w:t>
      </w:r>
      <w:r w:rsidR="00F20B3F" w:rsidRPr="00B13566">
        <w:rPr>
          <w:rFonts w:ascii="Times New Roman" w:hAnsi="Times New Roman" w:cs="Times New Roman"/>
          <w:i/>
          <w:sz w:val="21"/>
          <w:szCs w:val="21"/>
        </w:rPr>
        <w:t xml:space="preserve"> </w:t>
      </w:r>
      <w:r w:rsidR="00240540" w:rsidRPr="00B13566">
        <w:rPr>
          <w:rFonts w:ascii="Times New Roman" w:hAnsi="Times New Roman" w:cs="Times New Roman"/>
          <w:sz w:val="21"/>
          <w:szCs w:val="21"/>
        </w:rPr>
        <w:t>(2</w:t>
      </w:r>
      <w:r w:rsidR="00F20B3F" w:rsidRPr="00B13566">
        <w:rPr>
          <w:rFonts w:ascii="Times New Roman" w:hAnsi="Times New Roman" w:cs="Times New Roman"/>
          <w:sz w:val="21"/>
          <w:szCs w:val="21"/>
        </w:rPr>
        <w:t>)</w:t>
      </w:r>
      <w:r w:rsidR="00240540" w:rsidRPr="00B13566">
        <w:rPr>
          <w:rFonts w:ascii="Times New Roman" w:hAnsi="Times New Roman" w:cs="Times New Roman"/>
          <w:sz w:val="21"/>
          <w:szCs w:val="21"/>
        </w:rPr>
        <w:t xml:space="preserve"> </w:t>
      </w:r>
      <w:r w:rsidR="00F20B3F" w:rsidRPr="00B13566">
        <w:rPr>
          <w:rFonts w:ascii="Times New Roman" w:hAnsi="Times New Roman" w:cs="Times New Roman"/>
          <w:sz w:val="21"/>
          <w:szCs w:val="21"/>
        </w:rPr>
        <w:t xml:space="preserve">p </w:t>
      </w:r>
      <w:r w:rsidR="00240540" w:rsidRPr="00B13566">
        <w:rPr>
          <w:rFonts w:ascii="Times New Roman" w:hAnsi="Times New Roman" w:cs="Times New Roman"/>
          <w:sz w:val="21"/>
          <w:szCs w:val="21"/>
        </w:rPr>
        <w:t>219-228</w:t>
      </w:r>
      <w:r w:rsidR="00240540" w:rsidRPr="00122C12">
        <w:rPr>
          <w:rFonts w:ascii="Times New Roman" w:hAnsi="Times New Roman" w:cs="Times New Roman"/>
          <w:sz w:val="20"/>
        </w:rPr>
        <w:t xml:space="preserve"> </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13</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A4BC1" w:rsidRPr="00CA4BC1">
        <w:rPr>
          <w:rFonts w:ascii="Times New Roman" w:hAnsi="Times New Roman" w:cs="Times New Roman"/>
          <w:color w:val="000000"/>
        </w:rPr>
        <w:t>Zhang</w:t>
      </w:r>
      <w:r w:rsidR="00F20B3F">
        <w:rPr>
          <w:rFonts w:ascii="Times New Roman" w:hAnsi="Times New Roman" w:cs="Times New Roman"/>
        </w:rPr>
        <w:t xml:space="preserve"> W 2009</w:t>
      </w:r>
      <w:r w:rsidR="00CA4BC1" w:rsidRPr="00CA4BC1">
        <w:rPr>
          <w:rFonts w:ascii="Times New Roman" w:hAnsi="Times New Roman" w:cs="Times New Roman"/>
        </w:rPr>
        <w:t xml:space="preserve"> Issues of practical teaching in vocational-technical schools in China and their </w:t>
      </w:r>
      <w:r w:rsidR="00FE4888">
        <w:rPr>
          <w:rFonts w:ascii="Times New Roman" w:hAnsi="Times New Roman" w:cs="Times New Roman"/>
        </w:rPr>
        <w:tab/>
      </w:r>
      <w:r w:rsidR="00F20B3F">
        <w:rPr>
          <w:rFonts w:ascii="Times New Roman" w:hAnsi="Times New Roman" w:cs="Times New Roman"/>
        </w:rPr>
        <w:t>countermeasures</w:t>
      </w:r>
      <w:r w:rsidR="00CA4BC1" w:rsidRPr="00CA4BC1">
        <w:rPr>
          <w:rFonts w:ascii="Times New Roman" w:hAnsi="Times New Roman" w:cs="Times New Roman"/>
        </w:rPr>
        <w:t xml:space="preserve"> </w:t>
      </w:r>
      <w:r w:rsidR="00CA4BC1" w:rsidRPr="00CA4BC1">
        <w:rPr>
          <w:rFonts w:ascii="Times New Roman" w:hAnsi="Times New Roman" w:cs="Times New Roman"/>
          <w:i/>
        </w:rPr>
        <w:t>International Education Studies, 2</w:t>
      </w:r>
      <w:r w:rsidR="00F20B3F">
        <w:rPr>
          <w:rFonts w:ascii="Times New Roman" w:hAnsi="Times New Roman" w:cs="Times New Roman"/>
          <w:i/>
        </w:rPr>
        <w:t xml:space="preserve"> </w:t>
      </w:r>
      <w:r w:rsidR="00F20B3F">
        <w:rPr>
          <w:rFonts w:ascii="Times New Roman" w:hAnsi="Times New Roman" w:cs="Times New Roman"/>
        </w:rPr>
        <w:t>(4)</w:t>
      </w:r>
      <w:r w:rsidR="00CA4BC1" w:rsidRPr="00CA4BC1">
        <w:rPr>
          <w:rFonts w:ascii="Times New Roman" w:hAnsi="Times New Roman" w:cs="Times New Roman"/>
        </w:rPr>
        <w:t xml:space="preserve"> </w:t>
      </w:r>
      <w:r w:rsidR="00F20B3F">
        <w:rPr>
          <w:rFonts w:ascii="Times New Roman" w:hAnsi="Times New Roman" w:cs="Times New Roman"/>
        </w:rPr>
        <w:t>p 75-78</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14</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A4BC1" w:rsidRPr="00A977FC">
        <w:rPr>
          <w:rFonts w:ascii="Times New Roman" w:hAnsi="Times New Roman" w:cs="Times New Roman"/>
          <w:color w:val="000000"/>
        </w:rPr>
        <w:t>Badan</w:t>
      </w:r>
      <w:r w:rsidR="00F20B3F">
        <w:rPr>
          <w:rFonts w:ascii="Times New Roman" w:hAnsi="Times New Roman" w:cs="Times New Roman"/>
          <w:lang w:val="id-ID"/>
        </w:rPr>
        <w:t xml:space="preserve"> Pusat Statistik 2019</w:t>
      </w:r>
      <w:r w:rsidR="00CA4BC1" w:rsidRPr="00CA4BC1">
        <w:rPr>
          <w:rFonts w:ascii="Times New Roman" w:hAnsi="Times New Roman" w:cs="Times New Roman"/>
          <w:lang w:val="id-ID"/>
        </w:rPr>
        <w:t xml:space="preserve"> </w:t>
      </w:r>
      <w:r w:rsidR="00CA4BC1" w:rsidRPr="00CA4BC1">
        <w:rPr>
          <w:rFonts w:ascii="Times New Roman" w:hAnsi="Times New Roman" w:cs="Times New Roman"/>
          <w:i/>
          <w:lang w:val="id-ID"/>
        </w:rPr>
        <w:t>Berita Resmi Statistik: Keadaan Ketenagakerjaan Indonesia</w:t>
      </w:r>
      <w:r w:rsidR="00F20B3F">
        <w:rPr>
          <w:rFonts w:ascii="Times New Roman" w:hAnsi="Times New Roman" w:cs="Times New Roman"/>
        </w:rPr>
        <w:t xml:space="preserve"> </w:t>
      </w:r>
      <w:r w:rsidR="00CA4BC1" w:rsidRPr="00CA4BC1">
        <w:rPr>
          <w:rFonts w:ascii="Times New Roman" w:hAnsi="Times New Roman" w:cs="Times New Roman"/>
          <w:lang w:val="id-ID"/>
        </w:rPr>
        <w:t xml:space="preserve">No. </w:t>
      </w:r>
      <w:r w:rsidR="00FE4888">
        <w:rPr>
          <w:rFonts w:ascii="Times New Roman" w:hAnsi="Times New Roman" w:cs="Times New Roman"/>
          <w:lang w:val="id-ID"/>
        </w:rPr>
        <w:tab/>
      </w:r>
      <w:r w:rsidR="00CA4BC1" w:rsidRPr="00CA4BC1">
        <w:rPr>
          <w:rFonts w:ascii="Times New Roman" w:hAnsi="Times New Roman" w:cs="Times New Roman"/>
        </w:rPr>
        <w:t>91</w:t>
      </w:r>
      <w:r w:rsidR="00CA4BC1" w:rsidRPr="00CA4BC1">
        <w:rPr>
          <w:rFonts w:ascii="Times New Roman" w:hAnsi="Times New Roman" w:cs="Times New Roman"/>
          <w:lang w:val="id-ID"/>
        </w:rPr>
        <w:t>/11/Th. XXII, 05 November 2019</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15</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A4BC1" w:rsidRPr="00A977FC">
        <w:rPr>
          <w:rFonts w:ascii="Times New Roman" w:hAnsi="Times New Roman" w:cs="Times New Roman"/>
          <w:color w:val="000000"/>
        </w:rPr>
        <w:t>Joo</w:t>
      </w:r>
      <w:r w:rsidR="00F20B3F">
        <w:rPr>
          <w:rFonts w:ascii="Times New Roman" w:hAnsi="Times New Roman" w:cs="Times New Roman"/>
        </w:rPr>
        <w:t xml:space="preserve"> L 2018</w:t>
      </w:r>
      <w:r w:rsidR="00CA4BC1" w:rsidRPr="00CA4BC1">
        <w:rPr>
          <w:rFonts w:ascii="Times New Roman" w:hAnsi="Times New Roman" w:cs="Times New Roman"/>
        </w:rPr>
        <w:t xml:space="preserve"> The Excellence of Technical Vocational Education and Training (TVET) </w:t>
      </w:r>
      <w:r w:rsidR="00FE4888">
        <w:rPr>
          <w:rFonts w:ascii="Times New Roman" w:hAnsi="Times New Roman" w:cs="Times New Roman"/>
        </w:rPr>
        <w:tab/>
      </w:r>
      <w:r w:rsidR="00CA4BC1" w:rsidRPr="00CA4BC1">
        <w:rPr>
          <w:rFonts w:ascii="Times New Roman" w:hAnsi="Times New Roman" w:cs="Times New Roman"/>
        </w:rPr>
        <w:t>Institutions in Kor</w:t>
      </w:r>
      <w:r w:rsidR="00F20B3F">
        <w:rPr>
          <w:rFonts w:ascii="Times New Roman" w:hAnsi="Times New Roman" w:cs="Times New Roman"/>
        </w:rPr>
        <w:t>ea: Yeungjin College Case Study</w:t>
      </w:r>
      <w:r w:rsidR="00CA4BC1" w:rsidRPr="00CA4BC1">
        <w:rPr>
          <w:rFonts w:ascii="Times New Roman" w:hAnsi="Times New Roman" w:cs="Times New Roman"/>
        </w:rPr>
        <w:t xml:space="preserve"> </w:t>
      </w:r>
      <w:r w:rsidR="00F20B3F">
        <w:rPr>
          <w:rFonts w:ascii="Times New Roman" w:hAnsi="Times New Roman" w:cs="Times New Roman"/>
          <w:i/>
        </w:rPr>
        <w:t>International Education Studies</w:t>
      </w:r>
      <w:r w:rsidR="00CA4BC1" w:rsidRPr="00CA4BC1">
        <w:rPr>
          <w:rFonts w:ascii="Times New Roman" w:hAnsi="Times New Roman" w:cs="Times New Roman"/>
          <w:i/>
        </w:rPr>
        <w:t xml:space="preserve"> 11</w:t>
      </w:r>
      <w:r w:rsidR="00F20B3F">
        <w:rPr>
          <w:rFonts w:ascii="Times New Roman" w:hAnsi="Times New Roman" w:cs="Times New Roman"/>
          <w:i/>
        </w:rPr>
        <w:t xml:space="preserve"> </w:t>
      </w:r>
      <w:r w:rsidR="00122C12">
        <w:rPr>
          <w:rFonts w:ascii="Times New Roman" w:hAnsi="Times New Roman" w:cs="Times New Roman"/>
        </w:rPr>
        <w:t>(7)</w:t>
      </w:r>
      <w:r w:rsidR="00FE4888">
        <w:rPr>
          <w:rFonts w:ascii="Times New Roman" w:hAnsi="Times New Roman" w:cs="Times New Roman"/>
        </w:rPr>
        <w:tab/>
      </w:r>
      <w:r w:rsidR="00CA4BC1" w:rsidRPr="00CA4BC1">
        <w:rPr>
          <w:rFonts w:ascii="Times New Roman" w:hAnsi="Times New Roman" w:cs="Times New Roman"/>
        </w:rPr>
        <w:t>136-</w:t>
      </w:r>
      <w:r w:rsidR="00E93877">
        <w:rPr>
          <w:rFonts w:ascii="Times New Roman" w:hAnsi="Times New Roman" w:cs="Times New Roman"/>
        </w:rPr>
        <w:t>154</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16</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A4BC1" w:rsidRPr="00A977FC">
        <w:rPr>
          <w:rFonts w:ascii="Times New Roman" w:hAnsi="Times New Roman" w:cs="Times New Roman"/>
          <w:color w:val="000000"/>
        </w:rPr>
        <w:t>Prayitno</w:t>
      </w:r>
      <w:r w:rsidR="00F20B3F">
        <w:rPr>
          <w:rFonts w:ascii="Times New Roman" w:hAnsi="Times New Roman" w:cs="Times New Roman"/>
        </w:rPr>
        <w:t xml:space="preserve"> S H and</w:t>
      </w:r>
      <w:r w:rsidR="00F20B3F">
        <w:rPr>
          <w:rFonts w:ascii="Times New Roman" w:hAnsi="Times New Roman" w:cs="Times New Roman"/>
          <w:lang w:val="id-ID"/>
        </w:rPr>
        <w:t xml:space="preserve"> </w:t>
      </w:r>
      <w:r w:rsidR="00F20B3F">
        <w:rPr>
          <w:rFonts w:ascii="Times New Roman" w:hAnsi="Times New Roman" w:cs="Times New Roman"/>
        </w:rPr>
        <w:t>Jaedun A 2018</w:t>
      </w:r>
      <w:r w:rsidR="00CA4BC1" w:rsidRPr="00CA4BC1">
        <w:rPr>
          <w:rFonts w:ascii="Times New Roman" w:hAnsi="Times New Roman" w:cs="Times New Roman"/>
        </w:rPr>
        <w:t xml:space="preserve"> Authentic Assessment Competence of Building </w:t>
      </w:r>
      <w:r w:rsidR="00FE4888">
        <w:rPr>
          <w:rFonts w:ascii="Times New Roman" w:hAnsi="Times New Roman" w:cs="Times New Roman"/>
        </w:rPr>
        <w:tab/>
      </w:r>
      <w:r w:rsidR="00CA4BC1" w:rsidRPr="00CA4BC1">
        <w:rPr>
          <w:rFonts w:ascii="Times New Roman" w:hAnsi="Times New Roman" w:cs="Times New Roman"/>
        </w:rPr>
        <w:t xml:space="preserve">Construction </w:t>
      </w:r>
      <w:r w:rsidR="00F20B3F">
        <w:rPr>
          <w:rFonts w:ascii="Times New Roman" w:hAnsi="Times New Roman" w:cs="Times New Roman"/>
        </w:rPr>
        <w:tab/>
      </w:r>
      <w:r w:rsidR="00CA4BC1" w:rsidRPr="00CA4BC1">
        <w:rPr>
          <w:rFonts w:ascii="Times New Roman" w:hAnsi="Times New Roman" w:cs="Times New Roman"/>
        </w:rPr>
        <w:t>Teachers i</w:t>
      </w:r>
      <w:r w:rsidR="00F20B3F">
        <w:rPr>
          <w:rFonts w:ascii="Times New Roman" w:hAnsi="Times New Roman" w:cs="Times New Roman"/>
        </w:rPr>
        <w:t>n Indonesian Vocational Schools</w:t>
      </w:r>
      <w:r w:rsidR="00CA4BC1" w:rsidRPr="00CA4BC1">
        <w:rPr>
          <w:rFonts w:ascii="Times New Roman" w:hAnsi="Times New Roman" w:cs="Times New Roman"/>
        </w:rPr>
        <w:t> </w:t>
      </w:r>
      <w:r w:rsidR="00CA4BC1" w:rsidRPr="00CA4BC1">
        <w:rPr>
          <w:rFonts w:ascii="Times New Roman" w:hAnsi="Times New Roman" w:cs="Times New Roman"/>
          <w:i/>
          <w:iCs/>
        </w:rPr>
        <w:t xml:space="preserve">Journal of Technical Education and </w:t>
      </w:r>
      <w:r w:rsidR="00FE4888">
        <w:rPr>
          <w:rFonts w:ascii="Times New Roman" w:hAnsi="Times New Roman" w:cs="Times New Roman"/>
          <w:i/>
          <w:iCs/>
        </w:rPr>
        <w:tab/>
      </w:r>
      <w:r w:rsidR="00CA4BC1" w:rsidRPr="00CA4BC1">
        <w:rPr>
          <w:rFonts w:ascii="Times New Roman" w:hAnsi="Times New Roman" w:cs="Times New Roman"/>
          <w:i/>
          <w:iCs/>
        </w:rPr>
        <w:t>Training</w:t>
      </w:r>
      <w:r w:rsidR="00CA4BC1" w:rsidRPr="00CA4BC1">
        <w:rPr>
          <w:rFonts w:ascii="Times New Roman" w:hAnsi="Times New Roman" w:cs="Times New Roman"/>
        </w:rPr>
        <w:t> </w:t>
      </w:r>
      <w:r w:rsidR="00CA4BC1" w:rsidRPr="00CA4BC1">
        <w:rPr>
          <w:rFonts w:ascii="Times New Roman" w:hAnsi="Times New Roman" w:cs="Times New Roman"/>
          <w:i/>
          <w:iCs/>
        </w:rPr>
        <w:t>10</w:t>
      </w:r>
      <w:r w:rsidR="00F20B3F">
        <w:rPr>
          <w:rFonts w:ascii="Times New Roman" w:hAnsi="Times New Roman" w:cs="Times New Roman"/>
          <w:i/>
          <w:iCs/>
        </w:rPr>
        <w:t xml:space="preserve"> </w:t>
      </w:r>
      <w:r w:rsidR="00F20B3F">
        <w:rPr>
          <w:rFonts w:ascii="Times New Roman" w:hAnsi="Times New Roman" w:cs="Times New Roman"/>
        </w:rPr>
        <w:t xml:space="preserve">(1) </w:t>
      </w:r>
    </w:p>
    <w:p w:rsidR="00E8721A"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17</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F20B3F">
        <w:rPr>
          <w:rFonts w:ascii="Times New Roman" w:hAnsi="Times New Roman" w:cs="Times New Roman"/>
          <w:color w:val="000000"/>
        </w:rPr>
        <w:t xml:space="preserve">Triyono M B, Trianingsih L, </w:t>
      </w:r>
      <w:r w:rsidR="00F20B3F">
        <w:rPr>
          <w:rFonts w:ascii="Times New Roman" w:hAnsi="Times New Roman" w:cs="Times New Roman"/>
        </w:rPr>
        <w:t>and</w:t>
      </w:r>
      <w:r w:rsidR="00F20B3F">
        <w:rPr>
          <w:rFonts w:ascii="Times New Roman" w:hAnsi="Times New Roman" w:cs="Times New Roman"/>
          <w:lang w:val="id-ID"/>
        </w:rPr>
        <w:t xml:space="preserve"> </w:t>
      </w:r>
      <w:r w:rsidR="00F20B3F">
        <w:rPr>
          <w:rFonts w:ascii="Times New Roman" w:hAnsi="Times New Roman" w:cs="Times New Roman"/>
          <w:color w:val="000000"/>
        </w:rPr>
        <w:t>Nurhadi D 2018</w:t>
      </w:r>
      <w:r w:rsidR="00E8721A" w:rsidRPr="00CA4BC1">
        <w:rPr>
          <w:rFonts w:ascii="Times New Roman" w:hAnsi="Times New Roman" w:cs="Times New Roman"/>
          <w:color w:val="000000"/>
        </w:rPr>
        <w:t xml:space="preserve"> Students’ employability skills for </w:t>
      </w:r>
      <w:r w:rsidR="00FE4888">
        <w:rPr>
          <w:rFonts w:ascii="Times New Roman" w:hAnsi="Times New Roman" w:cs="Times New Roman"/>
          <w:color w:val="000000"/>
        </w:rPr>
        <w:tab/>
      </w:r>
      <w:r w:rsidR="00E8721A" w:rsidRPr="00CA4BC1">
        <w:rPr>
          <w:rFonts w:ascii="Times New Roman" w:hAnsi="Times New Roman" w:cs="Times New Roman"/>
          <w:color w:val="000000"/>
        </w:rPr>
        <w:t xml:space="preserve">construction </w:t>
      </w:r>
      <w:r w:rsidR="00F20B3F">
        <w:rPr>
          <w:rFonts w:ascii="Times New Roman" w:hAnsi="Times New Roman" w:cs="Times New Roman"/>
          <w:color w:val="000000"/>
        </w:rPr>
        <w:tab/>
      </w:r>
      <w:r w:rsidR="00E8721A" w:rsidRPr="00CA4BC1">
        <w:rPr>
          <w:rFonts w:ascii="Times New Roman" w:hAnsi="Times New Roman" w:cs="Times New Roman"/>
          <w:color w:val="000000"/>
        </w:rPr>
        <w:t>dr</w:t>
      </w:r>
      <w:r w:rsidR="00F20B3F">
        <w:rPr>
          <w:rFonts w:ascii="Times New Roman" w:hAnsi="Times New Roman" w:cs="Times New Roman"/>
          <w:color w:val="000000"/>
        </w:rPr>
        <w:t xml:space="preserve">awing engineering in Indonesia </w:t>
      </w:r>
      <w:r w:rsidR="00E8721A" w:rsidRPr="00CA4BC1">
        <w:rPr>
          <w:rFonts w:ascii="Times New Roman" w:hAnsi="Times New Roman" w:cs="Times New Roman"/>
          <w:i/>
          <w:color w:val="000000"/>
        </w:rPr>
        <w:t xml:space="preserve">World Transactions on Engineering and </w:t>
      </w:r>
      <w:r w:rsidR="00FE4888">
        <w:rPr>
          <w:rFonts w:ascii="Times New Roman" w:hAnsi="Times New Roman" w:cs="Times New Roman"/>
          <w:i/>
          <w:color w:val="000000"/>
        </w:rPr>
        <w:tab/>
      </w:r>
      <w:r w:rsidR="00E8721A" w:rsidRPr="00CA4BC1">
        <w:rPr>
          <w:rFonts w:ascii="Times New Roman" w:hAnsi="Times New Roman" w:cs="Times New Roman"/>
          <w:i/>
          <w:color w:val="000000"/>
        </w:rPr>
        <w:t xml:space="preserve">Technology </w:t>
      </w:r>
      <w:r w:rsidR="00366E66">
        <w:rPr>
          <w:rFonts w:ascii="Times New Roman" w:hAnsi="Times New Roman" w:cs="Times New Roman"/>
          <w:i/>
          <w:color w:val="000000"/>
        </w:rPr>
        <w:t>Education</w:t>
      </w:r>
      <w:r w:rsidR="00E8721A" w:rsidRPr="00CA4BC1">
        <w:rPr>
          <w:rFonts w:ascii="Times New Roman" w:hAnsi="Times New Roman" w:cs="Times New Roman"/>
          <w:i/>
          <w:color w:val="000000"/>
        </w:rPr>
        <w:t xml:space="preserve"> (16)</w:t>
      </w:r>
      <w:r w:rsidR="00F20B3F">
        <w:rPr>
          <w:rFonts w:ascii="Times New Roman" w:hAnsi="Times New Roman" w:cs="Times New Roman"/>
          <w:i/>
          <w:color w:val="000000"/>
        </w:rPr>
        <w:t xml:space="preserve"> </w:t>
      </w:r>
      <w:r w:rsidR="00F20B3F">
        <w:rPr>
          <w:rFonts w:ascii="Times New Roman" w:hAnsi="Times New Roman" w:cs="Times New Roman"/>
          <w:color w:val="000000"/>
        </w:rPr>
        <w:t>1</w:t>
      </w:r>
      <w:r w:rsidR="00E8721A" w:rsidRPr="00CA4BC1">
        <w:rPr>
          <w:rFonts w:ascii="Times New Roman" w:hAnsi="Times New Roman" w:cs="Times New Roman"/>
          <w:color w:val="000000"/>
        </w:rPr>
        <w:t xml:space="preserve"> </w:t>
      </w:r>
      <w:r w:rsidR="00F20B3F">
        <w:rPr>
          <w:rFonts w:ascii="Times New Roman" w:hAnsi="Times New Roman" w:cs="Times New Roman"/>
          <w:color w:val="000000"/>
        </w:rPr>
        <w:t xml:space="preserve">p </w:t>
      </w:r>
      <w:r w:rsidR="00E8721A" w:rsidRPr="00CA4BC1">
        <w:rPr>
          <w:rFonts w:ascii="Times New Roman" w:hAnsi="Times New Roman" w:cs="Times New Roman"/>
          <w:color w:val="000000"/>
        </w:rPr>
        <w:t>29-35</w:t>
      </w:r>
    </w:p>
    <w:p w:rsidR="00E8721A"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18</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E8721A" w:rsidRPr="00A977FC">
        <w:rPr>
          <w:rFonts w:ascii="Times New Roman" w:hAnsi="Times New Roman" w:cs="Times New Roman"/>
          <w:color w:val="000000"/>
        </w:rPr>
        <w:t>Manap</w:t>
      </w:r>
      <w:r w:rsidR="00F20B3F">
        <w:rPr>
          <w:rFonts w:ascii="Times New Roman" w:hAnsi="Times New Roman" w:cs="Times New Roman"/>
        </w:rPr>
        <w:t xml:space="preserve"> N, Hassan N S, and</w:t>
      </w:r>
      <w:r w:rsidR="00F20B3F">
        <w:rPr>
          <w:rFonts w:ascii="Times New Roman" w:hAnsi="Times New Roman" w:cs="Times New Roman"/>
          <w:lang w:val="id-ID"/>
        </w:rPr>
        <w:t xml:space="preserve"> </w:t>
      </w:r>
      <w:r w:rsidR="00F20B3F">
        <w:rPr>
          <w:rFonts w:ascii="Times New Roman" w:hAnsi="Times New Roman" w:cs="Times New Roman"/>
        </w:rPr>
        <w:t>Syahrom &amp; N S 2017</w:t>
      </w:r>
      <w:r w:rsidR="00E8721A" w:rsidRPr="00E8721A">
        <w:rPr>
          <w:rFonts w:ascii="Times New Roman" w:hAnsi="Times New Roman" w:cs="Times New Roman"/>
        </w:rPr>
        <w:t xml:space="preserve"> Preparation of Vocational College </w:t>
      </w:r>
      <w:r w:rsidR="00FE4888">
        <w:rPr>
          <w:rFonts w:ascii="Times New Roman" w:hAnsi="Times New Roman" w:cs="Times New Roman"/>
        </w:rPr>
        <w:tab/>
      </w:r>
      <w:r w:rsidR="00E8721A" w:rsidRPr="00E8721A">
        <w:rPr>
          <w:rFonts w:ascii="Times New Roman" w:hAnsi="Times New Roman" w:cs="Times New Roman"/>
        </w:rPr>
        <w:t xml:space="preserve">Graduates as </w:t>
      </w:r>
      <w:r w:rsidR="00F20B3F">
        <w:rPr>
          <w:rFonts w:ascii="Times New Roman" w:hAnsi="Times New Roman" w:cs="Times New Roman"/>
        </w:rPr>
        <w:tab/>
      </w:r>
      <w:r w:rsidR="00E8721A" w:rsidRPr="00E8721A">
        <w:rPr>
          <w:rFonts w:ascii="Times New Roman" w:hAnsi="Times New Roman" w:cs="Times New Roman"/>
        </w:rPr>
        <w:t>Skilled Workforce in the Local</w:t>
      </w:r>
      <w:r w:rsidR="00F20B3F">
        <w:rPr>
          <w:rFonts w:ascii="Times New Roman" w:hAnsi="Times New Roman" w:cs="Times New Roman"/>
        </w:rPr>
        <w:t xml:space="preserve"> Construction Industry</w:t>
      </w:r>
      <w:r w:rsidR="00E8721A" w:rsidRPr="00E8721A">
        <w:rPr>
          <w:rFonts w:ascii="Times New Roman" w:hAnsi="Times New Roman" w:cs="Times New Roman"/>
        </w:rPr>
        <w:t xml:space="preserve"> </w:t>
      </w:r>
      <w:r w:rsidR="00E8721A" w:rsidRPr="00E8721A">
        <w:rPr>
          <w:rFonts w:ascii="Times New Roman" w:hAnsi="Times New Roman" w:cs="Times New Roman"/>
          <w:i/>
        </w:rPr>
        <w:t xml:space="preserve">Journal of Technical </w:t>
      </w:r>
      <w:r w:rsidR="00FE4888">
        <w:rPr>
          <w:rFonts w:ascii="Times New Roman" w:hAnsi="Times New Roman" w:cs="Times New Roman"/>
          <w:i/>
        </w:rPr>
        <w:tab/>
      </w:r>
      <w:r w:rsidR="00E8721A" w:rsidRPr="00E8721A">
        <w:rPr>
          <w:rFonts w:ascii="Times New Roman" w:hAnsi="Times New Roman" w:cs="Times New Roman"/>
          <w:i/>
        </w:rPr>
        <w:t xml:space="preserve">Education </w:t>
      </w:r>
      <w:r w:rsidR="00F20B3F">
        <w:rPr>
          <w:rFonts w:ascii="Times New Roman" w:hAnsi="Times New Roman" w:cs="Times New Roman"/>
          <w:i/>
        </w:rPr>
        <w:t>and Training</w:t>
      </w:r>
      <w:r w:rsidR="00E8721A" w:rsidRPr="00E8721A">
        <w:rPr>
          <w:rFonts w:ascii="Times New Roman" w:hAnsi="Times New Roman" w:cs="Times New Roman"/>
          <w:i/>
        </w:rPr>
        <w:t xml:space="preserve"> 9</w:t>
      </w:r>
      <w:r w:rsidR="00F20B3F">
        <w:rPr>
          <w:rFonts w:ascii="Times New Roman" w:hAnsi="Times New Roman" w:cs="Times New Roman"/>
          <w:i/>
        </w:rPr>
        <w:t xml:space="preserve"> </w:t>
      </w:r>
      <w:r w:rsidR="00F20B3F">
        <w:rPr>
          <w:rFonts w:ascii="Times New Roman" w:hAnsi="Times New Roman" w:cs="Times New Roman"/>
        </w:rPr>
        <w:t xml:space="preserve">(2) </w:t>
      </w:r>
    </w:p>
    <w:p w:rsidR="00C751BE"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19</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751BE">
        <w:rPr>
          <w:rFonts w:ascii="Times New Roman" w:hAnsi="Times New Roman" w:cs="Times New Roman"/>
        </w:rPr>
        <w:t>Hariyanto</w:t>
      </w:r>
      <w:r w:rsidR="00F20B3F">
        <w:rPr>
          <w:rFonts w:ascii="Times New Roman" w:hAnsi="Times New Roman" w:cs="Times New Roman"/>
        </w:rPr>
        <w:t xml:space="preserve"> V L, Jaedun A, </w:t>
      </w:r>
      <w:r w:rsidR="004321C8">
        <w:rPr>
          <w:rFonts w:ascii="Times New Roman" w:hAnsi="Times New Roman" w:cs="Times New Roman"/>
        </w:rPr>
        <w:t>Rahardjo N E</w:t>
      </w:r>
      <w:r w:rsidR="00C751BE">
        <w:rPr>
          <w:rFonts w:ascii="Times New Roman" w:hAnsi="Times New Roman" w:cs="Times New Roman"/>
        </w:rPr>
        <w:t xml:space="preserve">, </w:t>
      </w:r>
      <w:r w:rsidR="004321C8">
        <w:rPr>
          <w:rFonts w:ascii="Times New Roman" w:hAnsi="Times New Roman" w:cs="Times New Roman"/>
        </w:rPr>
        <w:t>and</w:t>
      </w:r>
      <w:r w:rsidR="004321C8">
        <w:rPr>
          <w:rFonts w:ascii="Times New Roman" w:hAnsi="Times New Roman" w:cs="Times New Roman"/>
          <w:lang w:val="id-ID"/>
        </w:rPr>
        <w:t xml:space="preserve"> </w:t>
      </w:r>
      <w:r w:rsidR="00C751BE">
        <w:rPr>
          <w:rFonts w:ascii="Times New Roman" w:hAnsi="Times New Roman" w:cs="Times New Roman"/>
        </w:rPr>
        <w:t>Ma’</w:t>
      </w:r>
      <w:r w:rsidR="004321C8">
        <w:rPr>
          <w:rFonts w:ascii="Times New Roman" w:hAnsi="Times New Roman" w:cs="Times New Roman"/>
        </w:rPr>
        <w:t>arif F 2020</w:t>
      </w:r>
      <w:r w:rsidR="00C751BE" w:rsidRPr="00CA4BC1">
        <w:rPr>
          <w:rFonts w:ascii="Times New Roman" w:hAnsi="Times New Roman" w:cs="Times New Roman"/>
        </w:rPr>
        <w:t xml:space="preserve"> </w:t>
      </w:r>
      <w:r w:rsidR="00C751BE" w:rsidRPr="00C751BE">
        <w:rPr>
          <w:rFonts w:ascii="Times New Roman" w:hAnsi="Times New Roman" w:cs="Times New Roman"/>
        </w:rPr>
        <w:t>Implementing Multimedia-</w:t>
      </w:r>
      <w:r w:rsidR="00FE4888">
        <w:rPr>
          <w:rFonts w:ascii="Times New Roman" w:hAnsi="Times New Roman" w:cs="Times New Roman"/>
        </w:rPr>
        <w:tab/>
      </w:r>
      <w:r w:rsidR="00C751BE" w:rsidRPr="00C751BE">
        <w:rPr>
          <w:rFonts w:ascii="Times New Roman" w:hAnsi="Times New Roman" w:cs="Times New Roman"/>
        </w:rPr>
        <w:t xml:space="preserve">Based Integrated Learning of Concrete Construction and Entrepreneurship to Improve the </w:t>
      </w:r>
      <w:r w:rsidR="00FE4888">
        <w:rPr>
          <w:rFonts w:ascii="Times New Roman" w:hAnsi="Times New Roman" w:cs="Times New Roman"/>
        </w:rPr>
        <w:tab/>
      </w:r>
      <w:r w:rsidR="00C751BE" w:rsidRPr="00C751BE">
        <w:rPr>
          <w:rFonts w:ascii="Times New Roman" w:hAnsi="Times New Roman" w:cs="Times New Roman"/>
        </w:rPr>
        <w:t>Students’ Entrepreneurial Spirit</w:t>
      </w:r>
      <w:r w:rsidR="00C751BE" w:rsidRPr="00CA4BC1">
        <w:rPr>
          <w:rFonts w:ascii="Times New Roman" w:hAnsi="Times New Roman" w:cs="Times New Roman"/>
        </w:rPr>
        <w:t xml:space="preserve"> </w:t>
      </w:r>
      <w:r w:rsidR="00C751BE" w:rsidRPr="00C751BE">
        <w:rPr>
          <w:rFonts w:ascii="Times New Roman" w:hAnsi="Times New Roman" w:cs="Times New Roman"/>
          <w:i/>
        </w:rPr>
        <w:t>Jurnal Pendidikan Teknologi dan Kejuruan</w:t>
      </w:r>
      <w:r w:rsidR="00C751BE" w:rsidRPr="00CA4BC1">
        <w:rPr>
          <w:rFonts w:ascii="Times New Roman" w:hAnsi="Times New Roman" w:cs="Times New Roman"/>
          <w:i/>
        </w:rPr>
        <w:t xml:space="preserve"> </w:t>
      </w:r>
      <w:r w:rsidR="00C751BE">
        <w:rPr>
          <w:rFonts w:ascii="Times New Roman" w:hAnsi="Times New Roman" w:cs="Times New Roman"/>
          <w:i/>
        </w:rPr>
        <w:t>26</w:t>
      </w:r>
      <w:r w:rsidR="004321C8">
        <w:rPr>
          <w:rFonts w:ascii="Times New Roman" w:hAnsi="Times New Roman" w:cs="Times New Roman"/>
          <w:i/>
        </w:rPr>
        <w:t xml:space="preserve"> </w:t>
      </w:r>
      <w:r w:rsidR="00C751BE">
        <w:rPr>
          <w:rFonts w:ascii="Times New Roman" w:hAnsi="Times New Roman" w:cs="Times New Roman"/>
        </w:rPr>
        <w:t>(1</w:t>
      </w:r>
      <w:r w:rsidR="004321C8">
        <w:rPr>
          <w:rFonts w:ascii="Times New Roman" w:hAnsi="Times New Roman" w:cs="Times New Roman"/>
        </w:rPr>
        <w:t>) p</w:t>
      </w:r>
      <w:r w:rsidR="00C751BE" w:rsidRPr="00CA4BC1">
        <w:rPr>
          <w:rFonts w:ascii="Times New Roman" w:hAnsi="Times New Roman" w:cs="Times New Roman"/>
        </w:rPr>
        <w:t xml:space="preserve"> </w:t>
      </w:r>
      <w:r w:rsidR="004321C8">
        <w:rPr>
          <w:rFonts w:ascii="Times New Roman" w:hAnsi="Times New Roman" w:cs="Times New Roman"/>
        </w:rPr>
        <w:t>63-73</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20</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EF0380">
        <w:rPr>
          <w:rFonts w:ascii="Times New Roman" w:hAnsi="Times New Roman" w:cs="Times New Roman"/>
        </w:rPr>
        <w:t>Creswell J W 2012</w:t>
      </w:r>
      <w:r w:rsidR="00CA4BC1" w:rsidRPr="00CA4BC1">
        <w:rPr>
          <w:rFonts w:ascii="Times New Roman" w:hAnsi="Times New Roman" w:cs="Times New Roman"/>
        </w:rPr>
        <w:t xml:space="preserve"> </w:t>
      </w:r>
      <w:r w:rsidR="00CA4BC1" w:rsidRPr="00CA4BC1">
        <w:rPr>
          <w:rFonts w:ascii="Times New Roman" w:hAnsi="Times New Roman" w:cs="Times New Roman"/>
          <w:iCs/>
        </w:rPr>
        <w:t xml:space="preserve">Educational research: Planning, conducting, and evaluating quantitative </w:t>
      </w:r>
      <w:r w:rsidR="00FE4888">
        <w:rPr>
          <w:rFonts w:ascii="Times New Roman" w:hAnsi="Times New Roman" w:cs="Times New Roman"/>
          <w:iCs/>
        </w:rPr>
        <w:tab/>
      </w:r>
      <w:r w:rsidR="00CA4BC1" w:rsidRPr="00CA4BC1">
        <w:rPr>
          <w:rFonts w:ascii="Times New Roman" w:hAnsi="Times New Roman" w:cs="Times New Roman"/>
          <w:iCs/>
        </w:rPr>
        <w:t>and qualitative research</w:t>
      </w:r>
      <w:r w:rsidR="00CA4BC1" w:rsidRPr="00CA4BC1">
        <w:rPr>
          <w:rFonts w:ascii="Times New Roman" w:hAnsi="Times New Roman" w:cs="Times New Roman"/>
          <w:i/>
        </w:rPr>
        <w:t xml:space="preserve"> </w:t>
      </w:r>
      <w:r w:rsidR="00CA4BC1" w:rsidRPr="00CA4BC1">
        <w:rPr>
          <w:rFonts w:ascii="Times New Roman" w:hAnsi="Times New Roman" w:cs="Times New Roman"/>
          <w:i/>
          <w:iCs/>
        </w:rPr>
        <w:t xml:space="preserve">Educational Research </w:t>
      </w:r>
      <w:r w:rsidR="00EF0380">
        <w:rPr>
          <w:rFonts w:ascii="Times New Roman" w:hAnsi="Times New Roman" w:cs="Times New Roman"/>
        </w:rPr>
        <w:t>Vol 4</w:t>
      </w:r>
      <w:r w:rsidR="00CA4BC1" w:rsidRPr="00CA4BC1">
        <w:rPr>
          <w:rFonts w:ascii="Times New Roman" w:hAnsi="Times New Roman" w:cs="Times New Roman"/>
        </w:rPr>
        <w:t xml:space="preserve"> </w:t>
      </w:r>
      <w:r w:rsidR="00EF0380">
        <w:rPr>
          <w:rFonts w:ascii="Times New Roman" w:hAnsi="Times New Roman" w:cs="Times New Roman"/>
        </w:rPr>
        <w:t>(</w:t>
      </w:r>
      <w:r w:rsidR="00CA4BC1" w:rsidRPr="00CA4BC1">
        <w:rPr>
          <w:rFonts w:ascii="Times New Roman" w:hAnsi="Times New Roman" w:cs="Times New Roman"/>
        </w:rPr>
        <w:t>Cambridge: Pearson</w:t>
      </w:r>
      <w:r w:rsidR="00EF0380">
        <w:rPr>
          <w:rFonts w:ascii="Times New Roman" w:hAnsi="Times New Roman" w:cs="Times New Roman"/>
        </w:rPr>
        <w:t>)</w:t>
      </w:r>
      <w:r w:rsidR="00CA4BC1" w:rsidRPr="00CA4BC1">
        <w:rPr>
          <w:rFonts w:ascii="Times New Roman" w:hAnsi="Times New Roman" w:cs="Times New Roman"/>
        </w:rPr>
        <w:t xml:space="preserve"> </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21</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EF0380">
        <w:rPr>
          <w:rFonts w:ascii="Times New Roman" w:hAnsi="Times New Roman" w:cs="Times New Roman"/>
        </w:rPr>
        <w:t>Cohen L, Manion L</w:t>
      </w:r>
      <w:r w:rsidR="00CA4BC1" w:rsidRPr="00CA4BC1">
        <w:rPr>
          <w:rFonts w:ascii="Times New Roman" w:hAnsi="Times New Roman" w:cs="Times New Roman"/>
        </w:rPr>
        <w:t xml:space="preserve">, </w:t>
      </w:r>
      <w:r w:rsidR="00EF0380">
        <w:rPr>
          <w:rFonts w:ascii="Times New Roman" w:hAnsi="Times New Roman" w:cs="Times New Roman"/>
        </w:rPr>
        <w:t>and</w:t>
      </w:r>
      <w:r w:rsidR="00EF0380">
        <w:rPr>
          <w:rFonts w:ascii="Times New Roman" w:hAnsi="Times New Roman" w:cs="Times New Roman"/>
          <w:lang w:val="id-ID"/>
        </w:rPr>
        <w:t xml:space="preserve"> </w:t>
      </w:r>
      <w:r w:rsidR="00EF0380">
        <w:rPr>
          <w:rFonts w:ascii="Times New Roman" w:hAnsi="Times New Roman" w:cs="Times New Roman"/>
        </w:rPr>
        <w:t>Morrison K 2005</w:t>
      </w:r>
      <w:r w:rsidR="00CA4BC1" w:rsidRPr="00CA4BC1">
        <w:rPr>
          <w:rFonts w:ascii="Times New Roman" w:hAnsi="Times New Roman" w:cs="Times New Roman"/>
        </w:rPr>
        <w:t xml:space="preserve"> </w:t>
      </w:r>
      <w:r w:rsidR="00CA4BC1" w:rsidRPr="00CA4BC1">
        <w:rPr>
          <w:rFonts w:ascii="Times New Roman" w:hAnsi="Times New Roman" w:cs="Times New Roman"/>
          <w:i/>
          <w:iCs/>
        </w:rPr>
        <w:t>Research Methods in Education</w:t>
      </w:r>
      <w:r w:rsidR="00EF0380">
        <w:rPr>
          <w:rFonts w:ascii="Times New Roman" w:hAnsi="Times New Roman" w:cs="Times New Roman"/>
        </w:rPr>
        <w:t xml:space="preserve"> </w:t>
      </w:r>
      <w:r w:rsidR="00B13566">
        <w:rPr>
          <w:rFonts w:ascii="Times New Roman" w:hAnsi="Times New Roman" w:cs="Times New Roman"/>
        </w:rPr>
        <w:t>(</w:t>
      </w:r>
      <w:r w:rsidR="00CA4BC1" w:rsidRPr="00CA4BC1">
        <w:rPr>
          <w:rFonts w:ascii="Times New Roman" w:hAnsi="Times New Roman" w:cs="Times New Roman"/>
        </w:rPr>
        <w:t xml:space="preserve">London and New </w:t>
      </w:r>
      <w:r w:rsidR="00B13566">
        <w:rPr>
          <w:rFonts w:ascii="Times New Roman" w:hAnsi="Times New Roman" w:cs="Times New Roman"/>
        </w:rPr>
        <w:tab/>
        <w:t>York: RoutledgeFalmer)</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22</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A4BC1" w:rsidRPr="00CA4BC1">
        <w:rPr>
          <w:rFonts w:ascii="Times New Roman" w:hAnsi="Times New Roman" w:cs="Times New Roman"/>
        </w:rPr>
        <w:t>Hidayat R</w:t>
      </w:r>
      <w:r w:rsidR="00EF0380">
        <w:rPr>
          <w:rFonts w:ascii="Times New Roman" w:hAnsi="Times New Roman" w:cs="Times New Roman"/>
        </w:rPr>
        <w:t>, Zamri S N A S</w:t>
      </w:r>
      <w:r w:rsidR="00CA4BC1" w:rsidRPr="00CA4BC1">
        <w:rPr>
          <w:rFonts w:ascii="Times New Roman" w:hAnsi="Times New Roman" w:cs="Times New Roman"/>
        </w:rPr>
        <w:t xml:space="preserve">, </w:t>
      </w:r>
      <w:r w:rsidR="00EF0380">
        <w:rPr>
          <w:rFonts w:ascii="Times New Roman" w:hAnsi="Times New Roman" w:cs="Times New Roman"/>
        </w:rPr>
        <w:t>and</w:t>
      </w:r>
      <w:r w:rsidR="00EF0380">
        <w:rPr>
          <w:rFonts w:ascii="Times New Roman" w:hAnsi="Times New Roman" w:cs="Times New Roman"/>
          <w:lang w:val="id-ID"/>
        </w:rPr>
        <w:t xml:space="preserve"> </w:t>
      </w:r>
      <w:r w:rsidR="00EF0380">
        <w:rPr>
          <w:rFonts w:ascii="Times New Roman" w:hAnsi="Times New Roman" w:cs="Times New Roman"/>
        </w:rPr>
        <w:t>Zulnaidi H 2018</w:t>
      </w:r>
      <w:r w:rsidR="00CA4BC1" w:rsidRPr="00CA4BC1">
        <w:rPr>
          <w:rFonts w:ascii="Times New Roman" w:hAnsi="Times New Roman" w:cs="Times New Roman"/>
        </w:rPr>
        <w:t xml:space="preserve"> Exploratory and Confirmatory Factor </w:t>
      </w:r>
      <w:r w:rsidR="00FE4888">
        <w:rPr>
          <w:rFonts w:ascii="Times New Roman" w:hAnsi="Times New Roman" w:cs="Times New Roman"/>
        </w:rPr>
        <w:tab/>
      </w:r>
      <w:r w:rsidR="00CA4BC1" w:rsidRPr="00CA4BC1">
        <w:rPr>
          <w:rFonts w:ascii="Times New Roman" w:hAnsi="Times New Roman" w:cs="Times New Roman"/>
        </w:rPr>
        <w:t xml:space="preserve">Analysis of Achievement Goals for Indonesian Students in Mathematics Education </w:t>
      </w:r>
      <w:r w:rsidR="00FE4888">
        <w:rPr>
          <w:rFonts w:ascii="Times New Roman" w:hAnsi="Times New Roman" w:cs="Times New Roman"/>
        </w:rPr>
        <w:tab/>
      </w:r>
      <w:r w:rsidR="00EF0380">
        <w:rPr>
          <w:rFonts w:ascii="Times New Roman" w:hAnsi="Times New Roman" w:cs="Times New Roman"/>
        </w:rPr>
        <w:t>Programmes</w:t>
      </w:r>
      <w:r w:rsidR="00CA4BC1" w:rsidRPr="00CA4BC1">
        <w:rPr>
          <w:rFonts w:ascii="Times New Roman" w:hAnsi="Times New Roman" w:cs="Times New Roman"/>
        </w:rPr>
        <w:t xml:space="preserve"> </w:t>
      </w:r>
      <w:r w:rsidR="00CA4BC1" w:rsidRPr="00CA4BC1">
        <w:rPr>
          <w:rFonts w:ascii="Times New Roman" w:hAnsi="Times New Roman" w:cs="Times New Roman"/>
          <w:i/>
        </w:rPr>
        <w:t>Eurasia Journal of Mathematics, S</w:t>
      </w:r>
      <w:r w:rsidR="00EF0380">
        <w:rPr>
          <w:rFonts w:ascii="Times New Roman" w:hAnsi="Times New Roman" w:cs="Times New Roman"/>
          <w:i/>
        </w:rPr>
        <w:t>cience and Technology Education</w:t>
      </w:r>
      <w:r w:rsidR="00CA4BC1" w:rsidRPr="00CA4BC1">
        <w:rPr>
          <w:rFonts w:ascii="Times New Roman" w:hAnsi="Times New Roman" w:cs="Times New Roman"/>
          <w:i/>
        </w:rPr>
        <w:t xml:space="preserve"> 14</w:t>
      </w:r>
      <w:r w:rsidR="00EF0380">
        <w:rPr>
          <w:rFonts w:ascii="Times New Roman" w:hAnsi="Times New Roman" w:cs="Times New Roman"/>
          <w:i/>
        </w:rPr>
        <w:t xml:space="preserve"> </w:t>
      </w:r>
      <w:r w:rsidR="00EF0380">
        <w:rPr>
          <w:rFonts w:ascii="Times New Roman" w:hAnsi="Times New Roman" w:cs="Times New Roman"/>
        </w:rPr>
        <w:t>(12)</w:t>
      </w:r>
      <w:r w:rsidR="00CA4BC1" w:rsidRPr="00CA4BC1">
        <w:rPr>
          <w:rFonts w:ascii="Times New Roman" w:hAnsi="Times New Roman" w:cs="Times New Roman"/>
        </w:rPr>
        <w:t xml:space="preserve"> </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23</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8E2E24">
        <w:rPr>
          <w:rFonts w:ascii="Times New Roman" w:hAnsi="Times New Roman" w:cs="Times New Roman"/>
        </w:rPr>
        <w:t>Kline R B 2005</w:t>
      </w:r>
      <w:r w:rsidR="00CA4BC1" w:rsidRPr="00CA4BC1">
        <w:rPr>
          <w:rFonts w:ascii="Times New Roman" w:hAnsi="Times New Roman" w:cs="Times New Roman"/>
        </w:rPr>
        <w:t xml:space="preserve"> </w:t>
      </w:r>
      <w:r w:rsidR="00CA4BC1" w:rsidRPr="00CA4BC1">
        <w:rPr>
          <w:rFonts w:ascii="Times New Roman" w:hAnsi="Times New Roman" w:cs="Times New Roman"/>
          <w:i/>
          <w:iCs/>
        </w:rPr>
        <w:t xml:space="preserve">Principles and practice of </w:t>
      </w:r>
      <w:r w:rsidR="00122C12">
        <w:rPr>
          <w:rFonts w:ascii="Times New Roman" w:hAnsi="Times New Roman" w:cs="Times New Roman"/>
          <w:i/>
          <w:iCs/>
        </w:rPr>
        <w:t>SEM</w:t>
      </w:r>
      <w:r w:rsidR="00CA4BC1" w:rsidRPr="00CA4BC1">
        <w:rPr>
          <w:rFonts w:ascii="Times New Roman" w:hAnsi="Times New Roman" w:cs="Times New Roman"/>
        </w:rPr>
        <w:t xml:space="preserve"> </w:t>
      </w:r>
      <w:r w:rsidR="008E2E24">
        <w:rPr>
          <w:rFonts w:ascii="Times New Roman" w:hAnsi="Times New Roman" w:cs="Times New Roman"/>
        </w:rPr>
        <w:t>(</w:t>
      </w:r>
      <w:r w:rsidR="00CA4BC1" w:rsidRPr="00CA4BC1">
        <w:rPr>
          <w:rFonts w:ascii="Times New Roman" w:hAnsi="Times New Roman" w:cs="Times New Roman"/>
        </w:rPr>
        <w:t xml:space="preserve">New York: The Guilford </w:t>
      </w:r>
      <w:r w:rsidR="008E2E24">
        <w:rPr>
          <w:rFonts w:ascii="Times New Roman" w:hAnsi="Times New Roman" w:cs="Times New Roman"/>
        </w:rPr>
        <w:tab/>
      </w:r>
      <w:r w:rsidR="00CA4BC1" w:rsidRPr="00CA4BC1">
        <w:rPr>
          <w:rFonts w:ascii="Times New Roman" w:hAnsi="Times New Roman" w:cs="Times New Roman"/>
        </w:rPr>
        <w:t>Press</w:t>
      </w:r>
      <w:r w:rsidR="008E2E24">
        <w:rPr>
          <w:rFonts w:ascii="Times New Roman" w:hAnsi="Times New Roman" w:cs="Times New Roman"/>
        </w:rPr>
        <w:t>)</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24</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8E2E24">
        <w:rPr>
          <w:rFonts w:ascii="Times New Roman" w:hAnsi="Times New Roman" w:cs="Times New Roman"/>
        </w:rPr>
        <w:t>Hair J F, Black, W C, Babin B J</w:t>
      </w:r>
      <w:r w:rsidR="00CA4BC1" w:rsidRPr="00CA4BC1">
        <w:rPr>
          <w:rFonts w:ascii="Times New Roman" w:hAnsi="Times New Roman" w:cs="Times New Roman"/>
        </w:rPr>
        <w:t xml:space="preserve">, </w:t>
      </w:r>
      <w:r w:rsidR="008E2E24">
        <w:rPr>
          <w:rFonts w:ascii="Times New Roman" w:hAnsi="Times New Roman" w:cs="Times New Roman"/>
        </w:rPr>
        <w:t>and</w:t>
      </w:r>
      <w:r w:rsidR="008E2E24">
        <w:rPr>
          <w:rFonts w:ascii="Times New Roman" w:hAnsi="Times New Roman" w:cs="Times New Roman"/>
          <w:lang w:val="id-ID"/>
        </w:rPr>
        <w:t xml:space="preserve"> </w:t>
      </w:r>
      <w:r w:rsidR="008E2E24">
        <w:rPr>
          <w:rFonts w:ascii="Times New Roman" w:hAnsi="Times New Roman" w:cs="Times New Roman"/>
        </w:rPr>
        <w:t>Anderson R</w:t>
      </w:r>
      <w:r w:rsidR="00CA4BC1" w:rsidRPr="00CA4BC1">
        <w:rPr>
          <w:rFonts w:ascii="Times New Roman" w:hAnsi="Times New Roman" w:cs="Times New Roman"/>
        </w:rPr>
        <w:t xml:space="preserve"> E</w:t>
      </w:r>
      <w:r w:rsidR="008E2E24">
        <w:rPr>
          <w:rFonts w:ascii="Times New Roman" w:hAnsi="Times New Roman" w:cs="Times New Roman"/>
        </w:rPr>
        <w:t xml:space="preserve"> 2010</w:t>
      </w:r>
      <w:r w:rsidR="00CA4BC1" w:rsidRPr="00CA4BC1">
        <w:rPr>
          <w:rFonts w:ascii="Times New Roman" w:hAnsi="Times New Roman" w:cs="Times New Roman"/>
        </w:rPr>
        <w:t xml:space="preserve"> </w:t>
      </w:r>
      <w:r w:rsidR="00CA4BC1" w:rsidRPr="00CA4BC1">
        <w:rPr>
          <w:rFonts w:ascii="Times New Roman" w:hAnsi="Times New Roman" w:cs="Times New Roman"/>
          <w:i/>
          <w:iCs/>
        </w:rPr>
        <w:t xml:space="preserve">Multivariate Data Analysis (7th </w:t>
      </w:r>
      <w:r w:rsidR="00FE4888">
        <w:rPr>
          <w:rFonts w:ascii="Times New Roman" w:hAnsi="Times New Roman" w:cs="Times New Roman"/>
          <w:i/>
          <w:iCs/>
        </w:rPr>
        <w:tab/>
      </w:r>
      <w:r w:rsidR="00CA4BC1" w:rsidRPr="00CA4BC1">
        <w:rPr>
          <w:rFonts w:ascii="Times New Roman" w:hAnsi="Times New Roman" w:cs="Times New Roman"/>
          <w:i/>
          <w:iCs/>
        </w:rPr>
        <w:t>Edition)</w:t>
      </w:r>
      <w:r w:rsidR="00CA4BC1" w:rsidRPr="00CA4BC1">
        <w:rPr>
          <w:rFonts w:ascii="Times New Roman" w:hAnsi="Times New Roman" w:cs="Times New Roman"/>
        </w:rPr>
        <w:t xml:space="preserve"> </w:t>
      </w:r>
      <w:r w:rsidR="008E2E24">
        <w:rPr>
          <w:rFonts w:ascii="Times New Roman" w:hAnsi="Times New Roman" w:cs="Times New Roman"/>
        </w:rPr>
        <w:t>(</w:t>
      </w:r>
      <w:r w:rsidR="00CA4BC1" w:rsidRPr="00CA4BC1">
        <w:rPr>
          <w:rFonts w:ascii="Times New Roman" w:hAnsi="Times New Roman" w:cs="Times New Roman"/>
        </w:rPr>
        <w:t>Engl</w:t>
      </w:r>
      <w:r w:rsidR="008E2E24">
        <w:rPr>
          <w:rFonts w:ascii="Times New Roman" w:hAnsi="Times New Roman" w:cs="Times New Roman"/>
        </w:rPr>
        <w:t>ewood Cliffs, NJ: Prentice Hall)</w:t>
      </w:r>
      <w:r w:rsidR="00CA4BC1" w:rsidRPr="00CA4BC1">
        <w:rPr>
          <w:rFonts w:ascii="Times New Roman" w:hAnsi="Times New Roman" w:cs="Times New Roman"/>
        </w:rPr>
        <w:t xml:space="preserve"> https://doi.org/10.1016/j.jmva.2009.12.014</w:t>
      </w:r>
    </w:p>
    <w:p w:rsidR="00CA4BC1" w:rsidRPr="00CA4BC1" w:rsidRDefault="00A977FC" w:rsidP="00FE05C8">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lang w:val="id-ID"/>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25</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A4BC1" w:rsidRPr="00CA4BC1">
        <w:rPr>
          <w:rFonts w:ascii="Times New Roman" w:hAnsi="Times New Roman" w:cs="Times New Roman"/>
        </w:rPr>
        <w:t>Husain</w:t>
      </w:r>
      <w:r w:rsidR="00DF0B4E">
        <w:rPr>
          <w:rFonts w:ascii="Times New Roman" w:hAnsi="Times New Roman" w:cs="Times New Roman"/>
          <w:lang w:val="id-ID"/>
        </w:rPr>
        <w:t xml:space="preserve"> M Y H, Mustapha R, Malik S</w:t>
      </w:r>
      <w:r w:rsidR="00CA4BC1" w:rsidRPr="00CA4BC1">
        <w:rPr>
          <w:rFonts w:ascii="Times New Roman" w:hAnsi="Times New Roman" w:cs="Times New Roman"/>
          <w:lang w:val="id-ID"/>
        </w:rPr>
        <w:t xml:space="preserve"> </w:t>
      </w:r>
      <w:r w:rsidR="00DF0B4E">
        <w:rPr>
          <w:rFonts w:ascii="Times New Roman" w:hAnsi="Times New Roman" w:cs="Times New Roman"/>
          <w:lang w:val="id-ID"/>
        </w:rPr>
        <w:t>A</w:t>
      </w:r>
      <w:r w:rsidR="00CA4BC1" w:rsidRPr="00CA4BC1">
        <w:rPr>
          <w:rFonts w:ascii="Times New Roman" w:hAnsi="Times New Roman" w:cs="Times New Roman"/>
          <w:lang w:val="id-ID"/>
        </w:rPr>
        <w:t xml:space="preserve">, </w:t>
      </w:r>
      <w:r w:rsidR="00FB20C7">
        <w:rPr>
          <w:rFonts w:ascii="Times New Roman" w:hAnsi="Times New Roman" w:cs="Times New Roman"/>
        </w:rPr>
        <w:t>and</w:t>
      </w:r>
      <w:r w:rsidR="00FB20C7">
        <w:rPr>
          <w:rFonts w:ascii="Times New Roman" w:hAnsi="Times New Roman" w:cs="Times New Roman"/>
          <w:lang w:val="id-ID"/>
        </w:rPr>
        <w:t xml:space="preserve"> </w:t>
      </w:r>
      <w:r w:rsidR="00DF0B4E">
        <w:rPr>
          <w:rFonts w:ascii="Times New Roman" w:hAnsi="Times New Roman" w:cs="Times New Roman"/>
          <w:lang w:val="id-ID"/>
        </w:rPr>
        <w:t>Mokhtar S B 2014</w:t>
      </w:r>
      <w:r w:rsidR="00CA4BC1" w:rsidRPr="00CA4BC1">
        <w:rPr>
          <w:rFonts w:ascii="Times New Roman" w:hAnsi="Times New Roman" w:cs="Times New Roman"/>
          <w:lang w:val="id-ID"/>
        </w:rPr>
        <w:t xml:space="preserve"> Review of Measurement </w:t>
      </w:r>
      <w:r w:rsidR="00FE4888">
        <w:rPr>
          <w:rFonts w:ascii="Times New Roman" w:hAnsi="Times New Roman" w:cs="Times New Roman"/>
          <w:lang w:val="id-ID"/>
        </w:rPr>
        <w:tab/>
      </w:r>
      <w:r w:rsidR="00CA4BC1" w:rsidRPr="00CA4BC1">
        <w:rPr>
          <w:rFonts w:ascii="Times New Roman" w:hAnsi="Times New Roman" w:cs="Times New Roman"/>
          <w:lang w:val="id-ID"/>
        </w:rPr>
        <w:t xml:space="preserve">Item </w:t>
      </w:r>
      <w:r w:rsidR="00DF0B4E">
        <w:rPr>
          <w:rFonts w:ascii="Times New Roman" w:hAnsi="Times New Roman" w:cs="Times New Roman"/>
          <w:lang w:val="id-ID"/>
        </w:rPr>
        <w:tab/>
      </w:r>
      <w:r w:rsidR="00CA4BC1" w:rsidRPr="00CA4BC1">
        <w:rPr>
          <w:rFonts w:ascii="Times New Roman" w:hAnsi="Times New Roman" w:cs="Times New Roman"/>
          <w:lang w:val="id-ID"/>
        </w:rPr>
        <w:t>of Engineering Students’ Learning Environmen</w:t>
      </w:r>
      <w:r w:rsidR="00DF0B4E">
        <w:rPr>
          <w:rFonts w:ascii="Times New Roman" w:hAnsi="Times New Roman" w:cs="Times New Roman"/>
          <w:lang w:val="id-ID"/>
        </w:rPr>
        <w:t>t: Confirmatory Factor Analysis</w:t>
      </w:r>
      <w:r w:rsidR="00CA4BC1" w:rsidRPr="00CA4BC1">
        <w:rPr>
          <w:rFonts w:ascii="Times New Roman" w:hAnsi="Times New Roman" w:cs="Times New Roman"/>
          <w:lang w:val="id-ID"/>
        </w:rPr>
        <w:t> </w:t>
      </w:r>
      <w:r w:rsidR="00CA4BC1" w:rsidRPr="00CA4BC1">
        <w:rPr>
          <w:rFonts w:ascii="Times New Roman" w:hAnsi="Times New Roman" w:cs="Times New Roman"/>
          <w:i/>
          <w:iCs/>
          <w:lang w:val="id-ID"/>
        </w:rPr>
        <w:t xml:space="preserve">Journal </w:t>
      </w:r>
      <w:r w:rsidR="00FE4888">
        <w:rPr>
          <w:rFonts w:ascii="Times New Roman" w:hAnsi="Times New Roman" w:cs="Times New Roman"/>
          <w:i/>
          <w:iCs/>
          <w:lang w:val="id-ID"/>
        </w:rPr>
        <w:tab/>
      </w:r>
      <w:r w:rsidR="00CA4BC1" w:rsidRPr="00CA4BC1">
        <w:rPr>
          <w:rFonts w:ascii="Times New Roman" w:hAnsi="Times New Roman" w:cs="Times New Roman"/>
          <w:i/>
          <w:iCs/>
          <w:lang w:val="id-ID"/>
        </w:rPr>
        <w:t>of Technical Education and Training</w:t>
      </w:r>
      <w:r w:rsidR="00DF0B4E">
        <w:rPr>
          <w:rFonts w:ascii="Times New Roman" w:hAnsi="Times New Roman" w:cs="Times New Roman"/>
          <w:lang w:val="id-ID"/>
        </w:rPr>
        <w:t xml:space="preserve"> </w:t>
      </w:r>
      <w:r w:rsidR="00CA4BC1" w:rsidRPr="00CA4BC1">
        <w:rPr>
          <w:rFonts w:ascii="Times New Roman" w:hAnsi="Times New Roman" w:cs="Times New Roman"/>
          <w:i/>
          <w:iCs/>
          <w:lang w:val="id-ID"/>
        </w:rPr>
        <w:t>6</w:t>
      </w:r>
      <w:r w:rsidR="00DF0B4E">
        <w:rPr>
          <w:rFonts w:ascii="Times New Roman" w:hAnsi="Times New Roman" w:cs="Times New Roman"/>
          <w:i/>
          <w:iCs/>
          <w:lang w:val="en-US"/>
        </w:rPr>
        <w:t xml:space="preserve"> </w:t>
      </w:r>
      <w:r w:rsidR="00DF0B4E">
        <w:rPr>
          <w:rFonts w:ascii="Times New Roman" w:hAnsi="Times New Roman" w:cs="Times New Roman"/>
          <w:lang w:val="id-ID"/>
        </w:rPr>
        <w:t>(1)</w:t>
      </w:r>
    </w:p>
    <w:p w:rsidR="004030FF" w:rsidRPr="00CA4BC1" w:rsidRDefault="00A977FC" w:rsidP="00A977FC">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26</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DF0B4E">
        <w:rPr>
          <w:rFonts w:ascii="Times New Roman" w:hAnsi="Times New Roman" w:cs="Times New Roman"/>
        </w:rPr>
        <w:t>Schumacker R E</w:t>
      </w:r>
      <w:r w:rsidR="004030FF" w:rsidRPr="00CA4BC1">
        <w:rPr>
          <w:rFonts w:ascii="Times New Roman" w:hAnsi="Times New Roman" w:cs="Times New Roman"/>
        </w:rPr>
        <w:t xml:space="preserve"> </w:t>
      </w:r>
      <w:r w:rsidR="00FB20C7">
        <w:rPr>
          <w:rFonts w:ascii="Times New Roman" w:hAnsi="Times New Roman" w:cs="Times New Roman"/>
        </w:rPr>
        <w:t>and</w:t>
      </w:r>
      <w:r w:rsidR="00FB20C7">
        <w:rPr>
          <w:rFonts w:ascii="Times New Roman" w:hAnsi="Times New Roman" w:cs="Times New Roman"/>
          <w:lang w:val="id-ID"/>
        </w:rPr>
        <w:t xml:space="preserve"> </w:t>
      </w:r>
      <w:r w:rsidR="00DF0B4E">
        <w:rPr>
          <w:rFonts w:ascii="Times New Roman" w:hAnsi="Times New Roman" w:cs="Times New Roman"/>
        </w:rPr>
        <w:t>Lomax R G 2010</w:t>
      </w:r>
      <w:r w:rsidR="004030FF" w:rsidRPr="00CA4BC1">
        <w:rPr>
          <w:rFonts w:ascii="Times New Roman" w:hAnsi="Times New Roman" w:cs="Times New Roman"/>
        </w:rPr>
        <w:t xml:space="preserve"> </w:t>
      </w:r>
      <w:r w:rsidR="004030FF" w:rsidRPr="00CA4BC1">
        <w:rPr>
          <w:rFonts w:ascii="Times New Roman" w:hAnsi="Times New Roman" w:cs="Times New Roman"/>
          <w:i/>
          <w:iCs/>
        </w:rPr>
        <w:t>Structural Equation Modeling: Third Edition</w:t>
      </w:r>
      <w:r w:rsidR="004030FF" w:rsidRPr="00CA4BC1">
        <w:rPr>
          <w:rFonts w:ascii="Times New Roman" w:hAnsi="Times New Roman" w:cs="Times New Roman"/>
        </w:rPr>
        <w:t xml:space="preserve"> </w:t>
      </w:r>
      <w:r w:rsidR="00DF0B4E">
        <w:rPr>
          <w:rFonts w:ascii="Times New Roman" w:hAnsi="Times New Roman" w:cs="Times New Roman"/>
        </w:rPr>
        <w:t>(</w:t>
      </w:r>
      <w:r w:rsidR="004030FF" w:rsidRPr="00CA4BC1">
        <w:rPr>
          <w:rFonts w:ascii="Times New Roman" w:hAnsi="Times New Roman" w:cs="Times New Roman"/>
        </w:rPr>
        <w:t xml:space="preserve">New </w:t>
      </w:r>
      <w:r w:rsidR="00FE4888">
        <w:rPr>
          <w:rFonts w:ascii="Times New Roman" w:hAnsi="Times New Roman" w:cs="Times New Roman"/>
        </w:rPr>
        <w:tab/>
      </w:r>
      <w:r w:rsidR="00DF0B4E">
        <w:rPr>
          <w:rFonts w:ascii="Times New Roman" w:hAnsi="Times New Roman" w:cs="Times New Roman"/>
        </w:rPr>
        <w:t>York: Taylor &amp; Francis Group)</w:t>
      </w:r>
    </w:p>
    <w:p w:rsidR="004030FF" w:rsidRPr="003F09EF" w:rsidRDefault="00A977FC" w:rsidP="005576BF">
      <w:pPr>
        <w:pBdr>
          <w:top w:val="nil"/>
          <w:left w:val="nil"/>
          <w:bottom w:val="nil"/>
          <w:right w:val="nil"/>
          <w:between w:val="nil"/>
        </w:pBdr>
        <w:tabs>
          <w:tab w:val="left" w:pos="851"/>
        </w:tabs>
        <w:spacing w:after="0" w:line="240" w:lineRule="auto"/>
        <w:ind w:left="570" w:hanging="570"/>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27</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4030FF">
        <w:rPr>
          <w:rFonts w:ascii="Times New Roman" w:hAnsi="Times New Roman" w:cs="Times New Roman"/>
        </w:rPr>
        <w:t>H</w:t>
      </w:r>
      <w:r w:rsidR="00DF0B4E">
        <w:rPr>
          <w:rFonts w:ascii="Times New Roman" w:hAnsi="Times New Roman" w:cs="Times New Roman"/>
        </w:rPr>
        <w:t>aruna R</w:t>
      </w:r>
      <w:r w:rsidR="004030FF">
        <w:rPr>
          <w:rFonts w:ascii="Times New Roman" w:hAnsi="Times New Roman" w:cs="Times New Roman"/>
        </w:rPr>
        <w:t xml:space="preserve"> </w:t>
      </w:r>
      <w:r w:rsidR="00FB20C7">
        <w:rPr>
          <w:rFonts w:ascii="Times New Roman" w:hAnsi="Times New Roman" w:cs="Times New Roman"/>
        </w:rPr>
        <w:t>and</w:t>
      </w:r>
      <w:r w:rsidR="00FB20C7">
        <w:rPr>
          <w:rFonts w:ascii="Times New Roman" w:hAnsi="Times New Roman" w:cs="Times New Roman"/>
          <w:lang w:val="id-ID"/>
        </w:rPr>
        <w:t xml:space="preserve"> </w:t>
      </w:r>
      <w:r w:rsidR="00DF0B4E">
        <w:rPr>
          <w:rFonts w:ascii="Times New Roman" w:hAnsi="Times New Roman" w:cs="Times New Roman"/>
        </w:rPr>
        <w:t>Kamin Y B</w:t>
      </w:r>
      <w:r w:rsidR="004030FF" w:rsidRPr="00CA4BC1">
        <w:rPr>
          <w:rFonts w:ascii="Times New Roman" w:hAnsi="Times New Roman" w:cs="Times New Roman"/>
        </w:rPr>
        <w:t xml:space="preserve"> </w:t>
      </w:r>
      <w:r w:rsidR="004030FF">
        <w:rPr>
          <w:rFonts w:ascii="Times New Roman" w:hAnsi="Times New Roman" w:cs="Times New Roman"/>
        </w:rPr>
        <w:t>2019</w:t>
      </w:r>
      <w:r w:rsidR="004030FF" w:rsidRPr="00CA4BC1">
        <w:rPr>
          <w:rFonts w:ascii="Times New Roman" w:hAnsi="Times New Roman" w:cs="Times New Roman"/>
        </w:rPr>
        <w:t xml:space="preserve"> </w:t>
      </w:r>
      <w:r w:rsidR="004030FF" w:rsidRPr="003F09EF">
        <w:rPr>
          <w:rFonts w:ascii="Times New Roman" w:hAnsi="Times New Roman" w:cs="Times New Roman"/>
        </w:rPr>
        <w:t xml:space="preserve">Factor Analysis </w:t>
      </w:r>
      <w:r w:rsidR="004030FF">
        <w:rPr>
          <w:rFonts w:ascii="Times New Roman" w:hAnsi="Times New Roman" w:cs="Times New Roman"/>
        </w:rPr>
        <w:t>o</w:t>
      </w:r>
      <w:r w:rsidR="004030FF" w:rsidRPr="003F09EF">
        <w:rPr>
          <w:rFonts w:ascii="Times New Roman" w:hAnsi="Times New Roman" w:cs="Times New Roman"/>
        </w:rPr>
        <w:t xml:space="preserve">f </w:t>
      </w:r>
      <w:r w:rsidR="004030FF">
        <w:rPr>
          <w:rFonts w:ascii="Times New Roman" w:hAnsi="Times New Roman" w:cs="Times New Roman"/>
        </w:rPr>
        <w:t>t</w:t>
      </w:r>
      <w:r w:rsidR="004030FF" w:rsidRPr="003F09EF">
        <w:rPr>
          <w:rFonts w:ascii="Times New Roman" w:hAnsi="Times New Roman" w:cs="Times New Roman"/>
        </w:rPr>
        <w:t>h</w:t>
      </w:r>
      <w:r w:rsidR="004030FF">
        <w:rPr>
          <w:rFonts w:ascii="Times New Roman" w:hAnsi="Times New Roman" w:cs="Times New Roman"/>
        </w:rPr>
        <w:t xml:space="preserve">e Challenges and Strategies for </w:t>
      </w:r>
      <w:r w:rsidR="00FB20C7">
        <w:rPr>
          <w:rFonts w:ascii="Times New Roman" w:hAnsi="Times New Roman" w:cs="Times New Roman"/>
        </w:rPr>
        <w:tab/>
      </w:r>
      <w:r w:rsidR="004030FF" w:rsidRPr="003F09EF">
        <w:rPr>
          <w:rFonts w:ascii="Times New Roman" w:hAnsi="Times New Roman" w:cs="Times New Roman"/>
        </w:rPr>
        <w:t>Effec</w:t>
      </w:r>
      <w:r w:rsidR="004030FF">
        <w:rPr>
          <w:rFonts w:ascii="Times New Roman" w:hAnsi="Times New Roman" w:cs="Times New Roman"/>
        </w:rPr>
        <w:t>tive Work-Based Learning i</w:t>
      </w:r>
      <w:r w:rsidR="004030FF" w:rsidRPr="003F09EF">
        <w:rPr>
          <w:rFonts w:ascii="Times New Roman" w:hAnsi="Times New Roman" w:cs="Times New Roman"/>
        </w:rPr>
        <w:t xml:space="preserve">n Nigerian Technical </w:t>
      </w:r>
      <w:r w:rsidR="004030FF">
        <w:rPr>
          <w:rFonts w:ascii="Times New Roman" w:hAnsi="Times New Roman" w:cs="Times New Roman"/>
        </w:rPr>
        <w:t>a</w:t>
      </w:r>
      <w:r w:rsidR="004030FF" w:rsidRPr="003F09EF">
        <w:rPr>
          <w:rFonts w:ascii="Times New Roman" w:hAnsi="Times New Roman" w:cs="Times New Roman"/>
        </w:rPr>
        <w:t>nd Vocational Education</w:t>
      </w:r>
      <w:r w:rsidR="00DF0B4E">
        <w:rPr>
          <w:rFonts w:ascii="Times New Roman" w:hAnsi="Times New Roman" w:cs="Times New Roman"/>
        </w:rPr>
        <w:t xml:space="preserve"> </w:t>
      </w:r>
      <w:r w:rsidR="004030FF" w:rsidRPr="00C751BE">
        <w:rPr>
          <w:rFonts w:ascii="Times New Roman" w:hAnsi="Times New Roman" w:cs="Times New Roman"/>
          <w:i/>
        </w:rPr>
        <w:t xml:space="preserve">Jurnal </w:t>
      </w:r>
      <w:r w:rsidR="00FB20C7">
        <w:rPr>
          <w:rFonts w:ascii="Times New Roman" w:hAnsi="Times New Roman" w:cs="Times New Roman"/>
          <w:i/>
        </w:rPr>
        <w:tab/>
      </w:r>
      <w:r w:rsidR="004030FF" w:rsidRPr="00C751BE">
        <w:rPr>
          <w:rFonts w:ascii="Times New Roman" w:hAnsi="Times New Roman" w:cs="Times New Roman"/>
          <w:i/>
        </w:rPr>
        <w:t>Pendidikan Teknologi dan Kejuruan</w:t>
      </w:r>
      <w:r w:rsidR="004030FF" w:rsidRPr="00CA4BC1">
        <w:rPr>
          <w:rFonts w:ascii="Times New Roman" w:hAnsi="Times New Roman" w:cs="Times New Roman"/>
          <w:i/>
        </w:rPr>
        <w:t xml:space="preserve"> </w:t>
      </w:r>
      <w:r w:rsidR="004030FF">
        <w:rPr>
          <w:rFonts w:ascii="Times New Roman" w:hAnsi="Times New Roman" w:cs="Times New Roman"/>
          <w:i/>
        </w:rPr>
        <w:t>25</w:t>
      </w:r>
      <w:r w:rsidR="00DF0B4E">
        <w:rPr>
          <w:rFonts w:ascii="Times New Roman" w:hAnsi="Times New Roman" w:cs="Times New Roman"/>
          <w:i/>
        </w:rPr>
        <w:t xml:space="preserve"> </w:t>
      </w:r>
      <w:r w:rsidR="004030FF">
        <w:rPr>
          <w:rFonts w:ascii="Times New Roman" w:hAnsi="Times New Roman" w:cs="Times New Roman"/>
        </w:rPr>
        <w:t>(1</w:t>
      </w:r>
      <w:r w:rsidR="004030FF" w:rsidRPr="00CA4BC1">
        <w:rPr>
          <w:rFonts w:ascii="Times New Roman" w:hAnsi="Times New Roman" w:cs="Times New Roman"/>
        </w:rPr>
        <w:t xml:space="preserve">), </w:t>
      </w:r>
      <w:r w:rsidR="00DF0B4E">
        <w:rPr>
          <w:rFonts w:ascii="Times New Roman" w:hAnsi="Times New Roman" w:cs="Times New Roman"/>
        </w:rPr>
        <w:t xml:space="preserve">p </w:t>
      </w:r>
      <w:r w:rsidR="005576BF">
        <w:rPr>
          <w:rFonts w:ascii="Times New Roman" w:hAnsi="Times New Roman" w:cs="Times New Roman"/>
        </w:rPr>
        <w:t xml:space="preserve">21-3 </w:t>
      </w:r>
      <w:r w:rsidR="005576BF">
        <w:rPr>
          <w:rFonts w:ascii="Times New Roman" w:hAnsi="Times New Roman" w:cs="Times New Roman"/>
        </w:rPr>
        <w:tab/>
      </w:r>
    </w:p>
    <w:p w:rsidR="00CA4BC1" w:rsidRPr="00CA4BC1" w:rsidRDefault="00A977FC" w:rsidP="00A977FC">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28</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DF0B4E">
        <w:rPr>
          <w:rFonts w:ascii="Times New Roman" w:hAnsi="Times New Roman" w:cs="Times New Roman"/>
        </w:rPr>
        <w:t>Babbie E 1992</w:t>
      </w:r>
      <w:r w:rsidR="00CA4BC1" w:rsidRPr="00CA4BC1">
        <w:rPr>
          <w:rFonts w:ascii="Times New Roman" w:hAnsi="Times New Roman" w:cs="Times New Roman"/>
        </w:rPr>
        <w:t xml:space="preserve"> </w:t>
      </w:r>
      <w:r w:rsidR="00DF0B4E">
        <w:rPr>
          <w:rFonts w:ascii="Times New Roman" w:hAnsi="Times New Roman" w:cs="Times New Roman"/>
          <w:i/>
          <w:iCs/>
        </w:rPr>
        <w:t>The practice of social research</w:t>
      </w:r>
      <w:r w:rsidR="00CA4BC1" w:rsidRPr="00CA4BC1">
        <w:rPr>
          <w:rFonts w:ascii="Times New Roman" w:hAnsi="Times New Roman" w:cs="Times New Roman"/>
          <w:i/>
          <w:iCs/>
        </w:rPr>
        <w:t xml:space="preserve"> </w:t>
      </w:r>
      <w:r w:rsidR="00DF0B4E" w:rsidRPr="00DF0B4E">
        <w:rPr>
          <w:rFonts w:ascii="Times New Roman" w:hAnsi="Times New Roman" w:cs="Times New Roman"/>
          <w:iCs/>
        </w:rPr>
        <w:t>(</w:t>
      </w:r>
      <w:r w:rsidR="00CA4BC1" w:rsidRPr="00CA4BC1">
        <w:rPr>
          <w:rFonts w:ascii="Times New Roman" w:hAnsi="Times New Roman" w:cs="Times New Roman"/>
        </w:rPr>
        <w:t>California: Wardsworth Publishing Company</w:t>
      </w:r>
      <w:r w:rsidR="00DF0B4E">
        <w:rPr>
          <w:rFonts w:ascii="Times New Roman" w:hAnsi="Times New Roman" w:cs="Times New Roman"/>
        </w:rPr>
        <w:t>)</w:t>
      </w:r>
    </w:p>
    <w:p w:rsidR="00CA4BC1" w:rsidRPr="00CA4BC1" w:rsidRDefault="00A977FC" w:rsidP="00A977FC">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rPr>
        <w:t>[</w:t>
      </w:r>
      <w:r w:rsidR="00FE4888">
        <w:rPr>
          <w:rFonts w:ascii="Times New Roman" w:eastAsia="Times New Roman" w:hAnsi="Times New Roman" w:cs="Times New Roman"/>
          <w:color w:val="000000"/>
        </w:rPr>
        <w:t>29</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DF0B4E">
        <w:rPr>
          <w:rFonts w:ascii="Times New Roman" w:hAnsi="Times New Roman" w:cs="Times New Roman"/>
        </w:rPr>
        <w:t>Arbuckle J</w:t>
      </w:r>
      <w:r w:rsidR="00CA4BC1" w:rsidRPr="00CA4BC1">
        <w:rPr>
          <w:rFonts w:ascii="Times New Roman" w:hAnsi="Times New Roman" w:cs="Times New Roman"/>
        </w:rPr>
        <w:t xml:space="preserve"> </w:t>
      </w:r>
      <w:r w:rsidR="00FB20C7">
        <w:rPr>
          <w:rFonts w:ascii="Times New Roman" w:hAnsi="Times New Roman" w:cs="Times New Roman"/>
        </w:rPr>
        <w:t>and</w:t>
      </w:r>
      <w:r w:rsidR="00DF0B4E">
        <w:rPr>
          <w:rFonts w:ascii="Times New Roman" w:hAnsi="Times New Roman" w:cs="Times New Roman"/>
        </w:rPr>
        <w:t xml:space="preserve"> Wothke W </w:t>
      </w:r>
      <w:r w:rsidR="00CA4BC1" w:rsidRPr="00CA4BC1">
        <w:rPr>
          <w:rFonts w:ascii="Times New Roman" w:hAnsi="Times New Roman" w:cs="Times New Roman"/>
        </w:rPr>
        <w:t>199</w:t>
      </w:r>
      <w:r w:rsidR="00DF0B4E">
        <w:rPr>
          <w:rFonts w:ascii="Times New Roman" w:hAnsi="Times New Roman" w:cs="Times New Roman"/>
        </w:rPr>
        <w:t>9</w:t>
      </w:r>
      <w:r w:rsidR="00CA4BC1" w:rsidRPr="00CA4BC1">
        <w:rPr>
          <w:rFonts w:ascii="Times New Roman" w:hAnsi="Times New Roman" w:cs="Times New Roman"/>
        </w:rPr>
        <w:t xml:space="preserve"> </w:t>
      </w:r>
      <w:r w:rsidR="00CA4BC1" w:rsidRPr="00CA4BC1">
        <w:rPr>
          <w:rFonts w:ascii="Times New Roman" w:hAnsi="Times New Roman" w:cs="Times New Roman"/>
          <w:i/>
        </w:rPr>
        <w:t>AMOS user’s guide version 4.0.</w:t>
      </w:r>
      <w:r w:rsidR="00CA4BC1" w:rsidRPr="00CA4BC1">
        <w:rPr>
          <w:rFonts w:ascii="Times New Roman" w:hAnsi="Times New Roman" w:cs="Times New Roman"/>
        </w:rPr>
        <w:t xml:space="preserve"> </w:t>
      </w:r>
      <w:r w:rsidR="00DF0B4E">
        <w:rPr>
          <w:rFonts w:ascii="Times New Roman" w:hAnsi="Times New Roman" w:cs="Times New Roman"/>
        </w:rPr>
        <w:t>(</w:t>
      </w:r>
      <w:r w:rsidR="00CA4BC1" w:rsidRPr="00CA4BC1">
        <w:rPr>
          <w:rFonts w:ascii="Times New Roman" w:hAnsi="Times New Roman" w:cs="Times New Roman"/>
        </w:rPr>
        <w:t>Chicago, IL: Small Water</w:t>
      </w:r>
      <w:r w:rsidR="00DF0B4E">
        <w:rPr>
          <w:rFonts w:ascii="Times New Roman" w:hAnsi="Times New Roman" w:cs="Times New Roman"/>
        </w:rPr>
        <w:t>)</w:t>
      </w:r>
    </w:p>
    <w:sectPr w:rsidR="00CA4BC1" w:rsidRPr="00CA4BC1">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C5"/>
    <w:multiLevelType w:val="multilevel"/>
    <w:tmpl w:val="9E1AD36E"/>
    <w:lvl w:ilvl="0">
      <w:start w:val="1"/>
      <w:numFmt w:val="decimal"/>
      <w:pStyle w:val="1subjud"/>
      <w:lvlText w:val="%1."/>
      <w:lvlJc w:val="left"/>
      <w:pPr>
        <w:tabs>
          <w:tab w:val="num" w:pos="720"/>
        </w:tabs>
        <w:ind w:left="720" w:hanging="720"/>
      </w:pPr>
    </w:lvl>
    <w:lvl w:ilvl="1">
      <w:start w:val="1"/>
      <w:numFmt w:val="decimal"/>
      <w:pStyle w:val="subsub"/>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BD16FB"/>
    <w:multiLevelType w:val="multilevel"/>
    <w:tmpl w:val="88C8F8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73FB4853"/>
    <w:multiLevelType w:val="multilevel"/>
    <w:tmpl w:val="D462398C"/>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FA"/>
    <w:rsid w:val="00000E79"/>
    <w:rsid w:val="000203E4"/>
    <w:rsid w:val="00054E59"/>
    <w:rsid w:val="00085B59"/>
    <w:rsid w:val="00097A69"/>
    <w:rsid w:val="000C6D49"/>
    <w:rsid w:val="000D4D18"/>
    <w:rsid w:val="000E23F2"/>
    <w:rsid w:val="000F4D1A"/>
    <w:rsid w:val="000F7348"/>
    <w:rsid w:val="001072A7"/>
    <w:rsid w:val="00122C12"/>
    <w:rsid w:val="00145FBE"/>
    <w:rsid w:val="001608B4"/>
    <w:rsid w:val="001667A6"/>
    <w:rsid w:val="001805DD"/>
    <w:rsid w:val="001B6863"/>
    <w:rsid w:val="001C62E6"/>
    <w:rsid w:val="001F4CE8"/>
    <w:rsid w:val="00213153"/>
    <w:rsid w:val="00213E0F"/>
    <w:rsid w:val="00240540"/>
    <w:rsid w:val="00257783"/>
    <w:rsid w:val="002A1226"/>
    <w:rsid w:val="002C5AA3"/>
    <w:rsid w:val="002D5DAB"/>
    <w:rsid w:val="002E4D19"/>
    <w:rsid w:val="003015A7"/>
    <w:rsid w:val="003050EB"/>
    <w:rsid w:val="00335B8E"/>
    <w:rsid w:val="0036057F"/>
    <w:rsid w:val="00366E66"/>
    <w:rsid w:val="00377299"/>
    <w:rsid w:val="003B4531"/>
    <w:rsid w:val="003D62B0"/>
    <w:rsid w:val="003F09EF"/>
    <w:rsid w:val="003F13C7"/>
    <w:rsid w:val="0040124B"/>
    <w:rsid w:val="004030FF"/>
    <w:rsid w:val="004223F9"/>
    <w:rsid w:val="004321C8"/>
    <w:rsid w:val="0049287F"/>
    <w:rsid w:val="004A15D1"/>
    <w:rsid w:val="004A303D"/>
    <w:rsid w:val="004A4382"/>
    <w:rsid w:val="004B332F"/>
    <w:rsid w:val="004C11AB"/>
    <w:rsid w:val="004E251F"/>
    <w:rsid w:val="00507FEC"/>
    <w:rsid w:val="00522DEB"/>
    <w:rsid w:val="005576BF"/>
    <w:rsid w:val="005B3250"/>
    <w:rsid w:val="005D40B1"/>
    <w:rsid w:val="00600670"/>
    <w:rsid w:val="00615D09"/>
    <w:rsid w:val="006169A9"/>
    <w:rsid w:val="0064488E"/>
    <w:rsid w:val="006466D4"/>
    <w:rsid w:val="0064679F"/>
    <w:rsid w:val="006A7646"/>
    <w:rsid w:val="006B7DFA"/>
    <w:rsid w:val="006F0156"/>
    <w:rsid w:val="006F4792"/>
    <w:rsid w:val="007045F6"/>
    <w:rsid w:val="0070558F"/>
    <w:rsid w:val="00747B21"/>
    <w:rsid w:val="00747D7E"/>
    <w:rsid w:val="00762D1A"/>
    <w:rsid w:val="00766EBE"/>
    <w:rsid w:val="007703D4"/>
    <w:rsid w:val="00780D13"/>
    <w:rsid w:val="007A4362"/>
    <w:rsid w:val="007E1A7E"/>
    <w:rsid w:val="007F4999"/>
    <w:rsid w:val="008117B5"/>
    <w:rsid w:val="008335CA"/>
    <w:rsid w:val="008501B2"/>
    <w:rsid w:val="008509D7"/>
    <w:rsid w:val="00856DDD"/>
    <w:rsid w:val="00876971"/>
    <w:rsid w:val="0089081A"/>
    <w:rsid w:val="00893A85"/>
    <w:rsid w:val="00896A01"/>
    <w:rsid w:val="00897E7E"/>
    <w:rsid w:val="008B4469"/>
    <w:rsid w:val="008C049A"/>
    <w:rsid w:val="008D226D"/>
    <w:rsid w:val="008E2E24"/>
    <w:rsid w:val="008E6457"/>
    <w:rsid w:val="008F013E"/>
    <w:rsid w:val="008F0F7C"/>
    <w:rsid w:val="00910C66"/>
    <w:rsid w:val="009210F3"/>
    <w:rsid w:val="0094425E"/>
    <w:rsid w:val="00965970"/>
    <w:rsid w:val="0097149C"/>
    <w:rsid w:val="009832FA"/>
    <w:rsid w:val="0098650F"/>
    <w:rsid w:val="009A3EB9"/>
    <w:rsid w:val="009A64AD"/>
    <w:rsid w:val="009C51B8"/>
    <w:rsid w:val="009E50AA"/>
    <w:rsid w:val="00A02359"/>
    <w:rsid w:val="00A1103A"/>
    <w:rsid w:val="00A237E8"/>
    <w:rsid w:val="00A65029"/>
    <w:rsid w:val="00A977FC"/>
    <w:rsid w:val="00AA3FF3"/>
    <w:rsid w:val="00AB07F7"/>
    <w:rsid w:val="00AB4A24"/>
    <w:rsid w:val="00AB7877"/>
    <w:rsid w:val="00AD5D6C"/>
    <w:rsid w:val="00B13566"/>
    <w:rsid w:val="00B46A30"/>
    <w:rsid w:val="00B624E6"/>
    <w:rsid w:val="00B83D0C"/>
    <w:rsid w:val="00B911EA"/>
    <w:rsid w:val="00BB17BB"/>
    <w:rsid w:val="00BB6709"/>
    <w:rsid w:val="00BE2601"/>
    <w:rsid w:val="00C22EFB"/>
    <w:rsid w:val="00C4041A"/>
    <w:rsid w:val="00C751BE"/>
    <w:rsid w:val="00C86A15"/>
    <w:rsid w:val="00C955E6"/>
    <w:rsid w:val="00CA4347"/>
    <w:rsid w:val="00CA4BC1"/>
    <w:rsid w:val="00CB73F9"/>
    <w:rsid w:val="00CD3511"/>
    <w:rsid w:val="00CD6D19"/>
    <w:rsid w:val="00CE5E7E"/>
    <w:rsid w:val="00CF116A"/>
    <w:rsid w:val="00D12CE9"/>
    <w:rsid w:val="00D209E1"/>
    <w:rsid w:val="00D30F8E"/>
    <w:rsid w:val="00D32634"/>
    <w:rsid w:val="00D51B0E"/>
    <w:rsid w:val="00D62E76"/>
    <w:rsid w:val="00D66953"/>
    <w:rsid w:val="00D75DE5"/>
    <w:rsid w:val="00DB5E14"/>
    <w:rsid w:val="00DC0AF4"/>
    <w:rsid w:val="00DC1EB8"/>
    <w:rsid w:val="00DD460F"/>
    <w:rsid w:val="00DE59A1"/>
    <w:rsid w:val="00DF0B4E"/>
    <w:rsid w:val="00E368E0"/>
    <w:rsid w:val="00E45E48"/>
    <w:rsid w:val="00E60062"/>
    <w:rsid w:val="00E6419F"/>
    <w:rsid w:val="00E83128"/>
    <w:rsid w:val="00E8721A"/>
    <w:rsid w:val="00E93877"/>
    <w:rsid w:val="00EA5B99"/>
    <w:rsid w:val="00EA744B"/>
    <w:rsid w:val="00EA7939"/>
    <w:rsid w:val="00EB31E7"/>
    <w:rsid w:val="00EC5E8D"/>
    <w:rsid w:val="00ED3BFE"/>
    <w:rsid w:val="00EF0380"/>
    <w:rsid w:val="00EF7C67"/>
    <w:rsid w:val="00F200B7"/>
    <w:rsid w:val="00F20B3F"/>
    <w:rsid w:val="00F22345"/>
    <w:rsid w:val="00F716B6"/>
    <w:rsid w:val="00FA47AC"/>
    <w:rsid w:val="00FB20C7"/>
    <w:rsid w:val="00FD4824"/>
    <w:rsid w:val="00FE05C8"/>
    <w:rsid w:val="00FE4888"/>
    <w:rsid w:val="00FF79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F27D"/>
  <w15:docId w15:val="{3BBF48F5-926E-4A29-A8FE-BB8FBAF8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
    <w:basedOn w:val="Normal"/>
    <w:link w:val="ListParagraphChar"/>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0">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0"/>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0"/>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377299"/>
    <w:rPr>
      <w:color w:val="0000FF" w:themeColor="hyperlink"/>
      <w:u w:val="single"/>
    </w:rPr>
  </w:style>
  <w:style w:type="paragraph" w:customStyle="1" w:styleId="1subjud">
    <w:name w:val="1subjud"/>
    <w:basedOn w:val="Normal"/>
    <w:qFormat/>
    <w:rsid w:val="00856DDD"/>
    <w:pPr>
      <w:numPr>
        <w:numId w:val="4"/>
      </w:numPr>
      <w:spacing w:after="160" w:line="240" w:lineRule="auto"/>
      <w:ind w:left="360"/>
      <w:jc w:val="both"/>
    </w:pPr>
    <w:rPr>
      <w:b/>
      <w:caps/>
      <w:sz w:val="24"/>
      <w:szCs w:val="20"/>
      <w:lang w:val="en-US" w:eastAsia="x-none"/>
    </w:rPr>
  </w:style>
  <w:style w:type="paragraph" w:customStyle="1" w:styleId="subsub">
    <w:name w:val="subsub"/>
    <w:basedOn w:val="Normal"/>
    <w:qFormat/>
    <w:rsid w:val="00856DDD"/>
    <w:pPr>
      <w:numPr>
        <w:ilvl w:val="1"/>
        <w:numId w:val="4"/>
      </w:numPr>
      <w:spacing w:after="160" w:line="240" w:lineRule="auto"/>
      <w:ind w:left="540" w:hanging="540"/>
      <w:jc w:val="both"/>
    </w:pPr>
    <w:rPr>
      <w:b/>
      <w:sz w:val="24"/>
      <w:szCs w:val="20"/>
      <w:lang w:val="x-none" w:eastAsia="x-none"/>
    </w:rPr>
  </w:style>
  <w:style w:type="paragraph" w:customStyle="1" w:styleId="Subsubsection">
    <w:name w:val="Subsubsection"/>
    <w:next w:val="Normal"/>
    <w:rsid w:val="00856DDD"/>
    <w:pPr>
      <w:numPr>
        <w:ilvl w:val="2"/>
        <w:numId w:val="4"/>
      </w:numPr>
      <w:spacing w:before="240" w:after="160" w:line="259" w:lineRule="auto"/>
      <w:ind w:firstLine="0"/>
    </w:pPr>
    <w:rPr>
      <w:rFonts w:ascii="Times" w:eastAsiaTheme="minorEastAsia" w:hAnsi="Times"/>
      <w:i/>
      <w:iCs/>
      <w:color w:val="000000"/>
      <w:lang w:val="en-US" w:eastAsia="en-US"/>
    </w:rPr>
  </w:style>
  <w:style w:type="character" w:customStyle="1" w:styleId="ListParagraphChar">
    <w:name w:val="List Paragraph Char"/>
    <w:aliases w:val="Body of text Char"/>
    <w:link w:val="ListParagraph"/>
    <w:uiPriority w:val="34"/>
    <w:locked/>
    <w:rsid w:val="00856DDD"/>
  </w:style>
  <w:style w:type="table" w:styleId="TableGrid">
    <w:name w:val="Table Grid"/>
    <w:basedOn w:val="TableNormal"/>
    <w:uiPriority w:val="39"/>
    <w:rsid w:val="00000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165</cp:revision>
  <dcterms:created xsi:type="dcterms:W3CDTF">2018-07-23T10:44:00Z</dcterms:created>
  <dcterms:modified xsi:type="dcterms:W3CDTF">2020-06-30T08:58:00Z</dcterms:modified>
</cp:coreProperties>
</file>