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CC725" w14:textId="77777777" w:rsidR="00B400D8" w:rsidRPr="007A68F3" w:rsidRDefault="007A68F3">
      <w:pPr>
        <w:spacing w:after="568"/>
        <w:rPr>
          <w:rFonts w:ascii="Times New Roman" w:eastAsia="Times New Roman" w:hAnsi="Times New Roman" w:cs="Times New Roman"/>
          <w:b/>
          <w:sz w:val="34"/>
          <w:szCs w:val="34"/>
          <w:lang w:val="id-ID"/>
        </w:rPr>
      </w:pPr>
      <w:r>
        <w:rPr>
          <w:rFonts w:ascii="Times New Roman" w:eastAsia="Times New Roman" w:hAnsi="Times New Roman" w:cs="Times New Roman"/>
          <w:b/>
          <w:sz w:val="34"/>
          <w:szCs w:val="34"/>
        </w:rPr>
        <w:t>Augmented Reality Technology Based on 3D Modeling to Improve Special Skills in Graduates of Vocational Education Students</w:t>
      </w:r>
    </w:p>
    <w:p w14:paraId="5840D871" w14:textId="77777777" w:rsidR="00B400D8" w:rsidRPr="009B7A22" w:rsidRDefault="009B7A22">
      <w:pPr>
        <w:spacing w:after="0"/>
        <w:ind w:left="1418"/>
        <w:rPr>
          <w:rFonts w:ascii="Times New Roman" w:eastAsia="Times New Roman" w:hAnsi="Times New Roman" w:cs="Times New Roman"/>
          <w:b/>
          <w:vertAlign w:val="superscript"/>
          <w:lang w:val="id-ID"/>
        </w:rPr>
      </w:pPr>
      <w:r>
        <w:rPr>
          <w:rFonts w:ascii="Times New Roman" w:eastAsia="Times New Roman" w:hAnsi="Times New Roman" w:cs="Times New Roman"/>
          <w:b/>
          <w:lang w:val="id-ID"/>
        </w:rPr>
        <w:t>Tuwoso</w:t>
      </w:r>
      <w:r>
        <w:rPr>
          <w:rFonts w:ascii="Times New Roman" w:eastAsia="Times New Roman" w:hAnsi="Times New Roman" w:cs="Times New Roman"/>
          <w:b/>
          <w:vertAlign w:val="superscript"/>
          <w:lang w:val="id-ID"/>
        </w:rPr>
        <w:t>1</w:t>
      </w:r>
      <w:r>
        <w:rPr>
          <w:rFonts w:ascii="Times New Roman" w:eastAsia="Times New Roman" w:hAnsi="Times New Roman" w:cs="Times New Roman"/>
          <w:b/>
          <w:lang w:val="id-ID"/>
        </w:rPr>
        <w:t>, Andika Bagus Nur Rahma Putra</w:t>
      </w:r>
      <w:r>
        <w:rPr>
          <w:rFonts w:ascii="Times New Roman" w:eastAsia="Times New Roman" w:hAnsi="Times New Roman" w:cs="Times New Roman"/>
          <w:b/>
          <w:vertAlign w:val="superscript"/>
          <w:lang w:val="id-ID"/>
        </w:rPr>
        <w:t>2</w:t>
      </w:r>
      <w:r>
        <w:rPr>
          <w:rFonts w:ascii="Times New Roman" w:eastAsia="Times New Roman" w:hAnsi="Times New Roman" w:cs="Times New Roman"/>
          <w:b/>
          <w:lang w:val="id-ID"/>
        </w:rPr>
        <w:t>, Amat Mukhadis</w:t>
      </w:r>
      <w:r>
        <w:rPr>
          <w:rFonts w:ascii="Times New Roman" w:eastAsia="Times New Roman" w:hAnsi="Times New Roman" w:cs="Times New Roman"/>
          <w:b/>
          <w:vertAlign w:val="superscript"/>
          <w:lang w:val="id-ID"/>
        </w:rPr>
        <w:t>3</w:t>
      </w:r>
      <w:r w:rsidR="007A68F3">
        <w:rPr>
          <w:rFonts w:ascii="Times New Roman" w:eastAsia="Times New Roman" w:hAnsi="Times New Roman" w:cs="Times New Roman"/>
          <w:b/>
          <w:lang w:val="id-ID"/>
        </w:rPr>
        <w:t xml:space="preserve">, </w:t>
      </w:r>
      <w:r>
        <w:rPr>
          <w:rFonts w:ascii="Times New Roman" w:eastAsia="Times New Roman" w:hAnsi="Times New Roman" w:cs="Times New Roman"/>
          <w:b/>
          <w:lang w:val="id-ID"/>
        </w:rPr>
        <w:t>Purnomo</w:t>
      </w:r>
      <w:r>
        <w:rPr>
          <w:rFonts w:ascii="Times New Roman" w:eastAsia="Times New Roman" w:hAnsi="Times New Roman" w:cs="Times New Roman"/>
          <w:b/>
          <w:vertAlign w:val="superscript"/>
          <w:lang w:val="id-ID"/>
        </w:rPr>
        <w:t>4</w:t>
      </w:r>
      <w:r>
        <w:rPr>
          <w:rFonts w:ascii="Times New Roman" w:eastAsia="Times New Roman" w:hAnsi="Times New Roman" w:cs="Times New Roman"/>
          <w:b/>
          <w:lang w:val="id-ID"/>
        </w:rPr>
        <w:t>,      Abd. Kadir Bin Mahamad</w:t>
      </w:r>
      <w:r>
        <w:rPr>
          <w:rFonts w:ascii="Times New Roman" w:eastAsia="Times New Roman" w:hAnsi="Times New Roman" w:cs="Times New Roman"/>
          <w:b/>
          <w:vertAlign w:val="superscript"/>
          <w:lang w:val="id-ID"/>
        </w:rPr>
        <w:t>5</w:t>
      </w:r>
      <w:r>
        <w:rPr>
          <w:rFonts w:ascii="Times New Roman" w:eastAsia="Times New Roman" w:hAnsi="Times New Roman" w:cs="Times New Roman"/>
          <w:b/>
          <w:lang w:val="id-ID"/>
        </w:rPr>
        <w:t>, Mahfudi Sahly Subandi</w:t>
      </w:r>
      <w:r>
        <w:rPr>
          <w:rFonts w:ascii="Times New Roman" w:eastAsia="Times New Roman" w:hAnsi="Times New Roman" w:cs="Times New Roman"/>
          <w:b/>
          <w:vertAlign w:val="superscript"/>
          <w:lang w:val="id-ID"/>
        </w:rPr>
        <w:t>5</w:t>
      </w:r>
    </w:p>
    <w:p w14:paraId="4ABC4696" w14:textId="77777777" w:rsidR="00B400D8" w:rsidRDefault="00B400D8">
      <w:pPr>
        <w:spacing w:after="0"/>
        <w:ind w:left="1418"/>
        <w:rPr>
          <w:rFonts w:ascii="Times New Roman" w:eastAsia="Times New Roman" w:hAnsi="Times New Roman" w:cs="Times New Roman"/>
          <w:vertAlign w:val="superscript"/>
        </w:rPr>
      </w:pPr>
    </w:p>
    <w:p w14:paraId="33ECB2AC" w14:textId="5E3EF865" w:rsidR="00B400D8" w:rsidRDefault="0023262E">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111249">
        <w:rPr>
          <w:rFonts w:ascii="Times New Roman" w:eastAsia="Times New Roman" w:hAnsi="Times New Roman" w:cs="Times New Roman"/>
          <w:vertAlign w:val="superscript"/>
        </w:rPr>
        <w:t>,2,3,4,6</w:t>
      </w:r>
      <w:r w:rsidR="00481949">
        <w:rPr>
          <w:rFonts w:ascii="Times New Roman" w:eastAsia="Times New Roman" w:hAnsi="Times New Roman" w:cs="Times New Roman"/>
          <w:lang w:val="en-US"/>
        </w:rPr>
        <w:t>Universitas Negeri Malang</w:t>
      </w:r>
      <w:r w:rsidR="007A68F3">
        <w:rPr>
          <w:rFonts w:ascii="Times New Roman" w:eastAsia="Times New Roman" w:hAnsi="Times New Roman" w:cs="Times New Roman"/>
          <w:lang w:val="id-ID"/>
        </w:rPr>
        <w:t xml:space="preserve">, </w:t>
      </w:r>
      <w:r w:rsidR="00481949">
        <w:rPr>
          <w:rFonts w:ascii="Times New Roman" w:eastAsia="Times New Roman" w:hAnsi="Times New Roman" w:cs="Times New Roman"/>
          <w:lang w:val="en-US"/>
        </w:rPr>
        <w:t xml:space="preserve">Malang, </w:t>
      </w:r>
      <w:r w:rsidR="007A68F3">
        <w:rPr>
          <w:rFonts w:ascii="Times New Roman" w:eastAsia="Times New Roman" w:hAnsi="Times New Roman" w:cs="Times New Roman"/>
          <w:lang w:val="id-ID"/>
        </w:rPr>
        <w:t>Indonesia</w:t>
      </w:r>
    </w:p>
    <w:p w14:paraId="1A8F4395" w14:textId="055DC476" w:rsidR="00B400D8" w:rsidRPr="00481949" w:rsidRDefault="00111249">
      <w:pPr>
        <w:spacing w:after="0"/>
        <w:ind w:left="1418"/>
        <w:rPr>
          <w:rFonts w:ascii="Times New Roman" w:eastAsia="Times New Roman" w:hAnsi="Times New Roman" w:cs="Times New Roman"/>
          <w:lang w:val="en-US"/>
        </w:rPr>
      </w:pPr>
      <w:bookmarkStart w:id="0" w:name="_heading=h.gjdgxs" w:colFirst="0" w:colLast="0"/>
      <w:bookmarkEnd w:id="0"/>
      <w:r>
        <w:rPr>
          <w:rFonts w:ascii="Times New Roman" w:eastAsia="Times New Roman" w:hAnsi="Times New Roman" w:cs="Times New Roman"/>
          <w:vertAlign w:val="superscript"/>
        </w:rPr>
        <w:t>5</w:t>
      </w:r>
      <w:r w:rsidR="00481949" w:rsidRPr="00481949">
        <w:rPr>
          <w:rFonts w:ascii="Times New Roman" w:eastAsia="Times New Roman" w:hAnsi="Times New Roman" w:cs="Times New Roman"/>
          <w:lang w:val="id-ID"/>
        </w:rPr>
        <w:t>Universiti Tun Hussein Onn Malaysia</w:t>
      </w:r>
      <w:r w:rsidR="00481949">
        <w:rPr>
          <w:rFonts w:ascii="Times New Roman" w:eastAsia="Times New Roman" w:hAnsi="Times New Roman" w:cs="Times New Roman"/>
          <w:lang w:val="en-US"/>
        </w:rPr>
        <w:t>, Johor, Malaysia</w:t>
      </w:r>
    </w:p>
    <w:p w14:paraId="05206F78" w14:textId="6283B11A" w:rsidR="00B400D8" w:rsidRPr="007A68F3" w:rsidRDefault="0023262E">
      <w:pPr>
        <w:spacing w:after="568"/>
        <w:ind w:left="1418"/>
        <w:rPr>
          <w:rFonts w:ascii="Times New Roman" w:eastAsia="Times New Roman" w:hAnsi="Times New Roman" w:cs="Times New Roman"/>
          <w:lang w:val="id-ID"/>
        </w:rPr>
      </w:pPr>
      <w:r>
        <w:rPr>
          <w:rFonts w:ascii="Times New Roman" w:eastAsia="Times New Roman" w:hAnsi="Times New Roman" w:cs="Times New Roman"/>
        </w:rPr>
        <w:t xml:space="preserve">E-mail: </w:t>
      </w:r>
      <w:hyperlink r:id="rId9" w:history="1">
        <w:r w:rsidR="0088118B" w:rsidRPr="00253575">
          <w:rPr>
            <w:rStyle w:val="Hyperlink"/>
            <w:rFonts w:ascii="Times New Roman" w:eastAsia="Times New Roman" w:hAnsi="Times New Roman" w:cs="Times New Roman"/>
            <w:color w:val="000000" w:themeColor="text1"/>
            <w:u w:val="none"/>
          </w:rPr>
          <w:t>tuwoso.ft@um.ac.id</w:t>
        </w:r>
      </w:hyperlink>
      <w:r w:rsidR="0088118B" w:rsidRPr="00253575">
        <w:rPr>
          <w:rFonts w:ascii="Times New Roman" w:eastAsia="Times New Roman" w:hAnsi="Times New Roman" w:cs="Times New Roman"/>
          <w:color w:val="000000" w:themeColor="text1"/>
        </w:rPr>
        <w:t xml:space="preserve">, </w:t>
      </w:r>
      <w:hyperlink r:id="rId10" w:history="1">
        <w:r w:rsidR="00F1685F" w:rsidRPr="00253575">
          <w:rPr>
            <w:rStyle w:val="Hyperlink"/>
            <w:rFonts w:ascii="Times New Roman" w:eastAsia="Times New Roman" w:hAnsi="Times New Roman" w:cs="Times New Roman"/>
            <w:color w:val="000000" w:themeColor="text1"/>
            <w:u w:val="none"/>
          </w:rPr>
          <w:t>andika.bagus.ft@um.ac.id</w:t>
        </w:r>
      </w:hyperlink>
      <w:r w:rsidR="00F1685F" w:rsidRPr="00253575">
        <w:rPr>
          <w:rFonts w:ascii="Times New Roman" w:eastAsia="Times New Roman" w:hAnsi="Times New Roman" w:cs="Times New Roman"/>
          <w:color w:val="000000" w:themeColor="text1"/>
        </w:rPr>
        <w:t xml:space="preserve">, </w:t>
      </w:r>
      <w:hyperlink r:id="rId11" w:history="1">
        <w:r w:rsidR="00F1685F" w:rsidRPr="00253575">
          <w:rPr>
            <w:rStyle w:val="Hyperlink"/>
            <w:rFonts w:ascii="Times New Roman" w:eastAsia="Times New Roman" w:hAnsi="Times New Roman" w:cs="Times New Roman"/>
            <w:color w:val="000000" w:themeColor="text1"/>
            <w:u w:val="none"/>
          </w:rPr>
          <w:t>amat.mukhadis.ft@um.ac.id</w:t>
        </w:r>
      </w:hyperlink>
      <w:r w:rsidR="00F1685F" w:rsidRPr="00253575">
        <w:rPr>
          <w:rFonts w:ascii="Times New Roman" w:eastAsia="Times New Roman" w:hAnsi="Times New Roman" w:cs="Times New Roman"/>
          <w:color w:val="000000" w:themeColor="text1"/>
        </w:rPr>
        <w:t>, p</w:t>
      </w:r>
      <w:hyperlink r:id="rId12" w:history="1">
        <w:r w:rsidR="00F1685F" w:rsidRPr="00253575">
          <w:rPr>
            <w:rStyle w:val="Hyperlink"/>
            <w:rFonts w:ascii="Times New Roman" w:eastAsia="Times New Roman" w:hAnsi="Times New Roman" w:cs="Times New Roman"/>
            <w:color w:val="000000" w:themeColor="text1"/>
            <w:u w:val="none"/>
          </w:rPr>
          <w:t>urnomo@um.ac.id</w:t>
        </w:r>
      </w:hyperlink>
      <w:r w:rsidR="00F1685F" w:rsidRPr="00253575">
        <w:rPr>
          <w:rFonts w:ascii="Times New Roman" w:eastAsia="Times New Roman" w:hAnsi="Times New Roman" w:cs="Times New Roman"/>
          <w:color w:val="000000" w:themeColor="text1"/>
        </w:rPr>
        <w:t xml:space="preserve">, </w:t>
      </w:r>
      <w:hyperlink r:id="rId13" w:history="1">
        <w:r w:rsidR="00F1685F" w:rsidRPr="00253575">
          <w:rPr>
            <w:rStyle w:val="Hyperlink"/>
            <w:rFonts w:ascii="Times New Roman" w:eastAsia="Times New Roman" w:hAnsi="Times New Roman" w:cs="Times New Roman"/>
            <w:color w:val="000000" w:themeColor="text1"/>
            <w:u w:val="none"/>
          </w:rPr>
          <w:t>kadir@uthm.edu.my</w:t>
        </w:r>
      </w:hyperlink>
      <w:r w:rsidR="00F1685F" w:rsidRPr="00253575">
        <w:rPr>
          <w:rFonts w:ascii="Times New Roman" w:eastAsia="Times New Roman" w:hAnsi="Times New Roman" w:cs="Times New Roman"/>
          <w:color w:val="000000" w:themeColor="text1"/>
        </w:rPr>
        <w:t xml:space="preserve"> </w:t>
      </w:r>
    </w:p>
    <w:p w14:paraId="4860F4E2" w14:textId="56BD10AB" w:rsidR="00B400D8" w:rsidRDefault="0023262E">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w:t>
      </w:r>
      <w:r w:rsidR="007A68F3" w:rsidRPr="007A68F3">
        <w:rPr>
          <w:rFonts w:ascii="Times New Roman" w:eastAsia="Times New Roman" w:hAnsi="Times New Roman" w:cs="Times New Roman"/>
          <w:sz w:val="20"/>
          <w:szCs w:val="20"/>
        </w:rPr>
        <w:t>This study aims to: 1) map the components of the need to improve special skills in vocational education graduate students; 2) develop 3D-modeling based augmented reality learning technology; and 3) testing the attractiveness of the 3D-modeling based augmented reality learning technology. The method used is the research and development (R&amp;D) method. Requirement component map data was taken using qualitative methods through questionnaires and observations. Informants at this stage were students in the field of vocational education at State Universities in East Java. Furthermore, expert tests were conducted by material experts in the field of vocational education and online learning media experts. The results of this study include 1) map of the components of the need to improve special skills in vocational education student graduates consisting of idea development (78%), utilization of infrastructure (82%), deepening knowledge (90%), professional organization (88%), and mental stimulation (90 %); 2) the developed 3D-modeling based augmented reality learning technology has a very good level of attractiveness and feasibility based on online learning media experts and material experts; and 3) learning technology products based on 3D-modeling augmented reality which are developed can increase the special skills of graduate vocational education students.</w:t>
      </w:r>
    </w:p>
    <w:p w14:paraId="4A9F54F9" w14:textId="77777777" w:rsidR="00C34285" w:rsidRPr="00C34285" w:rsidRDefault="0023262E" w:rsidP="00C34285">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5D8BAA40" w14:textId="30E2021D" w:rsidR="00C34285" w:rsidRPr="00C34285" w:rsidRDefault="008B5E67"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id-ID"/>
        </w:rPr>
        <w:t xml:space="preserve">The challenges of vocational education have begun to change in the era of education 4.0. This change changes the concept of preparing competent vocational graduates towards the preparation of graduates with capabilities. </w:t>
      </w:r>
      <w:r w:rsidR="00054B5C">
        <w:rPr>
          <w:rFonts w:ascii="Times New Roman" w:eastAsia="Times New Roman" w:hAnsi="Times New Roman" w:cs="Times New Roman"/>
          <w:color w:val="000000"/>
          <w:lang w:val="en-US"/>
        </w:rPr>
        <w:t>In t</w:t>
      </w:r>
      <w:r>
        <w:rPr>
          <w:rFonts w:ascii="Times New Roman" w:eastAsia="Times New Roman" w:hAnsi="Times New Roman" w:cs="Times New Roman"/>
          <w:color w:val="000000"/>
          <w:lang w:val="id-ID"/>
        </w:rPr>
        <w:t>he education era 4.0, humans are directed to take advantage of the sophistication of digital technology. Digital technology has changed the paradigm in various fields</w:t>
      </w:r>
      <w:r w:rsidR="00054B5C">
        <w:rPr>
          <w:rFonts w:ascii="Times New Roman" w:eastAsia="Times New Roman" w:hAnsi="Times New Roman" w:cs="Times New Roman"/>
          <w:color w:val="000000"/>
          <w:lang w:val="id-ID"/>
        </w:rPr>
        <w:t>,</w:t>
      </w:r>
      <w:r>
        <w:rPr>
          <w:rFonts w:ascii="Times New Roman" w:eastAsia="Times New Roman" w:hAnsi="Times New Roman" w:cs="Times New Roman"/>
          <w:color w:val="000000"/>
          <w:lang w:val="id-ID"/>
        </w:rPr>
        <w:t xml:space="preserve"> including the field of education. The pedagogical concept of competency-based vocational education cannot be applied universally</w:t>
      </w:r>
      <w:r w:rsidR="008722D3">
        <w:rPr>
          <w:rFonts w:ascii="Times New Roman" w:eastAsia="Times New Roman" w:hAnsi="Times New Roman" w:cs="Times New Roman"/>
          <w:color w:val="000000"/>
          <w:lang w:val="id-ID"/>
        </w:rPr>
        <w:t xml:space="preserve"> </w:t>
      </w:r>
      <w:r w:rsidR="00ED2BCC">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{"citationItems":[{"id":"ITEM-1","itemData":{"DOI":"10.1080/10564934.2017.1344503","ISSN":"19447086","abstract":"This article addresses the question of whether the concept of competence-based vocational education and training (VET) is transferable from one cultural context to another. Drawing on theoretical concepts of comparative education and sociological neo-institutionalism, the competence-based VET is defined as a new paradigm and situated within its cultural context. Then a case study of an educational transfer from Switzerland to India is presented. The article concludes that the pedagogical concept of competence-based VET is not universally applicable but includes culturally coined ideas, which need to be taken into account when trying to implement it in distant institutional contexts.","author":[{"dropping-particle":"","family":"Baumeler","given":"Carmen","non-dropping-particle":"","parse-names":false,"suffix":""}],"container-title":"European Education","id":"ITEM-1","issued":{"date-parts":[["2019"]]},"title":"Competence-Based Vocational Education and Training and Its Cultural Context Sensitivity","type":"article-journal"},"uris":["http://www.mendeley.com/documents/?uuid=f87a3ff5-18c1-40db-8b2d-20042bcf75a6"]}],"mendeley":{"formattedCitation":"[1]","plainTextFormattedCitation":"[1]","previouslyFormattedCitation":"[1]"},"properties":{"noteIndex":0},"schema":"https://github.com/citation-style-language/schema/raw/master/csl-citation.json"}</w:instrText>
      </w:r>
      <w:r w:rsidR="00ED2BCC">
        <w:rPr>
          <w:rFonts w:ascii="Times New Roman" w:eastAsia="Times New Roman" w:hAnsi="Times New Roman" w:cs="Times New Roman"/>
          <w:color w:val="000000"/>
          <w:lang w:val="id-ID"/>
        </w:rPr>
        <w:fldChar w:fldCharType="separate"/>
      </w:r>
      <w:r w:rsidR="00ED2BCC" w:rsidRPr="00ED2BCC">
        <w:rPr>
          <w:rFonts w:ascii="Times New Roman" w:eastAsia="Times New Roman" w:hAnsi="Times New Roman" w:cs="Times New Roman"/>
          <w:noProof/>
          <w:color w:val="000000"/>
          <w:lang w:val="id-ID"/>
        </w:rPr>
        <w:t>[1]</w:t>
      </w:r>
      <w:r w:rsidR="00ED2BCC">
        <w:rPr>
          <w:rFonts w:ascii="Times New Roman" w:eastAsia="Times New Roman" w:hAnsi="Times New Roman" w:cs="Times New Roman"/>
          <w:color w:val="000000"/>
          <w:lang w:val="id-ID"/>
        </w:rPr>
        <w:fldChar w:fldCharType="end"/>
      </w:r>
      <w:r w:rsidR="00C34285" w:rsidRPr="00C34285">
        <w:rPr>
          <w:rFonts w:ascii="Times New Roman" w:eastAsia="Times New Roman" w:hAnsi="Times New Roman" w:cs="Times New Roman"/>
          <w:color w:val="000000"/>
        </w:rPr>
        <w:t>. However, it refers to cultural and regional characteristics that require special skills. Learning aspects, which are translated into three main things, namely planning, implementation</w:t>
      </w:r>
      <w:r w:rsidR="00054B5C">
        <w:rPr>
          <w:rFonts w:ascii="Times New Roman" w:eastAsia="Times New Roman" w:hAnsi="Times New Roman" w:cs="Times New Roman"/>
          <w:color w:val="000000"/>
        </w:rPr>
        <w:t>,</w:t>
      </w:r>
      <w:r w:rsidR="00C34285" w:rsidRPr="00C34285">
        <w:rPr>
          <w:rFonts w:ascii="Times New Roman" w:eastAsia="Times New Roman" w:hAnsi="Times New Roman" w:cs="Times New Roman"/>
          <w:color w:val="000000"/>
        </w:rPr>
        <w:t xml:space="preserve"> and full evaluation, cannot be separated from the use of digital media. The digital technology revolution in the world continues to experience significant developments that encourage changes in the world of work and the skill profile of many jobs</w:t>
      </w:r>
      <w:r w:rsidR="008722D3">
        <w:rPr>
          <w:rFonts w:ascii="Times New Roman" w:eastAsia="Times New Roman" w:hAnsi="Times New Roman" w:cs="Times New Roman"/>
          <w:color w:val="000000"/>
          <w:lang w:val="id-ID"/>
        </w:rPr>
        <w:t xml:space="preserve"> </w:t>
      </w:r>
      <w:r w:rsidR="00654FCA">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{"citationItems":[{"id":"ITEM-1","itemData":{"DOI":"10.1080/14480220.2019.1629722","ISSN":"14480220","abstract":"The digital revolution is rapidly transforming the world of work and the skills profiles of many occupations. The pace of change necessitates continuous skilling and reskilling, through lifelong learning. Traditional models of TVET which view formal training as terminal will not prepare workers for the constantly evolving world of work in an age of technological transformations. This paper argues for the need to integrate informal and non-formal learning in TVET systems and address the pedagogical implications of this integration. Research on emerging innovative approaches to TVET in both developed and developing country contexts is reviewed, with a special focus on new models for work-based and community-based learning, which can promote transformative, lifelong learning. The actual and potential role of technology within these models is highlighted, together with recommendations for policy and practice.","author":[{"dropping-particle":"","family":"Kanwar","given":"Asha","non-dropping-particle":"","parse-names":false,"suffix":""},{"dropping-particle":"","family":"Balasubramanian","given":"K.","non-dropping-particle":"","parse-names":false,"suffix":""},{"dropping-particle":"","family":"Carr","given":"Alexis","non-dropping-particle":"","parse-names":false,"suffix":""}],"container-title":"International Journal of Training Research","id":"ITEM-1","issued":{"date-parts":[["2019"]]},"title":"Changing the TVET paradigm: new models for lifelong learning","type":"article-journal"},"uris":["http://www.mendeley.com/documents/?uuid=7b8608a8-3519-4017-93ce-d0e17df6790e"]}],"mendeley":{"formattedCitation":"[2]","plainTextFormattedCitation":"[2]","previouslyFormattedCitation":"[2]"},"properties":{"noteIndex":0},"schema":"https://github.com/citation-style-language/schema/raw/master/csl-citation.json"}</w:instrText>
      </w:r>
      <w:r w:rsidR="00654FCA">
        <w:rPr>
          <w:rFonts w:ascii="Times New Roman" w:eastAsia="Times New Roman" w:hAnsi="Times New Roman" w:cs="Times New Roman"/>
          <w:color w:val="000000"/>
          <w:lang w:val="id-ID"/>
        </w:rPr>
        <w:fldChar w:fldCharType="separate"/>
      </w:r>
      <w:r w:rsidR="00654FCA" w:rsidRPr="00654FCA">
        <w:rPr>
          <w:rFonts w:ascii="Times New Roman" w:eastAsia="Times New Roman" w:hAnsi="Times New Roman" w:cs="Times New Roman"/>
          <w:noProof/>
          <w:color w:val="000000"/>
          <w:lang w:val="id-ID"/>
        </w:rPr>
        <w:t>[2]</w:t>
      </w:r>
      <w:r w:rsidR="00654FCA">
        <w:rPr>
          <w:rFonts w:ascii="Times New Roman" w:eastAsia="Times New Roman" w:hAnsi="Times New Roman" w:cs="Times New Roman"/>
          <w:color w:val="000000"/>
          <w:lang w:val="id-ID"/>
        </w:rPr>
        <w:fldChar w:fldCharType="end"/>
      </w:r>
      <w:r w:rsidR="00654FCA">
        <w:rPr>
          <w:rFonts w:ascii="Times New Roman" w:eastAsia="Times New Roman" w:hAnsi="Times New Roman" w:cs="Times New Roman"/>
          <w:color w:val="000000"/>
          <w:lang w:val="id-ID"/>
        </w:rPr>
        <w:t>. This</w:t>
      </w:r>
      <w:r w:rsidR="00054B5C">
        <w:rPr>
          <w:rFonts w:ascii="Times New Roman" w:eastAsia="Times New Roman" w:hAnsi="Times New Roman" w:cs="Times New Roman"/>
          <w:color w:val="000000"/>
          <w:lang w:val="id-ID"/>
        </w:rPr>
        <w:t>,</w:t>
      </w:r>
      <w:r w:rsidR="00654FCA">
        <w:rPr>
          <w:rFonts w:ascii="Times New Roman" w:eastAsia="Times New Roman" w:hAnsi="Times New Roman" w:cs="Times New Roman"/>
          <w:color w:val="000000"/>
          <w:lang w:val="id-ID"/>
        </w:rPr>
        <w:t xml:space="preserve"> of course</w:t>
      </w:r>
      <w:r w:rsidR="00054B5C">
        <w:rPr>
          <w:rFonts w:ascii="Times New Roman" w:eastAsia="Times New Roman" w:hAnsi="Times New Roman" w:cs="Times New Roman"/>
          <w:color w:val="000000"/>
          <w:lang w:val="id-ID"/>
        </w:rPr>
        <w:t>,</w:t>
      </w:r>
      <w:r w:rsidR="00654FCA">
        <w:rPr>
          <w:rFonts w:ascii="Times New Roman" w:eastAsia="Times New Roman" w:hAnsi="Times New Roman" w:cs="Times New Roman"/>
          <w:color w:val="000000"/>
          <w:lang w:val="id-ID"/>
        </w:rPr>
        <w:t xml:space="preserve"> will require the academic community to keep abreast of these technological developments. However, lately</w:t>
      </w:r>
      <w:r w:rsidR="00054B5C">
        <w:rPr>
          <w:rFonts w:ascii="Times New Roman" w:eastAsia="Times New Roman" w:hAnsi="Times New Roman" w:cs="Times New Roman"/>
          <w:color w:val="000000"/>
          <w:lang w:val="id-ID"/>
        </w:rPr>
        <w:t>,</w:t>
      </w:r>
      <w:r w:rsidR="00654FCA">
        <w:rPr>
          <w:rFonts w:ascii="Times New Roman" w:eastAsia="Times New Roman" w:hAnsi="Times New Roman" w:cs="Times New Roman"/>
          <w:color w:val="000000"/>
          <w:lang w:val="id-ID"/>
        </w:rPr>
        <w:t xml:space="preserve"> existing jobs are taken over by machines and robots, so that jobs in the industrial world are increasingly effective and efficient because of the role of technology. Ironically, especially in the vocational world, which is a place to produce graduates who </w:t>
      </w:r>
      <w:r w:rsidR="00654FCA">
        <w:rPr>
          <w:rFonts w:ascii="Times New Roman" w:eastAsia="Times New Roman" w:hAnsi="Times New Roman" w:cs="Times New Roman"/>
          <w:color w:val="000000"/>
          <w:lang w:val="id-ID"/>
        </w:rPr>
        <w:lastRenderedPageBreak/>
        <w:t>are ready to fill job opportunities, there are still many gaps that occur. One of the gaps is that vocational education institutions cannot afford the special skills and abilities required by the industrial world. The preparation of the main and integrated skills of students for digital companies and industry 4.0 must be prepared</w:t>
      </w:r>
      <w:r w:rsidR="008722D3">
        <w:rPr>
          <w:rFonts w:ascii="Times New Roman" w:eastAsia="Times New Roman" w:hAnsi="Times New Roman" w:cs="Times New Roman"/>
          <w:color w:val="000000"/>
          <w:lang w:val="id-ID"/>
        </w:rPr>
        <w:t xml:space="preserve"> </w:t>
      </w:r>
      <w:r w:rsidR="00F562C1">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{"citationItems":[{"id":"ITEM-1","itemData":{"DOI":"10.1016/j.promfg.2019.06.092","ISSN":"23519789","abstract":"Manufacturing companies across all major industries are facing serious challenges trying to competitively design and manage modern products, which are becoming increasingly complex multi-domain systems or \"systems of systems\". Model-based systems driven product development (or SDPD, for Systems Driven Product Development) has been proposed as a solution based on driving the product lifecycle from the systems requirements and tracing back performance to stakeholders' needs through a RFLP (Requirement, Functional, Logical, Physical) traceability process. The SDPD framework integrates system behavioral modeling with downstream product design and manufacturing process practices to support the verification/validation of the systems behavior as products progress through all phases of the lifecycle, as well as the optimization of trade-offs decisions by maintaining the cross-product digital twin and thread for global decision optimization in an efficient and effective way. We have developed an innovative digital manufacturing curriculum (designed around the SDPD paradigm) that is based on the digitalization of the SE (Systems Engineering) process through the integration of modelling and simulation continuum, in the form of Model-based Systems Engineering (MBSE), with Product lifecycle management (PLM). At the core of this curriculum is a shift of focus from theory to implementation and practice, through an applied synthesis of engineering fundamentals and systems engineering, that is driven by a state-of-the-art digital innovation platform for product (or system) development consisting of integrated software (digital) tools spanning the complete lifecycle. The curriculum consists of three key components, namely, modelling and simulation continuum, traceability, and digital thread. The curriculum provides a foundation for implementing the digital twin and supports the training of the next generation of engineers for Industry 4.0. The digital manufacturing (or SDPD) framework is applied in the design and optimization of an electric skateboard. The implementation demonstrates: 1) The benefits of digitalization/model-based engineering when developing complex multi-domain products or systems; 2) The ability of students to effectively complete a real-life modern product development within the time line of one semester; 3) The provision of MBSE curriculum for Engineering Education 4.0, characterized by key, integrated skills for the digital enterprise and Industry 4.0.","author":[{"dropping-particle":"","family":"Promyoo","given":"Rapeepan","non-dropping-particle":"","parse-names":false,"suffix":""},{"dropping-particle":"","family":"Alai","given":"Shashank","non-dropping-particle":"","parse-names":false,"suffix":""},{"dropping-particle":"","family":"El-Mounayri","given":"Hazim","non-dropping-particle":"","parse-names":false,"suffix":""}],"container-title":"Procedia Manufacturing","id":"ITEM-1","issued":{"date-parts":[["2019"]]},"title":"Innovative digital manufacturing curriculum for industry 4.0","type":"paper-conference"},"uris":["http://www.mendeley.com/documents/?uuid=2825a4eb-e8c0-4892-afc7-7af8357068cb"]}],"mendeley":{"formattedCitation":"[3]","plainTextFormattedCitation":"[3]","previouslyFormattedCitation":"[3]"},"properties":{"noteIndex":0},"schema":"https://github.com/citation-style-language/schema/raw/master/csl-citation.json"}</w:instrText>
      </w:r>
      <w:r w:rsidR="00F562C1">
        <w:rPr>
          <w:rFonts w:ascii="Times New Roman" w:eastAsia="Times New Roman" w:hAnsi="Times New Roman" w:cs="Times New Roman"/>
          <w:color w:val="000000"/>
          <w:lang w:val="id-ID"/>
        </w:rPr>
        <w:fldChar w:fldCharType="separate"/>
      </w:r>
      <w:r w:rsidR="00F562C1" w:rsidRPr="00F562C1">
        <w:rPr>
          <w:rFonts w:ascii="Times New Roman" w:eastAsia="Times New Roman" w:hAnsi="Times New Roman" w:cs="Times New Roman"/>
          <w:noProof/>
          <w:color w:val="000000"/>
          <w:lang w:val="id-ID"/>
        </w:rPr>
        <w:t>[3]</w:t>
      </w:r>
      <w:r w:rsidR="00F562C1">
        <w:rPr>
          <w:rFonts w:ascii="Times New Roman" w:eastAsia="Times New Roman" w:hAnsi="Times New Roman" w:cs="Times New Roman"/>
          <w:color w:val="000000"/>
          <w:lang w:val="id-ID"/>
        </w:rPr>
        <w:fldChar w:fldCharType="end"/>
      </w:r>
      <w:r w:rsidR="00C34285" w:rsidRPr="00C34285">
        <w:rPr>
          <w:rFonts w:ascii="Times New Roman" w:eastAsia="Times New Roman" w:hAnsi="Times New Roman" w:cs="Times New Roman"/>
          <w:color w:val="000000"/>
        </w:rPr>
        <w:t xml:space="preserve">. </w:t>
      </w:r>
    </w:p>
    <w:p w14:paraId="520F3244" w14:textId="351C19EF" w:rsidR="00C34285" w:rsidRPr="00C34285" w:rsidRDefault="00C34285"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C34285">
        <w:rPr>
          <w:rFonts w:ascii="Times New Roman" w:eastAsia="Times New Roman" w:hAnsi="Times New Roman" w:cs="Times New Roman"/>
          <w:color w:val="000000"/>
        </w:rPr>
        <w:t>The system of vocational education should be synchronized with industrial needs. Whereas the expansion of vocational education should be able to overcome unemployment, but it will actually increase the unemployment rate because the link and match with the industrial world ha</w:t>
      </w:r>
      <w:r w:rsidR="00054B5C">
        <w:rPr>
          <w:rFonts w:ascii="Times New Roman" w:eastAsia="Times New Roman" w:hAnsi="Times New Roman" w:cs="Times New Roman"/>
          <w:color w:val="000000"/>
        </w:rPr>
        <w:t>ve</w:t>
      </w:r>
      <w:r w:rsidRPr="00C34285">
        <w:rPr>
          <w:rFonts w:ascii="Times New Roman" w:eastAsia="Times New Roman" w:hAnsi="Times New Roman" w:cs="Times New Roman"/>
          <w:color w:val="000000"/>
        </w:rPr>
        <w:t xml:space="preserve"> not been achieved. The causes of unemployment are complex, one of which is the competence of the lecturers</w:t>
      </w:r>
      <w:r w:rsidR="008722D3">
        <w:rPr>
          <w:rFonts w:ascii="Times New Roman" w:eastAsia="Times New Roman" w:hAnsi="Times New Roman" w:cs="Times New Roman"/>
          <w:color w:val="000000"/>
          <w:lang w:val="id-ID"/>
        </w:rPr>
        <w:t xml:space="preserve"> </w:t>
      </w:r>
      <w:r w:rsidR="002F4483">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{"citationItems":[{"id":"ITEM-1","itemData":{"DOI":"10.1088/1742-6596/1446/1/012035","ISSN":"17426596","abstract":"The number of unemployed graduates from vocational schools continues to increase. The cause of unemployment is indeed complex. Various studies state that one of the causes of unemployment is teacher competency. Therefore, it is important to study the learning competencies of graduates of the Automotive Engineering Education Department, Universitas Negeri Yogyakarta (UNY), as one of the institutions producing vocational teacher candidates. This study was obtained from research using a qualitative descriptive method. The results showed that the learning competencies of the graduates of the Automotive Engineering Undergraduate Program required by the Light Vehicle Technology (TKRO) Vocational School varied greatly, but were dominated by behavior and attitudes towards students in learning. Learning competencies possessed by graduates of UNY's Automotive Engineering Education Program are included in both categories. In addition, the competencies of graduates of the UNY in Automotive Engineering Education Program required by vocational school and those possessed by graduates are included in the relevant category.","author":[{"dropping-particle":"","family":"Budiman","given":"A.","non-dropping-particle":"","parse-names":false,"suffix":""},{"dropping-particle":"","family":"Suyanto","given":"W.","non-dropping-particle":"","parse-names":false,"suffix":""},{"dropping-particle":"","family":"Efendi","given":"Y.","non-dropping-particle":"","parse-names":false,"suffix":""}],"container-title":"Journal of Physics: Conference Series","id":"ITEM-1","issued":{"date-parts":[["2020"]]},"title":"Mapping graduate learning competencies of the automotive engineering education","type":"paper-conference"},"uris":["http://www.mendeley.com/documents/?uuid=9e8a7025-c2f6-4d53-895e-fb4f17eaf072"]}],"mendeley":{"formattedCitation":"[4]","plainTextFormattedCitation":"[4]","previouslyFormattedCitation":"[4]"},"properties":{"noteIndex":0},"schema":"https://github.com/citation-style-language/schema/raw/master/csl-citation.json"}</w:instrText>
      </w:r>
      <w:r w:rsidR="002F4483">
        <w:rPr>
          <w:rFonts w:ascii="Times New Roman" w:eastAsia="Times New Roman" w:hAnsi="Times New Roman" w:cs="Times New Roman"/>
          <w:color w:val="000000"/>
          <w:lang w:val="id-ID"/>
        </w:rPr>
        <w:fldChar w:fldCharType="separate"/>
      </w:r>
      <w:r w:rsidR="002F4483" w:rsidRPr="002F4483">
        <w:rPr>
          <w:rFonts w:ascii="Times New Roman" w:eastAsia="Times New Roman" w:hAnsi="Times New Roman" w:cs="Times New Roman"/>
          <w:noProof/>
          <w:color w:val="000000"/>
          <w:lang w:val="id-ID"/>
        </w:rPr>
        <w:t>[4]</w:t>
      </w:r>
      <w:r w:rsidR="002F4483">
        <w:rPr>
          <w:rFonts w:ascii="Times New Roman" w:eastAsia="Times New Roman" w:hAnsi="Times New Roman" w:cs="Times New Roman"/>
          <w:color w:val="000000"/>
          <w:lang w:val="id-ID"/>
        </w:rPr>
        <w:fldChar w:fldCharType="end"/>
      </w:r>
      <w:r w:rsidR="002F4483">
        <w:rPr>
          <w:rFonts w:ascii="Times New Roman" w:eastAsia="Times New Roman" w:hAnsi="Times New Roman" w:cs="Times New Roman"/>
          <w:color w:val="000000"/>
          <w:lang w:val="id-ID"/>
        </w:rPr>
        <w:t>. So that when the need for graduate students with the required special skills cannot be fully prepared by vocational education. This has an impact on the relatively low absorption of vocational student graduates in the world of work due to the assumption that industrial needs are difficult to predict. Especially in the field of mechanical engineering, technological developments are in the global realm. This is a challenge in the world of vocational education in preparing graduates who have industrial links</w:t>
      </w:r>
      <w:r w:rsidR="008722D3">
        <w:rPr>
          <w:rFonts w:ascii="Times New Roman" w:eastAsia="Times New Roman" w:hAnsi="Times New Roman" w:cs="Times New Roman"/>
          <w:color w:val="000000"/>
          <w:lang w:val="id-ID"/>
        </w:rPr>
        <w:t xml:space="preserve"> </w:t>
      </w:r>
      <w:r w:rsidR="00EB2E7B">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{"citationItems":[{"id":"ITEM-1","itemData":{"DOI":"10.11648/j.ijvetr.20190501.11","ISSN":"2469-8180","abstract":"The major role of Technical, Vocational Education and Training (TVET) is to equip young persons with skills for the world of work. However, studies have shown that TVET graduates in Uganda experience difficulty in their transition to the world of work, implying major labor market entry problems. The study, we set out to identify different strategies for facilitating TVET graduates' transition to the world of work in Uganda. A qualitative approach was used to collect data, analyze and present findings. Thirty respondents, comprising of employers of TVET graduates, trainers and officials from: skilling Uganda, Uganda employers' union, Ministry of education officials, and TVET graduates in formal employment were randomly selected and interviewed. The various strategies identified were: use of employment agencies, income generating units at the institutions, institutional-industrial linkages, provision of start-up capital, tools and materials for self-employment, training with production and internship/ industrial attachments programs. It is recommended that an active labour market information system be established at TVET institutions to analyze, collect, evaluate and provide labour market information to identify evolving occupations, skills shortages and areas of skills oversupply and redundancy; that there should be an increase in apprenticeship programs and that TVET institutions adopt approaches such as case studies, project-based learning, real life problem-based learning, and teamwork learning activities.","author":[{"dropping-particle":"","family":"Kintu","given":"Denis","non-dropping-particle":"","parse-names":false,"suffix":""}],"container-title":"International Journal of Vocational Education and Training Research","id":"ITEM-1","issued":{"date-parts":[["2019"]]},"title":"An Exploration of Strategies for Facilitating Graduates’ Transition to the World of Work: A Case of Technical, Vocational Education and Training Graduates in Uganda","type":"article-journal"},"uris":["http://www.mendeley.com/documents/?uuid=60fabbcb-3d02-4d6a-9452-0b41bc7d83f2"]}],"mendeley":{"formattedCitation":"[5]","plainTextFormattedCitation":"[5]","previouslyFormattedCitation":"[5]"},"properties":{"noteIndex":0},"schema":"https://github.com/citation-style-language/schema/raw/master/csl-citation.json"}</w:instrText>
      </w:r>
      <w:r w:rsidR="00EB2E7B">
        <w:rPr>
          <w:rFonts w:ascii="Times New Roman" w:eastAsia="Times New Roman" w:hAnsi="Times New Roman" w:cs="Times New Roman"/>
          <w:color w:val="000000"/>
          <w:lang w:val="id-ID"/>
        </w:rPr>
        <w:fldChar w:fldCharType="separate"/>
      </w:r>
      <w:r w:rsidR="002F4483" w:rsidRPr="002F4483">
        <w:rPr>
          <w:rFonts w:ascii="Times New Roman" w:eastAsia="Times New Roman" w:hAnsi="Times New Roman" w:cs="Times New Roman"/>
          <w:noProof/>
          <w:color w:val="000000"/>
          <w:lang w:val="id-ID"/>
        </w:rPr>
        <w:t>[5]</w:t>
      </w:r>
      <w:r w:rsidR="00EB2E7B">
        <w:rPr>
          <w:rFonts w:ascii="Times New Roman" w:eastAsia="Times New Roman" w:hAnsi="Times New Roman" w:cs="Times New Roman"/>
          <w:color w:val="000000"/>
          <w:lang w:val="id-ID"/>
        </w:rPr>
        <w:fldChar w:fldCharType="end"/>
      </w:r>
      <w:r w:rsidRPr="00C34285">
        <w:rPr>
          <w:rFonts w:ascii="Times New Roman" w:eastAsia="Times New Roman" w:hAnsi="Times New Roman" w:cs="Times New Roman"/>
          <w:color w:val="000000"/>
        </w:rPr>
        <w:t xml:space="preserve">. </w:t>
      </w:r>
    </w:p>
    <w:p w14:paraId="2C082C74" w14:textId="1D73E42F" w:rsidR="00C34285" w:rsidRPr="00436236" w:rsidRDefault="00C34285"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C34285">
        <w:rPr>
          <w:rFonts w:ascii="Times New Roman" w:eastAsia="Times New Roman" w:hAnsi="Times New Roman" w:cs="Times New Roman"/>
          <w:color w:val="000000"/>
        </w:rPr>
        <w:t>One way that can overcome this big problem is through the use of Augmented Reality technology. Augmented Reality (AR) is a digital technology that is able to combine the real world and the virtual world that encourages increased motivation in students</w:t>
      </w:r>
      <w:r w:rsidR="00A97263">
        <w:rPr>
          <w:rFonts w:ascii="Times New Roman" w:eastAsia="Times New Roman" w:hAnsi="Times New Roman" w:cs="Times New Roman"/>
          <w:color w:val="000000"/>
        </w:rPr>
        <w:t xml:space="preserve"> </w:t>
      </w:r>
      <w:r w:rsidR="004F4125">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{"citationItems":[{"id":"ITEM-1","itemData":{"DOI":"10.14742/ajet.4182","ISSN":"14495554","abstract":"One of the greatest advantages of augmented reality (AR) in education is that AR increases student motivation. Nevertheless, there is a gap between the research on student motivation in AR and the definition of frameworks to inform and guide the design and development of AR applications that effectively support student motivation. In this paper, we attempt to bridge that gap as we introduce and evaluate a framework for designing motivational AR applications. Our framework has been built upon three theoretical foundations: motivational design, universal design for learning and co-creation. The evaluation study was conducted with 58 chemistry students enrolled in the vocational education and training (VET) program for Laboratory Operations, and we found that the framework not only effectively supports the four dimensions of Keller's (2010) ARCS (attention, relevance, confidence and satisfaction) model of motivation, but also demonstrates exceptional results in the Attention and Confidence dimensions of motivation.","author":[{"dropping-particle":"","family":"Bacca","given":"Jorge","non-dropping-particle":"","parse-names":false,"suffix":""},{"dropping-particle":"","family":"Baldiris","given":"Silvia","non-dropping-particle":"","parse-names":false,"suffix":""},{"dropping-particle":"","family":"Fabregat","given":"Ramon","non-dropping-particle":"","parse-names":false,"suffix":""},{"dropping-particle":"","family":"Kinshuk","given":"","non-dropping-particle":"","parse-names":false,"suffix":""}],"container-title":"Australasian Journal of Educational Technology","id":"ITEM-1","issued":{"date-parts":[["2019"]]},"title":"Framework for designing motivational augmented reality applications in vocational education and training","type":"article-journal"},"uris":["http://www.mendeley.com/documents/?uuid=8a6b3eb1-e335-4376-99b5-6e1d949d562b"]}],"mendeley":{"formattedCitation":"[6]","plainTextFormattedCitation":"[6]","previouslyFormattedCitation":"[6]"},"properties":{"noteIndex":0},"schema":"https://github.com/citation-style-language/schema/raw/master/csl-citation.json"}</w:instrText>
      </w:r>
      <w:r w:rsidR="004F4125">
        <w:rPr>
          <w:rFonts w:ascii="Times New Roman" w:eastAsia="Times New Roman" w:hAnsi="Times New Roman" w:cs="Times New Roman"/>
          <w:color w:val="000000"/>
          <w:lang w:val="id-ID"/>
        </w:rPr>
        <w:fldChar w:fldCharType="separate"/>
      </w:r>
      <w:r w:rsidR="002F4483" w:rsidRPr="002F4483">
        <w:rPr>
          <w:rFonts w:ascii="Times New Roman" w:eastAsia="Times New Roman" w:hAnsi="Times New Roman" w:cs="Times New Roman"/>
          <w:noProof/>
          <w:color w:val="000000"/>
          <w:lang w:val="id-ID"/>
        </w:rPr>
        <w:t>[6]</w:t>
      </w:r>
      <w:r w:rsidR="004F4125">
        <w:rPr>
          <w:rFonts w:ascii="Times New Roman" w:eastAsia="Times New Roman" w:hAnsi="Times New Roman" w:cs="Times New Roman"/>
          <w:color w:val="000000"/>
          <w:lang w:val="id-ID"/>
        </w:rPr>
        <w:fldChar w:fldCharType="end"/>
      </w:r>
      <w:r w:rsidR="00A97263">
        <w:rPr>
          <w:rFonts w:ascii="Times New Roman" w:eastAsia="Times New Roman" w:hAnsi="Times New Roman" w:cs="Times New Roman"/>
          <w:color w:val="000000"/>
          <w:lang w:val="en-US"/>
        </w:rPr>
        <w:t xml:space="preserve">. </w:t>
      </w:r>
      <w:r w:rsidR="004F4125">
        <w:rPr>
          <w:rFonts w:ascii="Times New Roman" w:eastAsia="Times New Roman" w:hAnsi="Times New Roman" w:cs="Times New Roman"/>
          <w:color w:val="000000"/>
          <w:lang w:val="id-ID"/>
        </w:rPr>
        <w:t>In the world of vocational education, a lecturer needs Augmented Reality to display the results of a new object in a real way to his students. Through Augmented Reality, students will know about the more detailed specifications about these new objects. According to experts, the use of this technology is proven to be effective in achieving learning goals</w:t>
      </w:r>
      <w:r w:rsidR="008722D3">
        <w:rPr>
          <w:rFonts w:ascii="Times New Roman" w:eastAsia="Times New Roman" w:hAnsi="Times New Roman" w:cs="Times New Roman"/>
          <w:color w:val="000000"/>
          <w:lang w:val="id-ID"/>
        </w:rPr>
        <w:t xml:space="preserve"> </w:t>
      </w:r>
      <w:r w:rsidR="00AE7F46">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{"citationItems":[{"id":"ITEM-1","itemData":{"DOI":"10.3390/educsci10040094","ISSN":"22277102","abstract":"A systematic review of the potential of implementing augmented reality (AR) in inquiry-based learning was conducted. We considered the purposes, potential advantages, application characteristics and the effects of using AR in inquiry-based learning. The findings reveal that AR, in the context of inquiry-based learning, is mostly implemented successfully to achieve cognitive and, less often, motivational and emotional learning goals. The AR solutions have mainly been applied in the Conceptualization phase and less in the Investigation phase. The affordances of AR in the Orientation, Conclusion and Discussion phases need to be applied in further studies.","author":[{"dropping-particle":"","family":"Pedaste","given":"Margus","non-dropping-particle":"","parse-names":false,"suffix":""},{"dropping-particle":"","family":"Mitt","given":"Geidi","non-dropping-particle":"","parse-names":false,"suffix":""},{"dropping-particle":"","family":"Jürivete","given":"Teele","non-dropping-particle":"","parse-names":false,"suffix":""}],"container-title":"Education Sciences","id":"ITEM-1","issued":{"date-parts":[["2020"]]},"title":"What is the effect of using mobile augmented reality in K12 inquiry-based learning?","type":"article"},"uris":["http://www.mendeley.com/documents/?uuid=0f137e38-4ace-4451-9692-0983cd866c37"]},{"id":"ITEM-2","itemData":{"abstract":"Over the past 20 years, the technology was rapidly developed, no one expected what will come next. Advancements in technology open new opportunities for immersive learning environment. We need to transmit the education to a level that makes it more effective for the student. Augmented reality is one of the famous most popular technologies these days. This paper is a research of using Augmented reality in e-learning environment. We present a marker-based approach for transmitting virtual object into the real world scene to explain the information in a better way after we developed an application in the mobile phone and been used by a lot of students we see how much they encourage to learn and how they understand the subjects. In this paper, we talk about how the augmented reality start, the fields of using AR, how AR effect the education, the spread of AR this days and the architecture of our work. Therefore, the goal of this paper is to prove how creating an interactive e-learning system using Augmented Reality technology will encourage the students to learn more.","author":[{"dropping-particle":"","family":"Algarawy, Fetoon K., Alsalmah, Wegdan A., Alhabib, Ahlam A., Alfehaid,Afnan S., Ibrahim, Dina M.","given":"","non-dropping-particle":"","parse-names":false,"suffix":""}],"container-title":"World Academy of Science, Engineering and Technology, International Journal of Computer, Electrical, Automation, Control and Information Engineering","id":"ITEM-2","issued":{"date-parts":[["2018"]]},"title":"Applying Augmented Reality Technology for an E-Learning System","type":"article-journal"},"uris":["http://www.mendeley.com/documents/?uuid=0adbbcde-c1c5-4d7e-9b4e-0ff95995479d"]}],"mendeley":{"formattedCitation":"[7,8]","manualFormatting":"[7] - ","plainTextFormattedCitation":"[7,8]","previouslyFormattedCitation":"[7], [8]"},"properties":{"noteIndex":0},"schema":"https://github.com/citation-style-language/schema/raw/master/csl-citation.json"}</w:instrText>
      </w:r>
      <w:r w:rsidR="00AE7F46">
        <w:rPr>
          <w:rFonts w:ascii="Times New Roman" w:eastAsia="Times New Roman" w:hAnsi="Times New Roman" w:cs="Times New Roman"/>
          <w:color w:val="000000"/>
          <w:lang w:val="id-ID"/>
        </w:rPr>
        <w:fldChar w:fldCharType="separate"/>
      </w:r>
      <w:r w:rsidR="008722D3">
        <w:rPr>
          <w:rFonts w:ascii="Times New Roman" w:eastAsia="Times New Roman" w:hAnsi="Times New Roman" w:cs="Times New Roman"/>
          <w:noProof/>
          <w:color w:val="000000"/>
          <w:lang w:val="id-ID"/>
        </w:rPr>
        <w:t>[7] -</w:t>
      </w:r>
      <w:r w:rsidR="00AE7F46" w:rsidRPr="00AE7F46">
        <w:rPr>
          <w:rFonts w:ascii="Times New Roman" w:eastAsia="Times New Roman" w:hAnsi="Times New Roman" w:cs="Times New Roman"/>
          <w:noProof/>
          <w:color w:val="000000"/>
          <w:lang w:val="id-ID"/>
        </w:rPr>
        <w:t xml:space="preserve"> </w:t>
      </w:r>
      <w:r w:rsidR="00AE7F46">
        <w:rPr>
          <w:rFonts w:ascii="Times New Roman" w:eastAsia="Times New Roman" w:hAnsi="Times New Roman" w:cs="Times New Roman"/>
          <w:color w:val="000000"/>
          <w:lang w:val="id-ID"/>
        </w:rPr>
        <w:fldChar w:fldCharType="end"/>
      </w:r>
      <w:r w:rsidR="00D445E1">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{"citationItems":[{"id":"ITEM-1","itemData":{"abstract":"Augmented reality continues to be lauded as a disruptive innovation in education. This research examines the perspectives of AR using educators who are Innovators and First Adopters in Roger's Diffusion of Innovation Scale. Attitudes towards AR were examined through a survey that included Likert-scale items and open-ended qualitative items. Results appear to show that educators were largely using downloadable AR apps, but found them highly engaging and enjoyable with students. A few teachers indicated that they or their students were also creating AR using a variety of platforms. Inferential analyses were also employed, but found no differences between groups. Issues and challenges in using AR are also discussed.","author":[{"dropping-particle":"","family":"Mundy","given":"Marie Anne","non-dropping-particle":"","parse-names":false,"suffix":""},{"dropping-particle":"","family":"Hernandez","given":"Jose","non-dropping-particle":"","parse-names":false,"suffix":""},{"dropping-particle":"","family":"Green","given":"Marybeth","non-dropping-particle":"","parse-names":false,"suffix":""}],"container-title":"Journal of Instructional Pedagogies","id":"ITEM-1","issued":{"date-parts":[["2019"]]},"title":"Perceptions of the effects of augmented reality in the classroom","type":"article-journal"},"uris":["http://www.mendeley.com/documents/?uuid=7ba6720b-16f9-4533-8071-3d93b9ba348c"]}],"mendeley":{"formattedCitation":"[9]","plainTextFormattedCitation":"[9]","previouslyFormattedCitation":"[9]"},"properties":{"noteIndex":0},"schema":"https://github.com/citation-style-language/schema/raw/master/csl-citation.json"}</w:instrText>
      </w:r>
      <w:r w:rsidR="00D445E1">
        <w:rPr>
          <w:rFonts w:ascii="Times New Roman" w:eastAsia="Times New Roman" w:hAnsi="Times New Roman" w:cs="Times New Roman"/>
          <w:color w:val="000000"/>
          <w:lang w:val="id-ID"/>
        </w:rPr>
        <w:fldChar w:fldCharType="separate"/>
      </w:r>
      <w:r w:rsidR="00D445E1" w:rsidRPr="00D445E1">
        <w:rPr>
          <w:rFonts w:ascii="Times New Roman" w:eastAsia="Times New Roman" w:hAnsi="Times New Roman" w:cs="Times New Roman"/>
          <w:noProof/>
          <w:color w:val="000000"/>
          <w:lang w:val="id-ID"/>
        </w:rPr>
        <w:t>[9]</w:t>
      </w:r>
      <w:r w:rsidR="00D445E1">
        <w:rPr>
          <w:rFonts w:ascii="Times New Roman" w:eastAsia="Times New Roman" w:hAnsi="Times New Roman" w:cs="Times New Roman"/>
          <w:color w:val="000000"/>
          <w:lang w:val="id-ID"/>
        </w:rPr>
        <w:fldChar w:fldCharType="end"/>
      </w:r>
      <w:r w:rsidR="00AE7F46">
        <w:rPr>
          <w:rFonts w:ascii="Times New Roman" w:eastAsia="Times New Roman" w:hAnsi="Times New Roman" w:cs="Times New Roman"/>
          <w:color w:val="000000"/>
          <w:lang w:val="id-ID"/>
        </w:rPr>
        <w:t>. In this study, researchers developed 3D modeling-based augmented reality technology to improve the special skills of vocational education students. This technology development is intended to overcome the delays of vocational education institutions in updating knowledge for their students</w:t>
      </w:r>
      <w:r w:rsidR="00A97263">
        <w:rPr>
          <w:rFonts w:ascii="Times New Roman" w:eastAsia="Times New Roman" w:hAnsi="Times New Roman" w:cs="Times New Roman"/>
          <w:color w:val="000000"/>
          <w:lang w:val="en-US"/>
        </w:rPr>
        <w:t xml:space="preserve"> </w:t>
      </w:r>
      <w:r w:rsidR="00A97263">
        <w:rPr>
          <w:rFonts w:ascii="Times New Roman" w:eastAsia="Times New Roman" w:hAnsi="Times New Roman" w:cs="Times New Roman"/>
          <w:color w:val="000000"/>
          <w:lang w:val="en-US"/>
        </w:rPr>
        <w:fldChar w:fldCharType="begin" w:fldLock="1"/>
      </w:r>
      <w:r w:rsidR="00A97263">
        <w:rPr>
          <w:rFonts w:ascii="Times New Roman" w:eastAsia="Times New Roman" w:hAnsi="Times New Roman" w:cs="Times New Roman"/>
          <w:color w:val="000000"/>
          <w:lang w:val="en-US"/>
        </w:rPr>
        <w:instrText>ADDIN CSL_CITATION {"citationItems":[{"id":"ITEM-1","itemData":{"DOI":"10.1109/SIET.2018.8693224","ISBN":"9781538674079","abstract":"This research has the aims to: (1) develops Edmodo-based Makerspace as an e-learning technology in improving student s' management project in vocational field; (2) testing Edmodo's Makerspace's attractiveness as E-learning; and (3) knowing the effectiveness of the Edmodo-based Makerspace. The research method used is research and development. The research finding of this study are: (1) product attractiveness and feasibility test results have percentage: ease of access 81.30% (ease of access), 75.00% (feature completeness), 75.00% (product usability), 83.00 % (material coverage), 85.80% (understandability), 87.50% (material variation), 82.00% (interaction level), 83.30% (presentation material), 83.50% (content variation), and 85.00% (self-induced drivers); (2) Edmodo-based Makerspace is proved to be effective in improving the Vocational Student's management project in the disruptive era of technology, it is shown by final capability test results showing significant differences between the control class and the experimental class; and (3) the development of the Edmodo based Makerspace needs to be developed for the development of student competence in the disruptive era of technology.","author":[{"dropping-particle":"","family":"Putra","given":"Andika Bagus Nur Rahma","non-dropping-particle":"","parse-names":false,"suffix":""},{"dropping-particle":"","family":"Mukhadis","given":"Amat","non-dropping-particle":"","parse-names":false,"suffix":""},{"dropping-particle":"","family":"Poerwanto","given":"Eko Edi","non-dropping-particle":"","parse-names":false,"suffix":""},{"dropping-particle":"","family":"Irdianto","given":"Windra","non-dropping-particle":"","parse-names":false,"suffix":""},{"dropping-particle":"","family":"Sembiring","given":"Andrew Irfano","non-dropping-particle":"","parse-names":false,"suffix":""}],"container-title":"3rd International Conference on Sustainable Information Engineering and Technology, SIET 2018 - Proceedings","id":"ITEM-1","issued":{"date-parts":[["2019"]]},"page":"302-307","publisher":"IEEE","title":"Edmodo-Based Makerspace as E-Learning Technology to Improve the Management Project of Vocational Students in the Disruptive Technology Era","type":"article-journal"},"uris":["http://www.mendeley.com/documents/?uuid=d5c5c0b4-8512-4566-b015-08a13f651660"]}],"mendeley":{"formattedCitation":"[10]","plainTextFormattedCitation":"[10]"},"properties":{"noteIndex":0},"schema":"https://github.com/citation-style-language/schema/raw/master/csl-citation.json"}</w:instrText>
      </w:r>
      <w:r w:rsidR="00A97263">
        <w:rPr>
          <w:rFonts w:ascii="Times New Roman" w:eastAsia="Times New Roman" w:hAnsi="Times New Roman" w:cs="Times New Roman"/>
          <w:color w:val="000000"/>
          <w:lang w:val="en-US"/>
        </w:rPr>
        <w:fldChar w:fldCharType="separate"/>
      </w:r>
      <w:r w:rsidR="00A97263" w:rsidRPr="00A97263">
        <w:rPr>
          <w:rFonts w:ascii="Times New Roman" w:eastAsia="Times New Roman" w:hAnsi="Times New Roman" w:cs="Times New Roman"/>
          <w:noProof/>
          <w:color w:val="000000"/>
          <w:lang w:val="en-US"/>
        </w:rPr>
        <w:t>[10]</w:t>
      </w:r>
      <w:r w:rsidR="00A97263">
        <w:rPr>
          <w:rFonts w:ascii="Times New Roman" w:eastAsia="Times New Roman" w:hAnsi="Times New Roman" w:cs="Times New Roman"/>
          <w:color w:val="000000"/>
          <w:lang w:val="en-US"/>
        </w:rPr>
        <w:fldChar w:fldCharType="end"/>
      </w:r>
      <w:r w:rsidR="00AE7F46">
        <w:rPr>
          <w:rFonts w:ascii="Times New Roman" w:eastAsia="Times New Roman" w:hAnsi="Times New Roman" w:cs="Times New Roman"/>
          <w:color w:val="000000"/>
          <w:lang w:val="id-ID"/>
        </w:rPr>
        <w:t>.</w:t>
      </w:r>
    </w:p>
    <w:p w14:paraId="509E1822" w14:textId="77777777" w:rsidR="00C34285" w:rsidRPr="00C34285" w:rsidRDefault="00C34285"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14:paraId="5C10C0D1" w14:textId="77777777" w:rsidR="00B400D8" w:rsidRPr="00C34285" w:rsidRDefault="00C34285" w:rsidP="00C34285">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lang w:val="id-ID"/>
        </w:rPr>
        <w:t>Method</w:t>
      </w:r>
    </w:p>
    <w:p w14:paraId="09C2046B" w14:textId="121BA73D" w:rsidR="00C34285" w:rsidRDefault="00C34285" w:rsidP="004362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C34285">
        <w:rPr>
          <w:rFonts w:ascii="Times New Roman" w:eastAsia="Times New Roman" w:hAnsi="Times New Roman" w:cs="Times New Roman"/>
          <w:color w:val="000000"/>
        </w:rPr>
        <w:t xml:space="preserve">In this study, the method used is research and development (R&amp;D). This research begins with an initial step, namely mapping the components of the special skill needs of graduate vocational education students. The initial activity was carried out by qualitative methods through questionnaires and observations. Informants at this stage were students in the field of vocational education at State Universities in East Java. Furthermore, the expert test was carried out by material experts in the field of vocational education and online learning media experts. This method was chosen because the focus of this research is to develop </w:t>
      </w:r>
      <w:r w:rsidR="00054B5C">
        <w:rPr>
          <w:rFonts w:ascii="Times New Roman" w:eastAsia="Times New Roman" w:hAnsi="Times New Roman" w:cs="Times New Roman"/>
          <w:color w:val="000000"/>
        </w:rPr>
        <w:t xml:space="preserve">the </w:t>
      </w:r>
      <w:r w:rsidRPr="00C34285">
        <w:rPr>
          <w:rFonts w:ascii="Times New Roman" w:eastAsia="Times New Roman" w:hAnsi="Times New Roman" w:cs="Times New Roman"/>
          <w:color w:val="000000"/>
        </w:rPr>
        <w:t>technology. Schematically, the method implemented is presented in Figure 1.</w:t>
      </w:r>
    </w:p>
    <w:p w14:paraId="37D463FF" w14:textId="77777777" w:rsidR="00481949" w:rsidRPr="00436236" w:rsidRDefault="00481949" w:rsidP="004362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14:paraId="73304553" w14:textId="77777777" w:rsidR="00C34285" w:rsidRPr="00A61B24" w:rsidRDefault="00CE1604" w:rsidP="00C34285">
      <w:pPr>
        <w:suppressAutoHyphens/>
        <w:spacing w:after="0" w:line="240" w:lineRule="auto"/>
        <w:jc w:val="both"/>
        <w:rPr>
          <w:rFonts w:ascii="Times New Roman" w:eastAsia="Times New Roman" w:hAnsi="Times New Roman"/>
          <w:color w:val="FF0000"/>
          <w:sz w:val="24"/>
          <w:szCs w:val="20"/>
          <w:lang w:eastAsia="ar-SA"/>
        </w:rPr>
      </w:pPr>
      <w:r>
        <w:rPr>
          <w:rFonts w:ascii="Times New Roman" w:eastAsia="Times New Roman" w:hAnsi="Times New Roman"/>
          <w:noProof/>
          <w:color w:val="FF0000"/>
          <w:sz w:val="24"/>
          <w:szCs w:val="20"/>
          <w:lang w:val="id-ID"/>
        </w:rPr>
        <mc:AlternateContent>
          <mc:Choice Requires="wpg">
            <w:drawing>
              <wp:anchor distT="0" distB="0" distL="114300" distR="114300" simplePos="0" relativeHeight="251672576" behindDoc="0" locked="0" layoutInCell="1" allowOverlap="1" wp14:anchorId="0B8C29B6" wp14:editId="1B28D9BA">
                <wp:simplePos x="0" y="0"/>
                <wp:positionH relativeFrom="column">
                  <wp:posOffset>672714</wp:posOffset>
                </wp:positionH>
                <wp:positionV relativeFrom="paragraph">
                  <wp:posOffset>48895</wp:posOffset>
                </wp:positionV>
                <wp:extent cx="4438899" cy="1213844"/>
                <wp:effectExtent l="0" t="0" r="19050" b="24765"/>
                <wp:wrapNone/>
                <wp:docPr id="8" name="Group 8"/>
                <wp:cNvGraphicFramePr/>
                <a:graphic xmlns:a="http://schemas.openxmlformats.org/drawingml/2006/main">
                  <a:graphicData uri="http://schemas.microsoft.com/office/word/2010/wordprocessingGroup">
                    <wpg:wgp>
                      <wpg:cNvGrpSpPr/>
                      <wpg:grpSpPr>
                        <a:xfrm>
                          <a:off x="0" y="0"/>
                          <a:ext cx="4438899" cy="1213844"/>
                          <a:chOff x="0" y="0"/>
                          <a:chExt cx="4438899" cy="1213844"/>
                        </a:xfrm>
                      </wpg:grpSpPr>
                      <wps:wsp>
                        <wps:cNvPr id="15" name="Rounded Rectangle 15"/>
                        <wps:cNvSpPr>
                          <a:spLocks noChangeArrowheads="1"/>
                        </wps:cNvSpPr>
                        <wps:spPr bwMode="auto">
                          <a:xfrm>
                            <a:off x="0" y="0"/>
                            <a:ext cx="1228725" cy="248920"/>
                          </a:xfrm>
                          <a:prstGeom prst="roundRect">
                            <a:avLst>
                              <a:gd name="adj" fmla="val 16667"/>
                            </a:avLst>
                          </a:prstGeom>
                          <a:solidFill>
                            <a:srgbClr val="FFFFFF"/>
                          </a:solidFill>
                          <a:ln w="9525">
                            <a:solidFill>
                              <a:srgbClr val="000000"/>
                            </a:solidFill>
                            <a:round/>
                            <a:headEnd/>
                            <a:tailEnd/>
                          </a:ln>
                        </wps:spPr>
                        <wps:txbx>
                          <w:txbxContent>
                            <w:p w14:paraId="5139F43E" w14:textId="77777777" w:rsidR="00C34285" w:rsidRPr="0006483B" w:rsidRDefault="00C34285" w:rsidP="00C34285">
                              <w:pPr>
                                <w:spacing w:after="0" w:line="240" w:lineRule="auto"/>
                                <w:jc w:val="center"/>
                                <w:rPr>
                                  <w:rFonts w:ascii="Times New Roman" w:hAnsi="Times New Roman" w:cs="Times New Roman"/>
                                  <w:sz w:val="20"/>
                                  <w:szCs w:val="20"/>
                                </w:rPr>
                              </w:pPr>
                              <w:r w:rsidRPr="0006483B">
                                <w:rPr>
                                  <w:rFonts w:ascii="Times New Roman" w:hAnsi="Times New Roman" w:cs="Times New Roman"/>
                                  <w:sz w:val="20"/>
                                  <w:szCs w:val="20"/>
                                </w:rPr>
                                <w:t>Needs Analysis</w:t>
                              </w:r>
                            </w:p>
                          </w:txbxContent>
                        </wps:txbx>
                        <wps:bodyPr rot="0" vert="horz" wrap="square" lIns="91440" tIns="45720" rIns="91440" bIns="45720" anchor="t" anchorCtr="0" upright="1">
                          <a:noAutofit/>
                        </wps:bodyPr>
                      </wps:wsp>
                      <wps:wsp>
                        <wps:cNvPr id="16" name="Rounded Rectangle 16"/>
                        <wps:cNvSpPr>
                          <a:spLocks noChangeArrowheads="1"/>
                        </wps:cNvSpPr>
                        <wps:spPr bwMode="auto">
                          <a:xfrm>
                            <a:off x="1415332" y="0"/>
                            <a:ext cx="1045845" cy="248920"/>
                          </a:xfrm>
                          <a:prstGeom prst="roundRect">
                            <a:avLst>
                              <a:gd name="adj" fmla="val 16667"/>
                            </a:avLst>
                          </a:prstGeom>
                          <a:solidFill>
                            <a:srgbClr val="FFFFFF"/>
                          </a:solidFill>
                          <a:ln w="9525">
                            <a:solidFill>
                              <a:srgbClr val="000000"/>
                            </a:solidFill>
                            <a:round/>
                            <a:headEnd/>
                            <a:tailEnd/>
                          </a:ln>
                        </wps:spPr>
                        <wps:txbx>
                          <w:txbxContent>
                            <w:p w14:paraId="558FFB90" w14:textId="77777777" w:rsidR="00C34285" w:rsidRPr="0006483B" w:rsidRDefault="00C34285" w:rsidP="00C34285">
                              <w:pPr>
                                <w:spacing w:after="0" w:line="240" w:lineRule="auto"/>
                                <w:jc w:val="center"/>
                                <w:rPr>
                                  <w:rFonts w:ascii="Times New Roman" w:hAnsi="Times New Roman" w:cs="Times New Roman"/>
                                  <w:sz w:val="20"/>
                                  <w:szCs w:val="20"/>
                                </w:rPr>
                              </w:pPr>
                              <w:r w:rsidRPr="0006483B">
                                <w:rPr>
                                  <w:rFonts w:ascii="Times New Roman" w:hAnsi="Times New Roman" w:cs="Times New Roman"/>
                                  <w:sz w:val="20"/>
                                  <w:szCs w:val="20"/>
                                </w:rPr>
                                <w:t>Study of literature</w:t>
                              </w:r>
                            </w:p>
                          </w:txbxContent>
                        </wps:txbx>
                        <wps:bodyPr rot="0" vert="horz" wrap="square" lIns="91440" tIns="45720" rIns="91440" bIns="45720" anchor="t" anchorCtr="0" upright="1">
                          <a:noAutofit/>
                        </wps:bodyPr>
                      </wps:wsp>
                      <wps:wsp>
                        <wps:cNvPr id="12" name="Rounded Rectangle 12"/>
                        <wps:cNvSpPr>
                          <a:spLocks noChangeArrowheads="1"/>
                        </wps:cNvSpPr>
                        <wps:spPr bwMode="auto">
                          <a:xfrm>
                            <a:off x="0" y="318052"/>
                            <a:ext cx="1387475" cy="468630"/>
                          </a:xfrm>
                          <a:prstGeom prst="roundRect">
                            <a:avLst>
                              <a:gd name="adj" fmla="val 16667"/>
                            </a:avLst>
                          </a:prstGeom>
                          <a:solidFill>
                            <a:srgbClr val="FFFFFF"/>
                          </a:solidFill>
                          <a:ln w="9525">
                            <a:solidFill>
                              <a:srgbClr val="000000"/>
                            </a:solidFill>
                            <a:round/>
                            <a:headEnd/>
                            <a:tailEnd/>
                          </a:ln>
                        </wps:spPr>
                        <wps:txbx>
                          <w:txbxContent>
                            <w:p w14:paraId="526BF107" w14:textId="77777777" w:rsidR="00C34285" w:rsidRPr="0006483B" w:rsidRDefault="00C34285" w:rsidP="00C34285">
                              <w:pPr>
                                <w:spacing w:after="0" w:line="240" w:lineRule="auto"/>
                                <w:jc w:val="center"/>
                                <w:rPr>
                                  <w:rFonts w:ascii="Times New Roman" w:hAnsi="Times New Roman" w:cs="Times New Roman"/>
                                  <w:sz w:val="20"/>
                                  <w:szCs w:val="20"/>
                                  <w:lang w:val="id-ID"/>
                                </w:rPr>
                              </w:pPr>
                              <w:r w:rsidRPr="0006483B">
                                <w:rPr>
                                  <w:rFonts w:ascii="Times New Roman" w:hAnsi="Times New Roman" w:cs="Times New Roman"/>
                                  <w:sz w:val="20"/>
                                  <w:szCs w:val="20"/>
                                </w:rPr>
                                <w:t>Material Expert Validation</w:t>
                              </w:r>
                            </w:p>
                          </w:txbxContent>
                        </wps:txbx>
                        <wps:bodyPr rot="0" vert="horz" wrap="square" lIns="91440" tIns="45720" rIns="91440" bIns="45720" anchor="t" anchorCtr="0" upright="1">
                          <a:noAutofit/>
                        </wps:bodyPr>
                      </wps:wsp>
                      <wps:wsp>
                        <wps:cNvPr id="17" name="Rounded Rectangle 17"/>
                        <wps:cNvSpPr>
                          <a:spLocks noChangeArrowheads="1"/>
                        </wps:cNvSpPr>
                        <wps:spPr bwMode="auto">
                          <a:xfrm>
                            <a:off x="2663687" y="0"/>
                            <a:ext cx="1045845" cy="248920"/>
                          </a:xfrm>
                          <a:prstGeom prst="roundRect">
                            <a:avLst>
                              <a:gd name="adj" fmla="val 16667"/>
                            </a:avLst>
                          </a:prstGeom>
                          <a:solidFill>
                            <a:srgbClr val="FFFFFF"/>
                          </a:solidFill>
                          <a:ln w="9525">
                            <a:solidFill>
                              <a:srgbClr val="000000"/>
                            </a:solidFill>
                            <a:round/>
                            <a:headEnd/>
                            <a:tailEnd/>
                          </a:ln>
                        </wps:spPr>
                        <wps:txbx>
                          <w:txbxContent>
                            <w:p w14:paraId="38C22834" w14:textId="77777777" w:rsidR="00C34285" w:rsidRPr="0006483B" w:rsidRDefault="00C34285" w:rsidP="00C34285">
                              <w:pPr>
                                <w:spacing w:after="0" w:line="240" w:lineRule="auto"/>
                                <w:jc w:val="center"/>
                                <w:rPr>
                                  <w:rFonts w:ascii="Times New Roman" w:hAnsi="Times New Roman" w:cs="Times New Roman"/>
                                  <w:sz w:val="20"/>
                                  <w:szCs w:val="20"/>
                                </w:rPr>
                              </w:pPr>
                              <w:r w:rsidRPr="0006483B">
                                <w:rPr>
                                  <w:rFonts w:ascii="Times New Roman" w:hAnsi="Times New Roman" w:cs="Times New Roman"/>
                                  <w:sz w:val="20"/>
                                  <w:szCs w:val="20"/>
                                </w:rPr>
                                <w:t>Product Design</w:t>
                              </w:r>
                            </w:p>
                          </w:txbxContent>
                        </wps:txbx>
                        <wps:bodyPr rot="0" vert="horz" wrap="square" lIns="91440" tIns="45720" rIns="91440" bIns="45720" anchor="t" anchorCtr="0" upright="1">
                          <a:noAutofit/>
                        </wps:bodyPr>
                      </wps:wsp>
                      <wps:wsp>
                        <wps:cNvPr id="5" name="Rounded Rectangle 5"/>
                        <wps:cNvSpPr>
                          <a:spLocks noChangeArrowheads="1"/>
                        </wps:cNvSpPr>
                        <wps:spPr bwMode="auto">
                          <a:xfrm>
                            <a:off x="1622066" y="485030"/>
                            <a:ext cx="1673860" cy="307340"/>
                          </a:xfrm>
                          <a:prstGeom prst="roundRect">
                            <a:avLst>
                              <a:gd name="adj" fmla="val 16667"/>
                            </a:avLst>
                          </a:prstGeom>
                          <a:solidFill>
                            <a:srgbClr val="FFFFFF"/>
                          </a:solidFill>
                          <a:ln w="9525">
                            <a:solidFill>
                              <a:srgbClr val="000000"/>
                            </a:solidFill>
                            <a:round/>
                            <a:headEnd/>
                            <a:tailEnd/>
                          </a:ln>
                        </wps:spPr>
                        <wps:txbx>
                          <w:txbxContent>
                            <w:p w14:paraId="3E39BECD" w14:textId="77777777" w:rsidR="00C34285" w:rsidRPr="0006483B" w:rsidRDefault="00C34285" w:rsidP="00C34285">
                              <w:pPr>
                                <w:spacing w:after="0" w:line="240" w:lineRule="auto"/>
                                <w:jc w:val="center"/>
                                <w:rPr>
                                  <w:rFonts w:ascii="Times New Roman" w:hAnsi="Times New Roman" w:cs="Times New Roman"/>
                                  <w:sz w:val="20"/>
                                  <w:szCs w:val="20"/>
                                  <w:lang w:val="id-ID"/>
                                </w:rPr>
                              </w:pPr>
                              <w:r w:rsidRPr="0006483B">
                                <w:rPr>
                                  <w:rFonts w:ascii="Times New Roman" w:hAnsi="Times New Roman" w:cs="Times New Roman"/>
                                  <w:sz w:val="20"/>
                                  <w:szCs w:val="20"/>
                                  <w:lang w:val="id-ID"/>
                                </w:rPr>
                                <w:t>Media expert validation</w:t>
                              </w:r>
                            </w:p>
                          </w:txbxContent>
                        </wps:txbx>
                        <wps:bodyPr rot="0" vert="horz" wrap="square" lIns="91440" tIns="45720" rIns="91440" bIns="45720" anchor="t" anchorCtr="0" upright="1">
                          <a:noAutofit/>
                        </wps:bodyPr>
                      </wps:wsp>
                      <wps:wsp>
                        <wps:cNvPr id="13" name="Rounded Rectangle 13"/>
                        <wps:cNvSpPr>
                          <a:spLocks noChangeArrowheads="1"/>
                        </wps:cNvSpPr>
                        <wps:spPr bwMode="auto">
                          <a:xfrm>
                            <a:off x="3617844" y="389614"/>
                            <a:ext cx="821055" cy="824230"/>
                          </a:xfrm>
                          <a:prstGeom prst="roundRect">
                            <a:avLst>
                              <a:gd name="adj" fmla="val 16667"/>
                            </a:avLst>
                          </a:prstGeom>
                          <a:solidFill>
                            <a:srgbClr val="FFFFFF"/>
                          </a:solidFill>
                          <a:ln w="9525">
                            <a:solidFill>
                              <a:srgbClr val="000000"/>
                            </a:solidFill>
                            <a:round/>
                            <a:headEnd/>
                            <a:tailEnd/>
                          </a:ln>
                        </wps:spPr>
                        <wps:txbx>
                          <w:txbxContent>
                            <w:p w14:paraId="2F718F88" w14:textId="77777777" w:rsidR="00C34285" w:rsidRPr="0006483B" w:rsidRDefault="00C34285" w:rsidP="00C34285">
                              <w:pPr>
                                <w:spacing w:after="0" w:line="240" w:lineRule="auto"/>
                                <w:jc w:val="center"/>
                                <w:rPr>
                                  <w:rFonts w:ascii="Times New Roman" w:hAnsi="Times New Roman" w:cs="Times New Roman"/>
                                  <w:sz w:val="20"/>
                                  <w:szCs w:val="20"/>
                                  <w:lang w:val="id-ID"/>
                                </w:rPr>
                              </w:pPr>
                              <w:r w:rsidRPr="0006483B">
                                <w:rPr>
                                  <w:rFonts w:ascii="Times New Roman" w:hAnsi="Times New Roman" w:cs="Times New Roman"/>
                                  <w:sz w:val="20"/>
                                  <w:szCs w:val="20"/>
                                </w:rPr>
                                <w:t>Final Product Revision</w:t>
                              </w:r>
                            </w:p>
                          </w:txbxContent>
                        </wps:txbx>
                        <wps:bodyPr rot="0" vert="horz" wrap="square" lIns="91440" tIns="45720" rIns="91440" bIns="45720" anchor="t" anchorCtr="0" upright="1">
                          <a:noAutofit/>
                        </wps:bodyPr>
                      </wps:wsp>
                      <wps:wsp>
                        <wps:cNvPr id="18" name="Straight Arrow Connector 18"/>
                        <wps:cNvCnPr>
                          <a:cxnSpLocks noChangeShapeType="1"/>
                        </wps:cNvCnPr>
                        <wps:spPr bwMode="auto">
                          <a:xfrm>
                            <a:off x="1224501" y="111319"/>
                            <a:ext cx="1962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Straight Arrow Connector 19"/>
                        <wps:cNvCnPr>
                          <a:cxnSpLocks noChangeShapeType="1"/>
                        </wps:cNvCnPr>
                        <wps:spPr bwMode="auto">
                          <a:xfrm>
                            <a:off x="2464905" y="111319"/>
                            <a:ext cx="1974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1391479" y="628153"/>
                            <a:ext cx="234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Straight Arrow Connector 3"/>
                        <wps:cNvCnPr>
                          <a:cxnSpLocks noChangeShapeType="1"/>
                        </wps:cNvCnPr>
                        <wps:spPr bwMode="auto">
                          <a:xfrm>
                            <a:off x="3291840" y="652007"/>
                            <a:ext cx="3213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Straight Arrow Connector 14"/>
                        <wps:cNvCnPr>
                          <a:cxnSpLocks noChangeShapeType="1"/>
                        </wps:cNvCnPr>
                        <wps:spPr bwMode="auto">
                          <a:xfrm>
                            <a:off x="3180522" y="246491"/>
                            <a:ext cx="0" cy="140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Straight Arrow Connector 6"/>
                        <wps:cNvCnPr>
                          <a:cxnSpLocks noChangeShapeType="1"/>
                        </wps:cNvCnPr>
                        <wps:spPr bwMode="auto">
                          <a:xfrm flipH="1">
                            <a:off x="1383527" y="389614"/>
                            <a:ext cx="1797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Arrow Connector 1"/>
                        <wps:cNvCnPr>
                          <a:cxnSpLocks noChangeShapeType="1"/>
                        </wps:cNvCnPr>
                        <wps:spPr bwMode="auto">
                          <a:xfrm flipH="1">
                            <a:off x="1558456" y="1033670"/>
                            <a:ext cx="20554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Rounded Rectangle 2"/>
                        <wps:cNvSpPr>
                          <a:spLocks noChangeArrowheads="1"/>
                        </wps:cNvSpPr>
                        <wps:spPr bwMode="auto">
                          <a:xfrm>
                            <a:off x="0" y="906449"/>
                            <a:ext cx="1562100" cy="307340"/>
                          </a:xfrm>
                          <a:prstGeom prst="roundRect">
                            <a:avLst>
                              <a:gd name="adj" fmla="val 16667"/>
                            </a:avLst>
                          </a:prstGeom>
                          <a:solidFill>
                            <a:srgbClr val="FFFFFF"/>
                          </a:solidFill>
                          <a:ln w="9525">
                            <a:solidFill>
                              <a:srgbClr val="000000"/>
                            </a:solidFill>
                            <a:round/>
                            <a:headEnd/>
                            <a:tailEnd/>
                          </a:ln>
                        </wps:spPr>
                        <wps:txbx>
                          <w:txbxContent>
                            <w:p w14:paraId="28966760" w14:textId="77777777" w:rsidR="00C34285" w:rsidRPr="0006483B" w:rsidRDefault="00C34285" w:rsidP="00C34285">
                              <w:pPr>
                                <w:spacing w:after="0" w:line="240" w:lineRule="auto"/>
                                <w:jc w:val="center"/>
                                <w:rPr>
                                  <w:rFonts w:ascii="Times New Roman" w:hAnsi="Times New Roman" w:cs="Times New Roman"/>
                                  <w:sz w:val="20"/>
                                  <w:szCs w:val="20"/>
                                  <w:lang w:val="id-ID"/>
                                </w:rPr>
                              </w:pPr>
                              <w:r w:rsidRPr="0006483B">
                                <w:rPr>
                                  <w:rFonts w:ascii="Times New Roman" w:hAnsi="Times New Roman" w:cs="Times New Roman"/>
                                  <w:sz w:val="20"/>
                                  <w:szCs w:val="20"/>
                                  <w:lang w:val="id-ID"/>
                                </w:rPr>
                                <w:t>Ready Products</w:t>
                              </w:r>
                            </w:p>
                          </w:txbxContent>
                        </wps:txbx>
                        <wps:bodyPr rot="0" vert="horz" wrap="square" lIns="91440" tIns="45720" rIns="91440" bIns="45720" anchor="t" anchorCtr="0" upright="1">
                          <a:noAutofit/>
                        </wps:bodyPr>
                      </wps:wsp>
                    </wpg:wgp>
                  </a:graphicData>
                </a:graphic>
              </wp:anchor>
            </w:drawing>
          </mc:Choice>
          <mc:Fallback>
            <w:pict>
              <v:group w14:anchorId="0B8C29B6" id="Group 8" o:spid="_x0000_s1026" style="position:absolute;left:0;text-align:left;margin-left:52.95pt;margin-top:3.85pt;width:349.5pt;height:95.6pt;z-index:251672576" coordsize="44388,1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">
                <v:roundrect id="Rounded Rectangle 15" o:spid="_x0000_s1027" style="position:absolute;width:12287;height:24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">
                  <v:textbox>
                    <w:txbxContent>
                      <w:p w14:paraId="5139F43E" w14:textId="77777777" w:rsidR="00C34285" w:rsidRPr="0006483B" w:rsidRDefault="00C34285" w:rsidP="00C34285">
                        <w:pPr>
                          <w:spacing w:after="0" w:line="240" w:lineRule="auto"/>
                          <w:jc w:val="center"/>
                          <w:rPr>
                            <w:rFonts w:ascii="Times New Roman" w:hAnsi="Times New Roman" w:cs="Times New Roman"/>
                            <w:sz w:val="20"/>
                            <w:szCs w:val="20"/>
                          </w:rPr>
                        </w:pPr>
                        <w:r w:rsidRPr="0006483B">
                          <w:rPr>
                            <w:rFonts w:ascii="Times New Roman" w:hAnsi="Times New Roman" w:cs="Times New Roman"/>
                            <w:sz w:val="20"/>
                            <w:szCs w:val="20"/>
                          </w:rPr>
                          <w:t>Needs Analysis</w:t>
                        </w:r>
                      </w:p>
                    </w:txbxContent>
                  </v:textbox>
                </v:roundrect>
                <v:roundrect id="Rounded Rectangle 16" o:spid="_x0000_s1028" style="position:absolute;left:14153;width:10458;height:24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">
                  <v:textbox>
                    <w:txbxContent>
                      <w:p w14:paraId="558FFB90" w14:textId="77777777" w:rsidR="00C34285" w:rsidRPr="0006483B" w:rsidRDefault="00C34285" w:rsidP="00C34285">
                        <w:pPr>
                          <w:spacing w:after="0" w:line="240" w:lineRule="auto"/>
                          <w:jc w:val="center"/>
                          <w:rPr>
                            <w:rFonts w:ascii="Times New Roman" w:hAnsi="Times New Roman" w:cs="Times New Roman"/>
                            <w:sz w:val="20"/>
                            <w:szCs w:val="20"/>
                          </w:rPr>
                        </w:pPr>
                        <w:r w:rsidRPr="0006483B">
                          <w:rPr>
                            <w:rFonts w:ascii="Times New Roman" w:hAnsi="Times New Roman" w:cs="Times New Roman"/>
                            <w:sz w:val="20"/>
                            <w:szCs w:val="20"/>
                          </w:rPr>
                          <w:t>Study of literature</w:t>
                        </w:r>
                      </w:p>
                    </w:txbxContent>
                  </v:textbox>
                </v:roundrect>
                <v:roundrect id="Rounded Rectangle 12" o:spid="_x0000_s1029" style="position:absolute;top:3180;width:13874;height:46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">
                  <v:textbox>
                    <w:txbxContent>
                      <w:p w14:paraId="526BF107" w14:textId="77777777" w:rsidR="00C34285" w:rsidRPr="0006483B" w:rsidRDefault="00C34285" w:rsidP="00C34285">
                        <w:pPr>
                          <w:spacing w:after="0" w:line="240" w:lineRule="auto"/>
                          <w:jc w:val="center"/>
                          <w:rPr>
                            <w:rFonts w:ascii="Times New Roman" w:hAnsi="Times New Roman" w:cs="Times New Roman"/>
                            <w:sz w:val="20"/>
                            <w:szCs w:val="20"/>
                            <w:lang w:val="id-ID"/>
                          </w:rPr>
                        </w:pPr>
                        <w:r w:rsidRPr="0006483B">
                          <w:rPr>
                            <w:rFonts w:ascii="Times New Roman" w:hAnsi="Times New Roman" w:cs="Times New Roman"/>
                            <w:sz w:val="20"/>
                            <w:szCs w:val="20"/>
                          </w:rPr>
                          <w:t>Material Expert Validation</w:t>
                        </w:r>
                      </w:p>
                    </w:txbxContent>
                  </v:textbox>
                </v:roundrect>
                <v:roundrect id="Rounded Rectangle 17" o:spid="_x0000_s1030" style="position:absolute;left:26636;width:10459;height:24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">
                  <v:textbox>
                    <w:txbxContent>
                      <w:p w14:paraId="38C22834" w14:textId="77777777" w:rsidR="00C34285" w:rsidRPr="0006483B" w:rsidRDefault="00C34285" w:rsidP="00C34285">
                        <w:pPr>
                          <w:spacing w:after="0" w:line="240" w:lineRule="auto"/>
                          <w:jc w:val="center"/>
                          <w:rPr>
                            <w:rFonts w:ascii="Times New Roman" w:hAnsi="Times New Roman" w:cs="Times New Roman"/>
                            <w:sz w:val="20"/>
                            <w:szCs w:val="20"/>
                          </w:rPr>
                        </w:pPr>
                        <w:r w:rsidRPr="0006483B">
                          <w:rPr>
                            <w:rFonts w:ascii="Times New Roman" w:hAnsi="Times New Roman" w:cs="Times New Roman"/>
                            <w:sz w:val="20"/>
                            <w:szCs w:val="20"/>
                          </w:rPr>
                          <w:t>Product Design</w:t>
                        </w:r>
                      </w:p>
                    </w:txbxContent>
                  </v:textbox>
                </v:roundrect>
                <v:roundrect id="Rounded Rectangle 5" o:spid="_x0000_s1031" style="position:absolute;left:16220;top:4850;width:16739;height:30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">
                  <v:textbox>
                    <w:txbxContent>
                      <w:p w14:paraId="3E39BECD" w14:textId="77777777" w:rsidR="00C34285" w:rsidRPr="0006483B" w:rsidRDefault="00C34285" w:rsidP="00C34285">
                        <w:pPr>
                          <w:spacing w:after="0" w:line="240" w:lineRule="auto"/>
                          <w:jc w:val="center"/>
                          <w:rPr>
                            <w:rFonts w:ascii="Times New Roman" w:hAnsi="Times New Roman" w:cs="Times New Roman"/>
                            <w:sz w:val="20"/>
                            <w:szCs w:val="20"/>
                            <w:lang w:val="id-ID"/>
                          </w:rPr>
                        </w:pPr>
                        <w:r w:rsidRPr="0006483B">
                          <w:rPr>
                            <w:rFonts w:ascii="Times New Roman" w:hAnsi="Times New Roman" w:cs="Times New Roman"/>
                            <w:sz w:val="20"/>
                            <w:szCs w:val="20"/>
                            <w:lang w:val="id-ID"/>
                          </w:rPr>
                          <w:t>Media expert validation</w:t>
                        </w:r>
                      </w:p>
                    </w:txbxContent>
                  </v:textbox>
                </v:roundrect>
                <v:roundrect id="Rounded Rectangle 13" o:spid="_x0000_s1032" style="position:absolute;left:36178;top:3896;width:8210;height:82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ugdwQAAANsAAAAPAAAAZHJzL2Rvd25yZXYueG1sRE9NawIx&#10;EL0L/ocwQm+aqFT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CyC6B3BAAAA2wAAAA8AAAAA&#10;AAAAAAAAAAAABwIAAGRycy9kb3ducmV2LnhtbFBLBQYAAAAAAwADALcAAAD1AgAAAAA=&#10;">
                  <v:textbox>
                    <w:txbxContent>
                      <w:p w14:paraId="2F718F88" w14:textId="77777777" w:rsidR="00C34285" w:rsidRPr="0006483B" w:rsidRDefault="00C34285" w:rsidP="00C34285">
                        <w:pPr>
                          <w:spacing w:after="0" w:line="240" w:lineRule="auto"/>
                          <w:jc w:val="center"/>
                          <w:rPr>
                            <w:rFonts w:ascii="Times New Roman" w:hAnsi="Times New Roman" w:cs="Times New Roman"/>
                            <w:sz w:val="20"/>
                            <w:szCs w:val="20"/>
                            <w:lang w:val="id-ID"/>
                          </w:rPr>
                        </w:pPr>
                        <w:r w:rsidRPr="0006483B">
                          <w:rPr>
                            <w:rFonts w:ascii="Times New Roman" w:hAnsi="Times New Roman" w:cs="Times New Roman"/>
                            <w:sz w:val="20"/>
                            <w:szCs w:val="20"/>
                          </w:rPr>
                          <w:t>Final Product Revision</w:t>
                        </w:r>
                      </w:p>
                    </w:txbxContent>
                  </v:textbox>
                </v:roundrect>
                <v:shapetype id="_x0000_t32" coordsize="21600,21600" o:spt="32" o:oned="t" path="m,l21600,21600e" filled="f">
                  <v:path arrowok="t" fillok="f" o:connecttype="none"/>
                  <o:lock v:ext="edit" shapetype="t"/>
                </v:shapetype>
                <v:shape id="Straight Arrow Connector 18" o:spid="_x0000_s1033" type="#_x0000_t32" style="position:absolute;left:12245;top:1113;width:19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Straight Arrow Connector 19" o:spid="_x0000_s1034" type="#_x0000_t32" style="position:absolute;left:24649;top:1113;width:19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Straight Arrow Connector 4" o:spid="_x0000_s1035" type="#_x0000_t32" style="position:absolute;left:13914;top:6281;width:23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Straight Arrow Connector 3" o:spid="_x0000_s1036" type="#_x0000_t32" style="position:absolute;left:32918;top:6520;width:32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 id="Straight Arrow Connector 14" o:spid="_x0000_s1037" type="#_x0000_t32" style="position:absolute;left:31805;top:2464;width:0;height:1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Straight Arrow Connector 6" o:spid="_x0000_s1038" type="#_x0000_t32" style="position:absolute;left:13835;top:3896;width:1797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shape id="Straight Arrow Connector 1" o:spid="_x0000_s1039" type="#_x0000_t32" style="position:absolute;left:15584;top:10336;width:2055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">
                  <v:stroke endarrow="block"/>
                </v:shape>
                <v:roundrect id="Rounded Rectangle 2" o:spid="_x0000_s1040" style="position:absolute;top:9064;width:15621;height:30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">
                  <v:textbox>
                    <w:txbxContent>
                      <w:p w14:paraId="28966760" w14:textId="77777777" w:rsidR="00C34285" w:rsidRPr="0006483B" w:rsidRDefault="00C34285" w:rsidP="00C34285">
                        <w:pPr>
                          <w:spacing w:after="0" w:line="240" w:lineRule="auto"/>
                          <w:jc w:val="center"/>
                          <w:rPr>
                            <w:rFonts w:ascii="Times New Roman" w:hAnsi="Times New Roman" w:cs="Times New Roman"/>
                            <w:sz w:val="20"/>
                            <w:szCs w:val="20"/>
                            <w:lang w:val="id-ID"/>
                          </w:rPr>
                        </w:pPr>
                        <w:r w:rsidRPr="0006483B">
                          <w:rPr>
                            <w:rFonts w:ascii="Times New Roman" w:hAnsi="Times New Roman" w:cs="Times New Roman"/>
                            <w:sz w:val="20"/>
                            <w:szCs w:val="20"/>
                            <w:lang w:val="id-ID"/>
                          </w:rPr>
                          <w:t>Ready Products</w:t>
                        </w:r>
                      </w:p>
                    </w:txbxContent>
                  </v:textbox>
                </v:roundrect>
              </v:group>
            </w:pict>
          </mc:Fallback>
        </mc:AlternateContent>
      </w:r>
    </w:p>
    <w:p w14:paraId="1DE073CC" w14:textId="77777777" w:rsidR="00C34285" w:rsidRPr="00A61B24" w:rsidRDefault="00C34285" w:rsidP="00C34285">
      <w:pPr>
        <w:suppressAutoHyphens/>
        <w:spacing w:after="0" w:line="240" w:lineRule="auto"/>
        <w:jc w:val="both"/>
        <w:rPr>
          <w:rFonts w:ascii="Times New Roman" w:eastAsia="Times New Roman" w:hAnsi="Times New Roman"/>
          <w:color w:val="FF0000"/>
          <w:sz w:val="24"/>
          <w:szCs w:val="20"/>
          <w:lang w:eastAsia="ar-SA"/>
        </w:rPr>
      </w:pPr>
    </w:p>
    <w:p w14:paraId="46C7094A" w14:textId="77777777" w:rsidR="00C34285" w:rsidRPr="00A61B24" w:rsidRDefault="00C34285" w:rsidP="00C34285">
      <w:pPr>
        <w:suppressAutoHyphens/>
        <w:spacing w:after="0" w:line="240" w:lineRule="auto"/>
        <w:jc w:val="both"/>
        <w:rPr>
          <w:rFonts w:ascii="Times New Roman" w:eastAsia="Times New Roman" w:hAnsi="Times New Roman"/>
          <w:color w:val="FF0000"/>
          <w:sz w:val="24"/>
          <w:szCs w:val="20"/>
          <w:lang w:eastAsia="ar-SA"/>
        </w:rPr>
      </w:pPr>
    </w:p>
    <w:p w14:paraId="5CBC2DDA" w14:textId="77777777" w:rsidR="00C34285" w:rsidRPr="00A61B24" w:rsidRDefault="00C34285" w:rsidP="00C34285">
      <w:pPr>
        <w:suppressAutoHyphens/>
        <w:spacing w:after="0" w:line="240" w:lineRule="auto"/>
        <w:jc w:val="both"/>
        <w:rPr>
          <w:rFonts w:ascii="Times New Roman" w:eastAsia="Times New Roman" w:hAnsi="Times New Roman"/>
          <w:color w:val="FF0000"/>
          <w:sz w:val="24"/>
          <w:szCs w:val="20"/>
          <w:lang w:eastAsia="ar-SA"/>
        </w:rPr>
      </w:pPr>
    </w:p>
    <w:p w14:paraId="3A37F975" w14:textId="77777777" w:rsidR="00C34285" w:rsidRPr="00A61B24" w:rsidRDefault="00C34285" w:rsidP="00C34285">
      <w:pPr>
        <w:suppressAutoHyphens/>
        <w:spacing w:after="0" w:line="240" w:lineRule="auto"/>
        <w:jc w:val="both"/>
        <w:rPr>
          <w:rFonts w:ascii="Times New Roman" w:eastAsia="Times New Roman" w:hAnsi="Times New Roman"/>
          <w:color w:val="FF0000"/>
          <w:sz w:val="24"/>
          <w:szCs w:val="20"/>
          <w:lang w:eastAsia="ar-SA"/>
        </w:rPr>
      </w:pPr>
    </w:p>
    <w:p w14:paraId="1069E19D" w14:textId="77777777" w:rsidR="00C34285" w:rsidRPr="00A61B24" w:rsidRDefault="00C34285" w:rsidP="00C34285">
      <w:pPr>
        <w:suppressAutoHyphens/>
        <w:spacing w:after="0" w:line="240" w:lineRule="auto"/>
        <w:jc w:val="both"/>
        <w:rPr>
          <w:rFonts w:ascii="Times New Roman" w:eastAsia="Times New Roman" w:hAnsi="Times New Roman"/>
          <w:color w:val="FF0000"/>
          <w:sz w:val="24"/>
          <w:szCs w:val="20"/>
          <w:lang w:eastAsia="ar-SA"/>
        </w:rPr>
      </w:pPr>
    </w:p>
    <w:p w14:paraId="4900EAEC" w14:textId="77777777" w:rsidR="00C34285" w:rsidRPr="00A61B24" w:rsidRDefault="00C34285" w:rsidP="00C34285">
      <w:pPr>
        <w:suppressAutoHyphens/>
        <w:spacing w:after="0" w:line="240" w:lineRule="auto"/>
        <w:jc w:val="both"/>
        <w:rPr>
          <w:rFonts w:ascii="Times New Roman" w:eastAsia="Times New Roman" w:hAnsi="Times New Roman"/>
          <w:color w:val="FF0000"/>
          <w:sz w:val="24"/>
          <w:szCs w:val="20"/>
          <w:lang w:eastAsia="ar-SA"/>
        </w:rPr>
      </w:pPr>
    </w:p>
    <w:p w14:paraId="39DA1C19" w14:textId="77777777" w:rsidR="00903AD5" w:rsidRDefault="00903AD5" w:rsidP="00C34285">
      <w:pPr>
        <w:suppressAutoHyphens/>
        <w:spacing w:after="0" w:line="240" w:lineRule="auto"/>
        <w:jc w:val="center"/>
        <w:rPr>
          <w:rFonts w:ascii="Times New Roman" w:eastAsia="Times New Roman" w:hAnsi="Times New Roman"/>
          <w:b/>
          <w:bCs/>
          <w:sz w:val="20"/>
          <w:szCs w:val="16"/>
          <w:lang w:val="id-ID" w:eastAsia="ar-SA"/>
        </w:rPr>
      </w:pPr>
    </w:p>
    <w:p w14:paraId="7F74C717" w14:textId="2C4880BC" w:rsidR="00C34285" w:rsidRDefault="00C34285" w:rsidP="00C34285">
      <w:pPr>
        <w:suppressAutoHyphens/>
        <w:spacing w:after="0" w:line="240" w:lineRule="auto"/>
        <w:jc w:val="center"/>
        <w:rPr>
          <w:rFonts w:ascii="Times New Roman" w:eastAsia="Times New Roman" w:hAnsi="Times New Roman"/>
          <w:b/>
          <w:bCs/>
          <w:sz w:val="20"/>
          <w:szCs w:val="16"/>
          <w:lang w:val="fr-FR" w:eastAsia="ar-SA"/>
        </w:rPr>
      </w:pPr>
      <w:r w:rsidRPr="00552D4D">
        <w:rPr>
          <w:rFonts w:ascii="Times New Roman" w:eastAsia="Times New Roman" w:hAnsi="Times New Roman"/>
          <w:b/>
          <w:bCs/>
          <w:sz w:val="20"/>
          <w:szCs w:val="16"/>
          <w:lang w:val="fr-FR" w:eastAsia="ar-SA"/>
        </w:rPr>
        <w:t xml:space="preserve">Figure 1. </w:t>
      </w:r>
      <w:r w:rsidRPr="00481949">
        <w:rPr>
          <w:rFonts w:ascii="Times New Roman" w:eastAsia="Times New Roman" w:hAnsi="Times New Roman"/>
          <w:sz w:val="20"/>
          <w:szCs w:val="16"/>
          <w:lang w:val="fr-FR" w:eastAsia="ar-SA"/>
        </w:rPr>
        <w:t>Development Stages Schematic</w:t>
      </w:r>
    </w:p>
    <w:p w14:paraId="747F68E9" w14:textId="77777777" w:rsidR="00481949" w:rsidRPr="00552D4D" w:rsidRDefault="00481949" w:rsidP="00C34285">
      <w:pPr>
        <w:suppressAutoHyphens/>
        <w:spacing w:after="0" w:line="240" w:lineRule="auto"/>
        <w:jc w:val="center"/>
        <w:rPr>
          <w:rFonts w:ascii="Times New Roman" w:eastAsia="Times New Roman" w:hAnsi="Times New Roman"/>
          <w:b/>
          <w:bCs/>
          <w:sz w:val="20"/>
          <w:szCs w:val="16"/>
          <w:lang w:val="fr-FR" w:eastAsia="ar-SA"/>
        </w:rPr>
      </w:pPr>
    </w:p>
    <w:p w14:paraId="3E06BFA8" w14:textId="49EB9897" w:rsidR="00C34285" w:rsidRPr="002C2D24" w:rsidRDefault="00C34285" w:rsidP="00C34285">
      <w:pPr>
        <w:suppressAutoHyphens/>
        <w:spacing w:after="0" w:line="240" w:lineRule="auto"/>
        <w:jc w:val="both"/>
        <w:rPr>
          <w:rFonts w:ascii="Times New Roman" w:eastAsia="Times New Roman" w:hAnsi="Times New Roman"/>
          <w:szCs w:val="20"/>
          <w:lang w:val="fr-FR" w:eastAsia="ar-SA"/>
        </w:rPr>
      </w:pPr>
      <w:r w:rsidRPr="002C2D24">
        <w:rPr>
          <w:rFonts w:ascii="Times New Roman" w:eastAsia="Times New Roman" w:hAnsi="Times New Roman"/>
          <w:szCs w:val="20"/>
          <w:lang w:val="fr-FR" w:eastAsia="ar-SA"/>
        </w:rPr>
        <w:t xml:space="preserve">In this study, the attractiveness test was carried out by two processes. The first process is material expert validation. The selected material experts are material experts related to vocational education. The second process is </w:t>
      </w:r>
      <w:r w:rsidR="00054B5C">
        <w:rPr>
          <w:rFonts w:ascii="Times New Roman" w:eastAsia="Times New Roman" w:hAnsi="Times New Roman"/>
          <w:szCs w:val="20"/>
          <w:lang w:val="fr-FR" w:eastAsia="ar-SA"/>
        </w:rPr>
        <w:t xml:space="preserve">the </w:t>
      </w:r>
      <w:r w:rsidRPr="002C2D24">
        <w:rPr>
          <w:rFonts w:ascii="Times New Roman" w:eastAsia="Times New Roman" w:hAnsi="Times New Roman"/>
          <w:szCs w:val="20"/>
          <w:lang w:val="fr-FR" w:eastAsia="ar-SA"/>
        </w:rPr>
        <w:t>validation of media experts. The selected media expert is an online media expert. The media expert was carried out by two experts. Each validator expert consists of two people who come from different institutions/agencies.</w:t>
      </w:r>
    </w:p>
    <w:p w14:paraId="23F36514" w14:textId="77777777" w:rsidR="00C34285" w:rsidRPr="00C34285" w:rsidRDefault="00C34285"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14:paraId="4B7969F6" w14:textId="77777777" w:rsidR="00C34285" w:rsidRPr="00F77F43" w:rsidRDefault="00C34285" w:rsidP="00F77F43">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lang w:val="id-ID"/>
        </w:rPr>
        <w:t>Result</w:t>
      </w:r>
    </w:p>
    <w:p w14:paraId="0BE2D6F7" w14:textId="77777777" w:rsidR="00C34285" w:rsidRPr="00C34285" w:rsidRDefault="00C34285"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lang w:val="id-ID"/>
        </w:rPr>
      </w:pPr>
      <w:r>
        <w:rPr>
          <w:rFonts w:ascii="Times New Roman" w:eastAsia="Times New Roman" w:hAnsi="Times New Roman" w:cs="Times New Roman"/>
          <w:i/>
          <w:color w:val="000000"/>
          <w:lang w:val="id-ID"/>
        </w:rPr>
        <w:t>3.1. The component needs to improve the special skills of graduate vocational education students</w:t>
      </w:r>
    </w:p>
    <w:p w14:paraId="185D77FB" w14:textId="77777777" w:rsidR="00C34285" w:rsidRDefault="00C34285" w:rsidP="00C34285">
      <w:pPr>
        <w:suppressAutoHyphens/>
        <w:spacing w:after="0" w:line="240" w:lineRule="auto"/>
        <w:jc w:val="both"/>
        <w:rPr>
          <w:rFonts w:ascii="Times New Roman" w:eastAsia="Times New Roman" w:hAnsi="Times New Roman"/>
          <w:bCs/>
          <w:szCs w:val="20"/>
          <w:lang w:val="id-ID" w:eastAsia="ar-SA"/>
        </w:rPr>
      </w:pPr>
      <w:r w:rsidRPr="00C34285">
        <w:rPr>
          <w:rFonts w:ascii="Times New Roman" w:eastAsia="Times New Roman" w:hAnsi="Times New Roman" w:cs="Times New Roman"/>
          <w:color w:val="000000"/>
        </w:rPr>
        <w:t>This research resulted in several findings related to the need to improve special skills in graduate vocational education students. These needs consist of five main components, namely developing ideas, utilizing infrastructure, deepening knowledge, professional organization, and mental stimulation. The components of the need to improve special skills in vocational education graduate students are shown in full in Figure.</w:t>
      </w:r>
      <w:r w:rsidRPr="00C34285">
        <w:rPr>
          <w:rFonts w:ascii="Times New Roman" w:eastAsia="Times New Roman" w:hAnsi="Times New Roman"/>
          <w:bCs/>
          <w:szCs w:val="20"/>
          <w:lang w:val="id-ID" w:eastAsia="ar-SA"/>
        </w:rPr>
        <w:t xml:space="preserve"> </w:t>
      </w:r>
    </w:p>
    <w:p w14:paraId="54D09F24" w14:textId="77777777" w:rsidR="00C856AB" w:rsidRDefault="00C856AB" w:rsidP="00C34285">
      <w:pPr>
        <w:suppressAutoHyphens/>
        <w:spacing w:after="0" w:line="240" w:lineRule="auto"/>
        <w:jc w:val="both"/>
        <w:rPr>
          <w:rFonts w:ascii="Times New Roman" w:eastAsia="Times New Roman" w:hAnsi="Times New Roman"/>
          <w:bCs/>
          <w:szCs w:val="20"/>
          <w:lang w:val="id-ID" w:eastAsia="ar-SA"/>
        </w:rPr>
      </w:pPr>
    </w:p>
    <w:p w14:paraId="62760271" w14:textId="77777777" w:rsidR="00C34285" w:rsidRDefault="00C34285" w:rsidP="00C34285">
      <w:pPr>
        <w:suppressAutoHyphens/>
        <w:spacing w:after="0" w:line="240" w:lineRule="auto"/>
        <w:jc w:val="center"/>
        <w:rPr>
          <w:rFonts w:ascii="Times New Roman" w:eastAsia="Times New Roman" w:hAnsi="Times New Roman"/>
          <w:bCs/>
          <w:szCs w:val="20"/>
          <w:lang w:val="id-ID" w:eastAsia="ar-SA"/>
        </w:rPr>
      </w:pPr>
      <w:r>
        <w:rPr>
          <w:noProof/>
          <w:lang w:val="id-ID"/>
        </w:rPr>
        <w:drawing>
          <wp:inline distT="0" distB="0" distL="0" distR="0" wp14:anchorId="0935674D" wp14:editId="60C8A753">
            <wp:extent cx="5064980" cy="1590261"/>
            <wp:effectExtent l="0" t="0" r="21590" b="10160"/>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28729F" w14:textId="1C64A7D2" w:rsidR="00C856AB" w:rsidRDefault="00F20593" w:rsidP="00481949">
      <w:pPr>
        <w:suppressAutoHyphens/>
        <w:spacing w:after="0" w:line="240" w:lineRule="auto"/>
        <w:jc w:val="center"/>
        <w:rPr>
          <w:rFonts w:ascii="Times New Roman" w:eastAsia="Times New Roman" w:hAnsi="Times New Roman"/>
          <w:szCs w:val="20"/>
          <w:lang w:val="id-ID" w:eastAsia="ar-SA"/>
        </w:rPr>
      </w:pPr>
      <w:r w:rsidRPr="00F20593">
        <w:rPr>
          <w:rFonts w:ascii="Times New Roman" w:eastAsia="Times New Roman" w:hAnsi="Times New Roman"/>
          <w:b/>
          <w:bCs/>
          <w:szCs w:val="20"/>
          <w:lang w:val="id-ID" w:eastAsia="ar-SA"/>
        </w:rPr>
        <w:t xml:space="preserve">Figure 2. </w:t>
      </w:r>
      <w:r w:rsidRPr="00481949">
        <w:rPr>
          <w:rFonts w:ascii="Times New Roman" w:eastAsia="Times New Roman" w:hAnsi="Times New Roman"/>
          <w:szCs w:val="20"/>
          <w:lang w:val="id-ID" w:eastAsia="ar-SA"/>
        </w:rPr>
        <w:t xml:space="preserve">Percentage of components needed to increase </w:t>
      </w:r>
      <w:r w:rsidR="00054B5C">
        <w:rPr>
          <w:rFonts w:ascii="Times New Roman" w:eastAsia="Times New Roman" w:hAnsi="Times New Roman"/>
          <w:szCs w:val="20"/>
          <w:lang w:val="id-ID" w:eastAsia="ar-SA"/>
        </w:rPr>
        <w:t>e</w:t>
      </w:r>
      <w:r w:rsidRPr="00481949">
        <w:rPr>
          <w:rFonts w:ascii="Times New Roman" w:eastAsia="Times New Roman" w:hAnsi="Times New Roman"/>
          <w:szCs w:val="20"/>
          <w:lang w:val="id-ID" w:eastAsia="ar-SA"/>
        </w:rPr>
        <w:t>special</w:t>
      </w:r>
      <w:r w:rsidR="00054B5C">
        <w:rPr>
          <w:rFonts w:ascii="Times New Roman" w:eastAsia="Times New Roman" w:hAnsi="Times New Roman"/>
          <w:szCs w:val="20"/>
          <w:lang w:val="id-ID" w:eastAsia="ar-SA"/>
        </w:rPr>
        <w:t>ly</w:t>
      </w:r>
      <w:r w:rsidRPr="00481949">
        <w:rPr>
          <w:rFonts w:ascii="Times New Roman" w:eastAsia="Times New Roman" w:hAnsi="Times New Roman"/>
          <w:szCs w:val="20"/>
          <w:lang w:val="id-ID" w:eastAsia="ar-SA"/>
        </w:rPr>
        <w:t xml:space="preserve"> in vocational education students</w:t>
      </w:r>
    </w:p>
    <w:p w14:paraId="15698B45" w14:textId="77777777" w:rsidR="00481949" w:rsidRPr="00481949" w:rsidRDefault="00481949" w:rsidP="00481949">
      <w:pPr>
        <w:suppressAutoHyphens/>
        <w:spacing w:after="0" w:line="240" w:lineRule="auto"/>
        <w:jc w:val="center"/>
        <w:rPr>
          <w:rFonts w:ascii="Times New Roman" w:eastAsia="Times New Roman" w:hAnsi="Times New Roman"/>
          <w:szCs w:val="20"/>
          <w:lang w:val="id-ID" w:eastAsia="ar-SA"/>
        </w:rPr>
      </w:pPr>
    </w:p>
    <w:p w14:paraId="23C20E9D" w14:textId="77777777" w:rsidR="00C34285" w:rsidRPr="002C2D24" w:rsidRDefault="00C34285" w:rsidP="00C34285">
      <w:pPr>
        <w:suppressAutoHyphens/>
        <w:spacing w:after="0" w:line="240" w:lineRule="auto"/>
        <w:jc w:val="both"/>
        <w:rPr>
          <w:rFonts w:ascii="Times New Roman" w:eastAsia="Times New Roman" w:hAnsi="Times New Roman"/>
          <w:bCs/>
          <w:szCs w:val="20"/>
          <w:lang w:val="id-ID" w:eastAsia="ar-SA"/>
        </w:rPr>
      </w:pPr>
      <w:r>
        <w:rPr>
          <w:rFonts w:ascii="Times New Roman" w:eastAsia="Times New Roman" w:hAnsi="Times New Roman"/>
          <w:bCs/>
          <w:szCs w:val="20"/>
          <w:lang w:val="id-ID" w:eastAsia="ar-SA"/>
        </w:rPr>
        <w:t>In Figure 2 it is shown that there are five components of the need to improve special skills in vocational education graduate students. The percentages of each of these components are idea development (78%), use of infrastructure (82%), deepening of knowledge (90%), professional organization (88%), and mental stimulation (90%).</w:t>
      </w:r>
    </w:p>
    <w:p w14:paraId="66B75022" w14:textId="77777777" w:rsidR="00C34285" w:rsidRDefault="00C34285"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218A23E9" w14:textId="77777777" w:rsidR="00C34285" w:rsidRDefault="00C34285"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lang w:val="id-ID"/>
        </w:rPr>
        <w:t>3.2. The test results of the attractiveness of learning technology based on 3D-modeling augmented reality</w:t>
      </w:r>
    </w:p>
    <w:p w14:paraId="4B906947" w14:textId="0D109349" w:rsidR="00994707" w:rsidRDefault="00994707" w:rsidP="00994707">
      <w:pPr>
        <w:suppressAutoHyphens/>
        <w:spacing w:after="0" w:line="240" w:lineRule="auto"/>
        <w:jc w:val="both"/>
        <w:rPr>
          <w:rFonts w:ascii="Times New Roman" w:eastAsia="Times New Roman" w:hAnsi="Times New Roman"/>
          <w:szCs w:val="20"/>
          <w:lang w:val="fr-FR" w:eastAsia="ar-SA"/>
        </w:rPr>
      </w:pPr>
      <w:r w:rsidRPr="002C2D24">
        <w:rPr>
          <w:rFonts w:ascii="Times New Roman" w:eastAsia="Times New Roman" w:hAnsi="Times New Roman"/>
          <w:szCs w:val="20"/>
          <w:lang w:val="fr-FR" w:eastAsia="ar-SA"/>
        </w:rPr>
        <w:t>In this study, validation was carried out by material experts. The results of processed validation data from learning material experts are shown in Table 1.</w:t>
      </w:r>
    </w:p>
    <w:p w14:paraId="4FEF1A5B" w14:textId="77777777" w:rsidR="00481949" w:rsidRPr="00F77F43" w:rsidRDefault="00481949" w:rsidP="00994707">
      <w:pPr>
        <w:suppressAutoHyphens/>
        <w:spacing w:after="0" w:line="240" w:lineRule="auto"/>
        <w:jc w:val="both"/>
        <w:rPr>
          <w:rFonts w:ascii="Times New Roman" w:eastAsia="Times New Roman" w:hAnsi="Times New Roman"/>
          <w:sz w:val="24"/>
          <w:szCs w:val="20"/>
          <w:lang w:val="id-ID" w:eastAsia="ar-SA"/>
        </w:rPr>
      </w:pPr>
    </w:p>
    <w:p w14:paraId="7E239524" w14:textId="77777777" w:rsidR="00994707" w:rsidRPr="0023262E" w:rsidRDefault="00994707" w:rsidP="00481949">
      <w:pPr>
        <w:suppressAutoHyphens/>
        <w:spacing w:after="0" w:line="240" w:lineRule="auto"/>
        <w:jc w:val="center"/>
        <w:rPr>
          <w:rFonts w:ascii="Times New Roman" w:eastAsia="Times New Roman" w:hAnsi="Times New Roman"/>
          <w:b/>
          <w:lang w:eastAsia="ar-SA"/>
        </w:rPr>
      </w:pPr>
      <w:r w:rsidRPr="002C2D24">
        <w:rPr>
          <w:rFonts w:ascii="Times New Roman" w:eastAsia="Times New Roman" w:hAnsi="Times New Roman"/>
          <w:b/>
          <w:lang w:eastAsia="ar-SA"/>
        </w:rPr>
        <w:t xml:space="preserve">Table 1. </w:t>
      </w:r>
      <w:r w:rsidRPr="00481949">
        <w:rPr>
          <w:rFonts w:ascii="Times New Roman" w:eastAsia="Times New Roman" w:hAnsi="Times New Roman"/>
          <w:bCs/>
          <w:lang w:eastAsia="ar-SA"/>
        </w:rPr>
        <w:t>The results of expert validation on vocational and science education materials</w:t>
      </w:r>
    </w:p>
    <w:tbl>
      <w:tblPr>
        <w:tblW w:w="0" w:type="auto"/>
        <w:jc w:val="center"/>
        <w:tblBorders>
          <w:top w:val="single" w:sz="4" w:space="0" w:color="auto"/>
          <w:bottom w:val="single" w:sz="4" w:space="0" w:color="auto"/>
        </w:tblBorders>
        <w:tblLook w:val="04A0" w:firstRow="1" w:lastRow="0" w:firstColumn="1" w:lastColumn="0" w:noHBand="0" w:noVBand="1"/>
      </w:tblPr>
      <w:tblGrid>
        <w:gridCol w:w="540"/>
        <w:gridCol w:w="4929"/>
        <w:gridCol w:w="1272"/>
        <w:gridCol w:w="821"/>
      </w:tblGrid>
      <w:tr w:rsidR="00994707" w:rsidRPr="002C2D24" w14:paraId="1A96124E" w14:textId="77777777" w:rsidTr="00836CFA">
        <w:trPr>
          <w:trHeight w:val="20"/>
          <w:jc w:val="center"/>
        </w:trPr>
        <w:tc>
          <w:tcPr>
            <w:tcW w:w="0" w:type="auto"/>
            <w:tcBorders>
              <w:top w:val="single" w:sz="4" w:space="0" w:color="auto"/>
              <w:bottom w:val="single" w:sz="4" w:space="0" w:color="auto"/>
            </w:tcBorders>
            <w:shd w:val="clear" w:color="auto" w:fill="auto"/>
          </w:tcPr>
          <w:p w14:paraId="361D89CE" w14:textId="77777777" w:rsidR="00994707" w:rsidRPr="00481949" w:rsidRDefault="00994707" w:rsidP="00481949">
            <w:pPr>
              <w:suppressAutoHyphens/>
              <w:spacing w:after="0" w:line="240" w:lineRule="auto"/>
              <w:jc w:val="center"/>
              <w:rPr>
                <w:rFonts w:ascii="Times New Roman" w:eastAsia="Times New Roman" w:hAnsi="Times New Roman"/>
                <w:b/>
                <w:lang w:eastAsia="ar-SA"/>
              </w:rPr>
            </w:pPr>
            <w:r w:rsidRPr="00481949">
              <w:rPr>
                <w:rFonts w:ascii="Times New Roman" w:eastAsia="Times New Roman" w:hAnsi="Times New Roman"/>
                <w:b/>
                <w:lang w:eastAsia="ar-SA"/>
              </w:rPr>
              <w:t>No.</w:t>
            </w:r>
          </w:p>
        </w:tc>
        <w:tc>
          <w:tcPr>
            <w:tcW w:w="4929" w:type="dxa"/>
            <w:tcBorders>
              <w:top w:val="single" w:sz="4" w:space="0" w:color="auto"/>
              <w:bottom w:val="single" w:sz="4" w:space="0" w:color="auto"/>
            </w:tcBorders>
            <w:shd w:val="clear" w:color="auto" w:fill="auto"/>
          </w:tcPr>
          <w:p w14:paraId="263C63E7" w14:textId="77777777" w:rsidR="00994707" w:rsidRPr="00481949" w:rsidRDefault="00994707" w:rsidP="00481949">
            <w:pPr>
              <w:suppressAutoHyphens/>
              <w:spacing w:after="0" w:line="240" w:lineRule="auto"/>
              <w:jc w:val="center"/>
              <w:rPr>
                <w:rFonts w:ascii="Times New Roman" w:eastAsia="Times New Roman" w:hAnsi="Times New Roman"/>
                <w:b/>
                <w:lang w:eastAsia="ar-SA"/>
              </w:rPr>
            </w:pPr>
            <w:r w:rsidRPr="00481949">
              <w:rPr>
                <w:rFonts w:ascii="Times New Roman" w:eastAsia="Times New Roman" w:hAnsi="Times New Roman"/>
                <w:b/>
                <w:lang w:eastAsia="ar-SA"/>
              </w:rPr>
              <w:t>Indicator Items</w:t>
            </w:r>
          </w:p>
        </w:tc>
        <w:tc>
          <w:tcPr>
            <w:tcW w:w="1272" w:type="dxa"/>
            <w:tcBorders>
              <w:top w:val="single" w:sz="4" w:space="0" w:color="auto"/>
              <w:bottom w:val="single" w:sz="4" w:space="0" w:color="auto"/>
            </w:tcBorders>
            <w:shd w:val="clear" w:color="auto" w:fill="auto"/>
          </w:tcPr>
          <w:p w14:paraId="75D15401" w14:textId="77777777" w:rsidR="00994707" w:rsidRPr="00481949" w:rsidRDefault="00994707" w:rsidP="00481949">
            <w:pPr>
              <w:suppressAutoHyphens/>
              <w:spacing w:after="0" w:line="240" w:lineRule="auto"/>
              <w:jc w:val="center"/>
              <w:rPr>
                <w:rFonts w:ascii="Times New Roman" w:eastAsia="Times New Roman" w:hAnsi="Times New Roman"/>
                <w:b/>
                <w:lang w:eastAsia="ar-SA"/>
              </w:rPr>
            </w:pPr>
            <w:r w:rsidRPr="00481949">
              <w:rPr>
                <w:rFonts w:ascii="Times New Roman" w:eastAsia="Times New Roman" w:hAnsi="Times New Roman"/>
                <w:b/>
                <w:lang w:eastAsia="ar-SA"/>
              </w:rPr>
              <w:t>Score</w:t>
            </w:r>
          </w:p>
        </w:tc>
        <w:tc>
          <w:tcPr>
            <w:tcW w:w="0" w:type="auto"/>
            <w:tcBorders>
              <w:top w:val="single" w:sz="4" w:space="0" w:color="auto"/>
              <w:bottom w:val="single" w:sz="4" w:space="0" w:color="auto"/>
            </w:tcBorders>
            <w:shd w:val="clear" w:color="auto" w:fill="auto"/>
          </w:tcPr>
          <w:p w14:paraId="7A90A851" w14:textId="77777777" w:rsidR="00994707" w:rsidRPr="00481949" w:rsidRDefault="00994707" w:rsidP="00481949">
            <w:pPr>
              <w:suppressAutoHyphens/>
              <w:spacing w:after="0" w:line="240" w:lineRule="auto"/>
              <w:jc w:val="center"/>
              <w:rPr>
                <w:rFonts w:ascii="Times New Roman" w:eastAsia="Times New Roman" w:hAnsi="Times New Roman"/>
                <w:b/>
                <w:lang w:eastAsia="ar-SA"/>
              </w:rPr>
            </w:pPr>
            <w:r w:rsidRPr="00481949">
              <w:rPr>
                <w:rFonts w:ascii="Times New Roman" w:eastAsia="Times New Roman" w:hAnsi="Times New Roman"/>
                <w:b/>
                <w:lang w:eastAsia="ar-SA"/>
              </w:rPr>
              <w:t>%</w:t>
            </w:r>
          </w:p>
        </w:tc>
      </w:tr>
      <w:tr w:rsidR="00994707" w:rsidRPr="002C2D24" w14:paraId="3A77160C" w14:textId="77777777" w:rsidTr="00836CFA">
        <w:trPr>
          <w:trHeight w:val="20"/>
          <w:jc w:val="center"/>
        </w:trPr>
        <w:tc>
          <w:tcPr>
            <w:tcW w:w="0" w:type="auto"/>
            <w:tcBorders>
              <w:top w:val="single" w:sz="4" w:space="0" w:color="auto"/>
            </w:tcBorders>
            <w:shd w:val="clear" w:color="auto" w:fill="auto"/>
          </w:tcPr>
          <w:p w14:paraId="0A48FCF3"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1</w:t>
            </w:r>
          </w:p>
        </w:tc>
        <w:tc>
          <w:tcPr>
            <w:tcW w:w="4929" w:type="dxa"/>
            <w:tcBorders>
              <w:top w:val="single" w:sz="4" w:space="0" w:color="auto"/>
            </w:tcBorders>
            <w:shd w:val="clear" w:color="auto" w:fill="auto"/>
          </w:tcPr>
          <w:p w14:paraId="2D1CBC1D"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Linkage of target competencies with material</w:t>
            </w:r>
          </w:p>
        </w:tc>
        <w:tc>
          <w:tcPr>
            <w:tcW w:w="1272" w:type="dxa"/>
            <w:tcBorders>
              <w:top w:val="single" w:sz="4" w:space="0" w:color="auto"/>
            </w:tcBorders>
            <w:shd w:val="clear" w:color="auto" w:fill="auto"/>
            <w:vAlign w:val="center"/>
          </w:tcPr>
          <w:p w14:paraId="4269631A"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3.50</w:t>
            </w:r>
          </w:p>
        </w:tc>
        <w:tc>
          <w:tcPr>
            <w:tcW w:w="0" w:type="auto"/>
            <w:tcBorders>
              <w:top w:val="single" w:sz="4" w:space="0" w:color="auto"/>
            </w:tcBorders>
            <w:shd w:val="clear" w:color="auto" w:fill="auto"/>
            <w:vAlign w:val="center"/>
          </w:tcPr>
          <w:p w14:paraId="600BA99F"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87.50</w:t>
            </w:r>
          </w:p>
        </w:tc>
      </w:tr>
      <w:tr w:rsidR="00994707" w:rsidRPr="002C2D24" w14:paraId="304D4B46" w14:textId="77777777" w:rsidTr="00836CFA">
        <w:trPr>
          <w:trHeight w:val="20"/>
          <w:jc w:val="center"/>
        </w:trPr>
        <w:tc>
          <w:tcPr>
            <w:tcW w:w="0" w:type="auto"/>
            <w:shd w:val="clear" w:color="auto" w:fill="auto"/>
          </w:tcPr>
          <w:p w14:paraId="0595A9AC"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2</w:t>
            </w:r>
          </w:p>
        </w:tc>
        <w:tc>
          <w:tcPr>
            <w:tcW w:w="4929" w:type="dxa"/>
            <w:shd w:val="clear" w:color="auto" w:fill="auto"/>
          </w:tcPr>
          <w:p w14:paraId="599AE0C2"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The depth of the material on the aspects of learning objectives</w:t>
            </w:r>
          </w:p>
        </w:tc>
        <w:tc>
          <w:tcPr>
            <w:tcW w:w="1272" w:type="dxa"/>
            <w:shd w:val="clear" w:color="auto" w:fill="auto"/>
            <w:vAlign w:val="center"/>
          </w:tcPr>
          <w:p w14:paraId="25AD51F0"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4.00</w:t>
            </w:r>
          </w:p>
        </w:tc>
        <w:tc>
          <w:tcPr>
            <w:tcW w:w="0" w:type="auto"/>
            <w:shd w:val="clear" w:color="auto" w:fill="auto"/>
            <w:vAlign w:val="center"/>
          </w:tcPr>
          <w:p w14:paraId="052D2767"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100.00</w:t>
            </w:r>
          </w:p>
        </w:tc>
      </w:tr>
      <w:tr w:rsidR="00994707" w:rsidRPr="002C2D24" w14:paraId="0ACC1849" w14:textId="77777777" w:rsidTr="00836CFA">
        <w:trPr>
          <w:trHeight w:val="20"/>
          <w:jc w:val="center"/>
        </w:trPr>
        <w:tc>
          <w:tcPr>
            <w:tcW w:w="0" w:type="auto"/>
            <w:shd w:val="clear" w:color="auto" w:fill="auto"/>
          </w:tcPr>
          <w:p w14:paraId="204D8064"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3</w:t>
            </w:r>
          </w:p>
        </w:tc>
        <w:tc>
          <w:tcPr>
            <w:tcW w:w="4929" w:type="dxa"/>
            <w:shd w:val="clear" w:color="auto" w:fill="auto"/>
          </w:tcPr>
          <w:p w14:paraId="58434C80"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The effectiveness of material persuasion</w:t>
            </w:r>
          </w:p>
        </w:tc>
        <w:tc>
          <w:tcPr>
            <w:tcW w:w="1272" w:type="dxa"/>
            <w:shd w:val="clear" w:color="auto" w:fill="auto"/>
            <w:vAlign w:val="center"/>
          </w:tcPr>
          <w:p w14:paraId="28DAB1FA"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4.00</w:t>
            </w:r>
          </w:p>
        </w:tc>
        <w:tc>
          <w:tcPr>
            <w:tcW w:w="0" w:type="auto"/>
            <w:shd w:val="clear" w:color="auto" w:fill="auto"/>
            <w:vAlign w:val="center"/>
          </w:tcPr>
          <w:p w14:paraId="68EA97BD"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100.00</w:t>
            </w:r>
          </w:p>
        </w:tc>
      </w:tr>
      <w:tr w:rsidR="00994707" w:rsidRPr="002C2D24" w14:paraId="243B718D" w14:textId="77777777" w:rsidTr="00836CFA">
        <w:trPr>
          <w:trHeight w:val="20"/>
          <w:jc w:val="center"/>
        </w:trPr>
        <w:tc>
          <w:tcPr>
            <w:tcW w:w="0" w:type="auto"/>
            <w:shd w:val="clear" w:color="auto" w:fill="auto"/>
          </w:tcPr>
          <w:p w14:paraId="52CC6E34"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4</w:t>
            </w:r>
          </w:p>
        </w:tc>
        <w:tc>
          <w:tcPr>
            <w:tcW w:w="4929" w:type="dxa"/>
            <w:shd w:val="clear" w:color="auto" w:fill="auto"/>
          </w:tcPr>
          <w:p w14:paraId="07AC97E3" w14:textId="5C86EC58"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 xml:space="preserve">Performance standards relationship with </w:t>
            </w:r>
            <w:r w:rsidR="00054B5C">
              <w:rPr>
                <w:rFonts w:ascii="Times New Roman" w:eastAsia="Times New Roman" w:hAnsi="Times New Roman"/>
                <w:bCs/>
                <w:lang w:eastAsia="ar-SA"/>
              </w:rPr>
              <w:t xml:space="preserve">the </w:t>
            </w:r>
            <w:r w:rsidRPr="002C2D24">
              <w:rPr>
                <w:rFonts w:ascii="Times New Roman" w:eastAsia="Times New Roman" w:hAnsi="Times New Roman"/>
                <w:bCs/>
                <w:lang w:eastAsia="ar-SA"/>
              </w:rPr>
              <w:t>material</w:t>
            </w:r>
          </w:p>
        </w:tc>
        <w:tc>
          <w:tcPr>
            <w:tcW w:w="1272" w:type="dxa"/>
            <w:shd w:val="clear" w:color="auto" w:fill="auto"/>
            <w:vAlign w:val="center"/>
          </w:tcPr>
          <w:p w14:paraId="034B8E86"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3.50</w:t>
            </w:r>
          </w:p>
        </w:tc>
        <w:tc>
          <w:tcPr>
            <w:tcW w:w="0" w:type="auto"/>
            <w:shd w:val="clear" w:color="auto" w:fill="auto"/>
            <w:vAlign w:val="center"/>
          </w:tcPr>
          <w:p w14:paraId="04A760DB"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87.50</w:t>
            </w:r>
          </w:p>
        </w:tc>
      </w:tr>
      <w:tr w:rsidR="00994707" w:rsidRPr="002C2D24" w14:paraId="18D67523" w14:textId="77777777" w:rsidTr="00836CFA">
        <w:trPr>
          <w:trHeight w:val="20"/>
          <w:jc w:val="center"/>
        </w:trPr>
        <w:tc>
          <w:tcPr>
            <w:tcW w:w="0" w:type="auto"/>
            <w:shd w:val="clear" w:color="auto" w:fill="auto"/>
          </w:tcPr>
          <w:p w14:paraId="177FFD57"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5</w:t>
            </w:r>
          </w:p>
        </w:tc>
        <w:tc>
          <w:tcPr>
            <w:tcW w:w="4929" w:type="dxa"/>
            <w:shd w:val="clear" w:color="auto" w:fill="auto"/>
          </w:tcPr>
          <w:p w14:paraId="2426B601"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The power of matter to increase the stimulus</w:t>
            </w:r>
          </w:p>
        </w:tc>
        <w:tc>
          <w:tcPr>
            <w:tcW w:w="1272" w:type="dxa"/>
            <w:shd w:val="clear" w:color="auto" w:fill="auto"/>
            <w:vAlign w:val="center"/>
          </w:tcPr>
          <w:p w14:paraId="7C2119D1"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4.00</w:t>
            </w:r>
          </w:p>
        </w:tc>
        <w:tc>
          <w:tcPr>
            <w:tcW w:w="0" w:type="auto"/>
            <w:shd w:val="clear" w:color="auto" w:fill="auto"/>
            <w:vAlign w:val="center"/>
          </w:tcPr>
          <w:p w14:paraId="1CE85A21"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100.00</w:t>
            </w:r>
          </w:p>
        </w:tc>
      </w:tr>
      <w:tr w:rsidR="00994707" w:rsidRPr="002C2D24" w14:paraId="5A5E3B03" w14:textId="77777777" w:rsidTr="00836CFA">
        <w:trPr>
          <w:trHeight w:val="20"/>
          <w:jc w:val="center"/>
        </w:trPr>
        <w:tc>
          <w:tcPr>
            <w:tcW w:w="0" w:type="auto"/>
            <w:shd w:val="clear" w:color="auto" w:fill="auto"/>
          </w:tcPr>
          <w:p w14:paraId="76588EB0"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6</w:t>
            </w:r>
          </w:p>
        </w:tc>
        <w:tc>
          <w:tcPr>
            <w:tcW w:w="4929" w:type="dxa"/>
            <w:shd w:val="clear" w:color="auto" w:fill="auto"/>
          </w:tcPr>
          <w:p w14:paraId="3E66E103"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Presentation material relief</w:t>
            </w:r>
          </w:p>
        </w:tc>
        <w:tc>
          <w:tcPr>
            <w:tcW w:w="1272" w:type="dxa"/>
            <w:shd w:val="clear" w:color="auto" w:fill="auto"/>
            <w:vAlign w:val="center"/>
          </w:tcPr>
          <w:p w14:paraId="0BD2F94C"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4.00</w:t>
            </w:r>
          </w:p>
        </w:tc>
        <w:tc>
          <w:tcPr>
            <w:tcW w:w="0" w:type="auto"/>
            <w:shd w:val="clear" w:color="auto" w:fill="auto"/>
            <w:vAlign w:val="center"/>
          </w:tcPr>
          <w:p w14:paraId="37B29DD8"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100.00</w:t>
            </w:r>
          </w:p>
        </w:tc>
      </w:tr>
      <w:tr w:rsidR="00994707" w:rsidRPr="002C2D24" w14:paraId="5E01C4C3" w14:textId="77777777" w:rsidTr="00836CFA">
        <w:trPr>
          <w:trHeight w:val="20"/>
          <w:jc w:val="center"/>
        </w:trPr>
        <w:tc>
          <w:tcPr>
            <w:tcW w:w="0" w:type="auto"/>
            <w:shd w:val="clear" w:color="auto" w:fill="auto"/>
          </w:tcPr>
          <w:p w14:paraId="6C0AD03B"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7</w:t>
            </w:r>
          </w:p>
        </w:tc>
        <w:tc>
          <w:tcPr>
            <w:tcW w:w="4929" w:type="dxa"/>
            <w:shd w:val="clear" w:color="auto" w:fill="auto"/>
          </w:tcPr>
          <w:p w14:paraId="75E36815"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 xml:space="preserve">Material update with current information </w:t>
            </w:r>
          </w:p>
        </w:tc>
        <w:tc>
          <w:tcPr>
            <w:tcW w:w="1272" w:type="dxa"/>
            <w:shd w:val="clear" w:color="auto" w:fill="auto"/>
            <w:vAlign w:val="center"/>
          </w:tcPr>
          <w:p w14:paraId="301CE930"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3.50</w:t>
            </w:r>
          </w:p>
        </w:tc>
        <w:tc>
          <w:tcPr>
            <w:tcW w:w="0" w:type="auto"/>
            <w:shd w:val="clear" w:color="auto" w:fill="auto"/>
            <w:vAlign w:val="center"/>
          </w:tcPr>
          <w:p w14:paraId="602A9E24"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87.50</w:t>
            </w:r>
          </w:p>
        </w:tc>
      </w:tr>
    </w:tbl>
    <w:p w14:paraId="04E64615" w14:textId="77777777" w:rsidR="00994707" w:rsidRPr="002C2D24" w:rsidRDefault="00994707" w:rsidP="00994707">
      <w:pPr>
        <w:suppressAutoHyphens/>
        <w:spacing w:after="0" w:line="240" w:lineRule="auto"/>
        <w:jc w:val="both"/>
        <w:rPr>
          <w:rFonts w:ascii="Times New Roman" w:eastAsia="Times New Roman" w:hAnsi="Times New Roman"/>
          <w:color w:val="FF0000"/>
          <w:lang w:val="id-ID" w:eastAsia="ar-SA"/>
        </w:rPr>
      </w:pPr>
    </w:p>
    <w:p w14:paraId="111B53EC" w14:textId="77777777" w:rsidR="00F77F43" w:rsidRDefault="00994707" w:rsidP="00994707">
      <w:pPr>
        <w:suppressAutoHyphens/>
        <w:spacing w:after="0" w:line="240" w:lineRule="auto"/>
        <w:jc w:val="both"/>
        <w:rPr>
          <w:rFonts w:ascii="Times New Roman" w:eastAsia="Times New Roman" w:hAnsi="Times New Roman"/>
          <w:lang w:val="id-ID" w:eastAsia="ar-SA"/>
        </w:rPr>
      </w:pPr>
      <w:r w:rsidRPr="002C2D24">
        <w:rPr>
          <w:rFonts w:ascii="Times New Roman" w:eastAsia="Times New Roman" w:hAnsi="Times New Roman"/>
          <w:lang w:eastAsia="ar-SA"/>
        </w:rPr>
        <w:t>In Table 1, it is explained that there are five main indicator items used by material expert validators to analyze the products being developed. Furthermore, the results of the media expert validation are shown in Table 2.</w:t>
      </w:r>
    </w:p>
    <w:p w14:paraId="778514D6" w14:textId="77777777" w:rsidR="00903AD5" w:rsidRPr="00903AD5" w:rsidRDefault="00903AD5" w:rsidP="00994707">
      <w:pPr>
        <w:suppressAutoHyphens/>
        <w:spacing w:after="0" w:line="240" w:lineRule="auto"/>
        <w:jc w:val="both"/>
        <w:rPr>
          <w:rFonts w:ascii="Times New Roman" w:eastAsia="Times New Roman" w:hAnsi="Times New Roman"/>
          <w:lang w:val="id-ID" w:eastAsia="ar-SA"/>
        </w:rPr>
      </w:pPr>
    </w:p>
    <w:p w14:paraId="477D4E01" w14:textId="77777777" w:rsidR="00994707" w:rsidRPr="00903AD5" w:rsidRDefault="00994707" w:rsidP="00481949">
      <w:pPr>
        <w:suppressAutoHyphens/>
        <w:spacing w:after="0" w:line="240" w:lineRule="auto"/>
        <w:jc w:val="center"/>
        <w:rPr>
          <w:rFonts w:ascii="Times New Roman" w:eastAsia="Times New Roman" w:hAnsi="Times New Roman"/>
          <w:b/>
          <w:lang w:eastAsia="ar-SA"/>
        </w:rPr>
      </w:pPr>
      <w:r w:rsidRPr="00903AD5">
        <w:rPr>
          <w:rFonts w:ascii="Times New Roman" w:eastAsia="Times New Roman" w:hAnsi="Times New Roman"/>
          <w:b/>
          <w:bCs/>
          <w:lang w:eastAsia="ar-SA"/>
        </w:rPr>
        <w:t>Table 2.</w:t>
      </w:r>
      <w:r w:rsidRPr="00903AD5">
        <w:rPr>
          <w:rFonts w:ascii="Times New Roman" w:eastAsia="Times New Roman" w:hAnsi="Times New Roman"/>
          <w:b/>
          <w:lang w:eastAsia="ar-SA"/>
        </w:rPr>
        <w:t xml:space="preserve"> </w:t>
      </w:r>
      <w:r w:rsidRPr="00481949">
        <w:rPr>
          <w:rFonts w:ascii="Times New Roman" w:eastAsia="Times New Roman" w:hAnsi="Times New Roman"/>
          <w:bCs/>
          <w:lang w:eastAsia="ar-SA"/>
        </w:rPr>
        <w:t>The results of expert validation of online learning media</w:t>
      </w:r>
    </w:p>
    <w:tbl>
      <w:tblPr>
        <w:tblW w:w="0" w:type="auto"/>
        <w:jc w:val="center"/>
        <w:tblBorders>
          <w:top w:val="single" w:sz="4" w:space="0" w:color="auto"/>
          <w:bottom w:val="single" w:sz="4" w:space="0" w:color="auto"/>
        </w:tblBorders>
        <w:tblLook w:val="04A0" w:firstRow="1" w:lastRow="0" w:firstColumn="1" w:lastColumn="0" w:noHBand="0" w:noVBand="1"/>
      </w:tblPr>
      <w:tblGrid>
        <w:gridCol w:w="540"/>
        <w:gridCol w:w="5003"/>
        <w:gridCol w:w="1278"/>
        <w:gridCol w:w="821"/>
      </w:tblGrid>
      <w:tr w:rsidR="00994707" w:rsidRPr="002C2D24" w14:paraId="00476156" w14:textId="77777777" w:rsidTr="00836CFA">
        <w:trPr>
          <w:trHeight w:val="20"/>
          <w:jc w:val="center"/>
        </w:trPr>
        <w:tc>
          <w:tcPr>
            <w:tcW w:w="0" w:type="auto"/>
            <w:tcBorders>
              <w:top w:val="single" w:sz="4" w:space="0" w:color="auto"/>
              <w:bottom w:val="single" w:sz="4" w:space="0" w:color="auto"/>
            </w:tcBorders>
            <w:shd w:val="clear" w:color="auto" w:fill="auto"/>
          </w:tcPr>
          <w:p w14:paraId="2D26445F" w14:textId="77777777" w:rsidR="00994707" w:rsidRPr="00481949" w:rsidRDefault="00994707" w:rsidP="00481949">
            <w:pPr>
              <w:suppressAutoHyphens/>
              <w:spacing w:after="0" w:line="240" w:lineRule="auto"/>
              <w:jc w:val="center"/>
              <w:rPr>
                <w:rFonts w:ascii="Times New Roman" w:eastAsia="Times New Roman" w:hAnsi="Times New Roman"/>
                <w:b/>
                <w:lang w:eastAsia="ar-SA"/>
              </w:rPr>
            </w:pPr>
            <w:r w:rsidRPr="00481949">
              <w:rPr>
                <w:rFonts w:ascii="Times New Roman" w:eastAsia="Times New Roman" w:hAnsi="Times New Roman"/>
                <w:b/>
                <w:lang w:eastAsia="ar-SA"/>
              </w:rPr>
              <w:t>No.</w:t>
            </w:r>
          </w:p>
        </w:tc>
        <w:tc>
          <w:tcPr>
            <w:tcW w:w="5003" w:type="dxa"/>
            <w:tcBorders>
              <w:top w:val="single" w:sz="4" w:space="0" w:color="auto"/>
              <w:bottom w:val="single" w:sz="4" w:space="0" w:color="auto"/>
            </w:tcBorders>
            <w:shd w:val="clear" w:color="auto" w:fill="auto"/>
          </w:tcPr>
          <w:p w14:paraId="3019B958" w14:textId="77777777" w:rsidR="00994707" w:rsidRPr="00481949" w:rsidRDefault="00994707" w:rsidP="00481949">
            <w:pPr>
              <w:suppressAutoHyphens/>
              <w:spacing w:after="0" w:line="240" w:lineRule="auto"/>
              <w:jc w:val="center"/>
              <w:rPr>
                <w:rFonts w:ascii="Times New Roman" w:eastAsia="Times New Roman" w:hAnsi="Times New Roman"/>
                <w:b/>
                <w:lang w:eastAsia="ar-SA"/>
              </w:rPr>
            </w:pPr>
            <w:r w:rsidRPr="00481949">
              <w:rPr>
                <w:rFonts w:ascii="Times New Roman" w:eastAsia="Times New Roman" w:hAnsi="Times New Roman"/>
                <w:b/>
                <w:lang w:eastAsia="ar-SA"/>
              </w:rPr>
              <w:t>Indicator Items</w:t>
            </w:r>
          </w:p>
        </w:tc>
        <w:tc>
          <w:tcPr>
            <w:tcW w:w="1278" w:type="dxa"/>
            <w:tcBorders>
              <w:top w:val="single" w:sz="4" w:space="0" w:color="auto"/>
              <w:bottom w:val="single" w:sz="4" w:space="0" w:color="auto"/>
            </w:tcBorders>
            <w:shd w:val="clear" w:color="auto" w:fill="auto"/>
          </w:tcPr>
          <w:p w14:paraId="65E82DB9" w14:textId="77777777" w:rsidR="00994707" w:rsidRPr="00481949" w:rsidRDefault="00994707" w:rsidP="00481949">
            <w:pPr>
              <w:suppressAutoHyphens/>
              <w:spacing w:after="0" w:line="240" w:lineRule="auto"/>
              <w:jc w:val="center"/>
              <w:rPr>
                <w:rFonts w:ascii="Times New Roman" w:eastAsia="Times New Roman" w:hAnsi="Times New Roman"/>
                <w:b/>
                <w:lang w:eastAsia="ar-SA"/>
              </w:rPr>
            </w:pPr>
            <w:r w:rsidRPr="00481949">
              <w:rPr>
                <w:rFonts w:ascii="Times New Roman" w:eastAsia="Times New Roman" w:hAnsi="Times New Roman"/>
                <w:b/>
                <w:lang w:eastAsia="ar-SA"/>
              </w:rPr>
              <w:t>Score</w:t>
            </w:r>
          </w:p>
        </w:tc>
        <w:tc>
          <w:tcPr>
            <w:tcW w:w="0" w:type="auto"/>
            <w:tcBorders>
              <w:top w:val="single" w:sz="4" w:space="0" w:color="auto"/>
              <w:bottom w:val="single" w:sz="4" w:space="0" w:color="auto"/>
            </w:tcBorders>
            <w:shd w:val="clear" w:color="auto" w:fill="auto"/>
          </w:tcPr>
          <w:p w14:paraId="172EFA5C" w14:textId="77777777" w:rsidR="00994707" w:rsidRPr="00481949" w:rsidRDefault="00994707" w:rsidP="00481949">
            <w:pPr>
              <w:suppressAutoHyphens/>
              <w:spacing w:after="0" w:line="240" w:lineRule="auto"/>
              <w:jc w:val="center"/>
              <w:rPr>
                <w:rFonts w:ascii="Times New Roman" w:eastAsia="Times New Roman" w:hAnsi="Times New Roman"/>
                <w:b/>
                <w:lang w:eastAsia="ar-SA"/>
              </w:rPr>
            </w:pPr>
            <w:r w:rsidRPr="00481949">
              <w:rPr>
                <w:rFonts w:ascii="Times New Roman" w:eastAsia="Times New Roman" w:hAnsi="Times New Roman"/>
                <w:b/>
                <w:lang w:eastAsia="ar-SA"/>
              </w:rPr>
              <w:t>%</w:t>
            </w:r>
          </w:p>
        </w:tc>
      </w:tr>
      <w:tr w:rsidR="00994707" w:rsidRPr="002C2D24" w14:paraId="4AB89DED" w14:textId="77777777" w:rsidTr="00836CFA">
        <w:trPr>
          <w:trHeight w:val="20"/>
          <w:jc w:val="center"/>
        </w:trPr>
        <w:tc>
          <w:tcPr>
            <w:tcW w:w="0" w:type="auto"/>
            <w:tcBorders>
              <w:top w:val="single" w:sz="4" w:space="0" w:color="auto"/>
            </w:tcBorders>
            <w:shd w:val="clear" w:color="auto" w:fill="auto"/>
          </w:tcPr>
          <w:p w14:paraId="4D6DBF69"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1</w:t>
            </w:r>
          </w:p>
        </w:tc>
        <w:tc>
          <w:tcPr>
            <w:tcW w:w="5003" w:type="dxa"/>
            <w:tcBorders>
              <w:top w:val="single" w:sz="4" w:space="0" w:color="auto"/>
            </w:tcBorders>
            <w:shd w:val="clear" w:color="auto" w:fill="auto"/>
          </w:tcPr>
          <w:p w14:paraId="06550E91"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Application homepage serving model</w:t>
            </w:r>
          </w:p>
        </w:tc>
        <w:tc>
          <w:tcPr>
            <w:tcW w:w="1278" w:type="dxa"/>
            <w:tcBorders>
              <w:top w:val="single" w:sz="4" w:space="0" w:color="auto"/>
            </w:tcBorders>
            <w:shd w:val="clear" w:color="auto" w:fill="auto"/>
            <w:vAlign w:val="center"/>
          </w:tcPr>
          <w:p w14:paraId="081C965D"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3.50</w:t>
            </w:r>
          </w:p>
        </w:tc>
        <w:tc>
          <w:tcPr>
            <w:tcW w:w="0" w:type="auto"/>
            <w:tcBorders>
              <w:top w:val="single" w:sz="4" w:space="0" w:color="auto"/>
            </w:tcBorders>
            <w:shd w:val="clear" w:color="auto" w:fill="auto"/>
            <w:vAlign w:val="center"/>
          </w:tcPr>
          <w:p w14:paraId="4BC11E6A"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87.50</w:t>
            </w:r>
          </w:p>
        </w:tc>
      </w:tr>
      <w:tr w:rsidR="00994707" w:rsidRPr="002C2D24" w14:paraId="637031EB" w14:textId="77777777" w:rsidTr="00836CFA">
        <w:trPr>
          <w:trHeight w:val="20"/>
          <w:jc w:val="center"/>
        </w:trPr>
        <w:tc>
          <w:tcPr>
            <w:tcW w:w="0" w:type="auto"/>
            <w:shd w:val="clear" w:color="auto" w:fill="auto"/>
          </w:tcPr>
          <w:p w14:paraId="278F69A3"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2</w:t>
            </w:r>
          </w:p>
        </w:tc>
        <w:tc>
          <w:tcPr>
            <w:tcW w:w="5003" w:type="dxa"/>
            <w:shd w:val="clear" w:color="auto" w:fill="auto"/>
          </w:tcPr>
          <w:p w14:paraId="43D45234"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Application updates</w:t>
            </w:r>
          </w:p>
        </w:tc>
        <w:tc>
          <w:tcPr>
            <w:tcW w:w="1278" w:type="dxa"/>
            <w:shd w:val="clear" w:color="auto" w:fill="auto"/>
            <w:vAlign w:val="center"/>
          </w:tcPr>
          <w:p w14:paraId="43627360"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3.50</w:t>
            </w:r>
          </w:p>
        </w:tc>
        <w:tc>
          <w:tcPr>
            <w:tcW w:w="0" w:type="auto"/>
            <w:shd w:val="clear" w:color="auto" w:fill="auto"/>
            <w:vAlign w:val="center"/>
          </w:tcPr>
          <w:p w14:paraId="32F10597"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87.50</w:t>
            </w:r>
          </w:p>
        </w:tc>
      </w:tr>
      <w:tr w:rsidR="00994707" w:rsidRPr="002C2D24" w14:paraId="3F7AD8FA" w14:textId="77777777" w:rsidTr="00836CFA">
        <w:trPr>
          <w:trHeight w:val="20"/>
          <w:jc w:val="center"/>
        </w:trPr>
        <w:tc>
          <w:tcPr>
            <w:tcW w:w="0" w:type="auto"/>
            <w:shd w:val="clear" w:color="auto" w:fill="auto"/>
          </w:tcPr>
          <w:p w14:paraId="6237E9D2"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lastRenderedPageBreak/>
              <w:t>3</w:t>
            </w:r>
          </w:p>
        </w:tc>
        <w:tc>
          <w:tcPr>
            <w:tcW w:w="5003" w:type="dxa"/>
            <w:shd w:val="clear" w:color="auto" w:fill="auto"/>
          </w:tcPr>
          <w:p w14:paraId="16121B3F"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Selection of transition effects per page</w:t>
            </w:r>
          </w:p>
        </w:tc>
        <w:tc>
          <w:tcPr>
            <w:tcW w:w="1278" w:type="dxa"/>
            <w:shd w:val="clear" w:color="auto" w:fill="auto"/>
            <w:vAlign w:val="center"/>
          </w:tcPr>
          <w:p w14:paraId="4FAC0053"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3.33</w:t>
            </w:r>
          </w:p>
        </w:tc>
        <w:tc>
          <w:tcPr>
            <w:tcW w:w="0" w:type="auto"/>
            <w:shd w:val="clear" w:color="auto" w:fill="auto"/>
            <w:vAlign w:val="center"/>
          </w:tcPr>
          <w:p w14:paraId="14955216"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83.33</w:t>
            </w:r>
          </w:p>
        </w:tc>
      </w:tr>
      <w:tr w:rsidR="00994707" w:rsidRPr="002C2D24" w14:paraId="403CB2BB" w14:textId="77777777" w:rsidTr="00836CFA">
        <w:trPr>
          <w:trHeight w:val="20"/>
          <w:jc w:val="center"/>
        </w:trPr>
        <w:tc>
          <w:tcPr>
            <w:tcW w:w="0" w:type="auto"/>
            <w:shd w:val="clear" w:color="auto" w:fill="auto"/>
          </w:tcPr>
          <w:p w14:paraId="66E2D77E"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4</w:t>
            </w:r>
          </w:p>
        </w:tc>
        <w:tc>
          <w:tcPr>
            <w:tcW w:w="5003" w:type="dxa"/>
            <w:shd w:val="clear" w:color="auto" w:fill="auto"/>
          </w:tcPr>
          <w:p w14:paraId="2771F376"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Ease of operation by the user</w:t>
            </w:r>
          </w:p>
        </w:tc>
        <w:tc>
          <w:tcPr>
            <w:tcW w:w="1278" w:type="dxa"/>
            <w:shd w:val="clear" w:color="auto" w:fill="auto"/>
            <w:vAlign w:val="center"/>
          </w:tcPr>
          <w:p w14:paraId="5995C4EA"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3.50</w:t>
            </w:r>
          </w:p>
        </w:tc>
        <w:tc>
          <w:tcPr>
            <w:tcW w:w="0" w:type="auto"/>
            <w:shd w:val="clear" w:color="auto" w:fill="auto"/>
            <w:vAlign w:val="center"/>
          </w:tcPr>
          <w:p w14:paraId="61B0370C"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87.50</w:t>
            </w:r>
          </w:p>
        </w:tc>
      </w:tr>
      <w:tr w:rsidR="00994707" w:rsidRPr="002C2D24" w14:paraId="7B483737" w14:textId="77777777" w:rsidTr="00836CFA">
        <w:trPr>
          <w:trHeight w:val="20"/>
          <w:jc w:val="center"/>
        </w:trPr>
        <w:tc>
          <w:tcPr>
            <w:tcW w:w="0" w:type="auto"/>
            <w:shd w:val="clear" w:color="auto" w:fill="auto"/>
          </w:tcPr>
          <w:p w14:paraId="73A194EF"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5</w:t>
            </w:r>
          </w:p>
        </w:tc>
        <w:tc>
          <w:tcPr>
            <w:tcW w:w="5003" w:type="dxa"/>
            <w:shd w:val="clear" w:color="auto" w:fill="auto"/>
          </w:tcPr>
          <w:p w14:paraId="18DB8F56"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Content and content attractiveness</w:t>
            </w:r>
          </w:p>
        </w:tc>
        <w:tc>
          <w:tcPr>
            <w:tcW w:w="1278" w:type="dxa"/>
            <w:shd w:val="clear" w:color="auto" w:fill="auto"/>
            <w:vAlign w:val="center"/>
          </w:tcPr>
          <w:p w14:paraId="3A16891F"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4.00</w:t>
            </w:r>
          </w:p>
        </w:tc>
        <w:tc>
          <w:tcPr>
            <w:tcW w:w="0" w:type="auto"/>
            <w:shd w:val="clear" w:color="auto" w:fill="auto"/>
            <w:vAlign w:val="center"/>
          </w:tcPr>
          <w:p w14:paraId="0D972A8E"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100.00</w:t>
            </w:r>
          </w:p>
        </w:tc>
      </w:tr>
      <w:tr w:rsidR="00994707" w:rsidRPr="002C2D24" w14:paraId="0DCBDA1E" w14:textId="77777777" w:rsidTr="00836CFA">
        <w:trPr>
          <w:trHeight w:val="20"/>
          <w:jc w:val="center"/>
        </w:trPr>
        <w:tc>
          <w:tcPr>
            <w:tcW w:w="0" w:type="auto"/>
            <w:shd w:val="clear" w:color="auto" w:fill="auto"/>
          </w:tcPr>
          <w:p w14:paraId="1C7B2A93"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6</w:t>
            </w:r>
          </w:p>
        </w:tc>
        <w:tc>
          <w:tcPr>
            <w:tcW w:w="5003" w:type="dxa"/>
            <w:shd w:val="clear" w:color="auto" w:fill="auto"/>
          </w:tcPr>
          <w:p w14:paraId="3C1D0AF7"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Selection of themes for content</w:t>
            </w:r>
          </w:p>
        </w:tc>
        <w:tc>
          <w:tcPr>
            <w:tcW w:w="1278" w:type="dxa"/>
            <w:shd w:val="clear" w:color="auto" w:fill="auto"/>
            <w:vAlign w:val="center"/>
          </w:tcPr>
          <w:p w14:paraId="413A7D19"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3.33</w:t>
            </w:r>
          </w:p>
        </w:tc>
        <w:tc>
          <w:tcPr>
            <w:tcW w:w="0" w:type="auto"/>
            <w:shd w:val="clear" w:color="auto" w:fill="auto"/>
            <w:vAlign w:val="center"/>
          </w:tcPr>
          <w:p w14:paraId="7BDDF9FA"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83.33</w:t>
            </w:r>
          </w:p>
        </w:tc>
      </w:tr>
      <w:tr w:rsidR="00994707" w:rsidRPr="002C2D24" w14:paraId="3F1847CB" w14:textId="77777777" w:rsidTr="00836CFA">
        <w:trPr>
          <w:trHeight w:val="20"/>
          <w:jc w:val="center"/>
        </w:trPr>
        <w:tc>
          <w:tcPr>
            <w:tcW w:w="0" w:type="auto"/>
            <w:shd w:val="clear" w:color="auto" w:fill="auto"/>
          </w:tcPr>
          <w:p w14:paraId="607B72C2"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7</w:t>
            </w:r>
          </w:p>
        </w:tc>
        <w:tc>
          <w:tcPr>
            <w:tcW w:w="5003" w:type="dxa"/>
            <w:shd w:val="clear" w:color="auto" w:fill="auto"/>
          </w:tcPr>
          <w:p w14:paraId="7AEE6FB7"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Ease of user in using media</w:t>
            </w:r>
          </w:p>
        </w:tc>
        <w:tc>
          <w:tcPr>
            <w:tcW w:w="1278" w:type="dxa"/>
            <w:shd w:val="clear" w:color="auto" w:fill="auto"/>
            <w:vAlign w:val="center"/>
          </w:tcPr>
          <w:p w14:paraId="2840A742"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4.00</w:t>
            </w:r>
          </w:p>
        </w:tc>
        <w:tc>
          <w:tcPr>
            <w:tcW w:w="0" w:type="auto"/>
            <w:shd w:val="clear" w:color="auto" w:fill="auto"/>
            <w:vAlign w:val="center"/>
          </w:tcPr>
          <w:p w14:paraId="535D587B"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100.00</w:t>
            </w:r>
          </w:p>
        </w:tc>
      </w:tr>
      <w:tr w:rsidR="00994707" w:rsidRPr="002C2D24" w14:paraId="660572FB" w14:textId="77777777" w:rsidTr="00836CFA">
        <w:trPr>
          <w:trHeight w:val="20"/>
          <w:jc w:val="center"/>
        </w:trPr>
        <w:tc>
          <w:tcPr>
            <w:tcW w:w="0" w:type="auto"/>
            <w:shd w:val="clear" w:color="auto" w:fill="auto"/>
          </w:tcPr>
          <w:p w14:paraId="2186F9CF"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8</w:t>
            </w:r>
          </w:p>
        </w:tc>
        <w:tc>
          <w:tcPr>
            <w:tcW w:w="5003" w:type="dxa"/>
            <w:shd w:val="clear" w:color="auto" w:fill="auto"/>
          </w:tcPr>
          <w:p w14:paraId="522A437A"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Product competency level</w:t>
            </w:r>
          </w:p>
        </w:tc>
        <w:tc>
          <w:tcPr>
            <w:tcW w:w="1278" w:type="dxa"/>
            <w:shd w:val="clear" w:color="auto" w:fill="auto"/>
            <w:vAlign w:val="center"/>
          </w:tcPr>
          <w:p w14:paraId="3A6B91E3"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3.50</w:t>
            </w:r>
          </w:p>
        </w:tc>
        <w:tc>
          <w:tcPr>
            <w:tcW w:w="0" w:type="auto"/>
            <w:shd w:val="clear" w:color="auto" w:fill="auto"/>
            <w:vAlign w:val="center"/>
          </w:tcPr>
          <w:p w14:paraId="4BC880E3"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87.50</w:t>
            </w:r>
          </w:p>
        </w:tc>
      </w:tr>
      <w:tr w:rsidR="00994707" w:rsidRPr="002C2D24" w14:paraId="25201749" w14:textId="77777777" w:rsidTr="00836CFA">
        <w:trPr>
          <w:trHeight w:val="20"/>
          <w:jc w:val="center"/>
        </w:trPr>
        <w:tc>
          <w:tcPr>
            <w:tcW w:w="0" w:type="auto"/>
            <w:shd w:val="clear" w:color="auto" w:fill="auto"/>
          </w:tcPr>
          <w:p w14:paraId="7A190450"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9</w:t>
            </w:r>
          </w:p>
        </w:tc>
        <w:tc>
          <w:tcPr>
            <w:tcW w:w="5003" w:type="dxa"/>
            <w:shd w:val="clear" w:color="auto" w:fill="auto"/>
          </w:tcPr>
          <w:p w14:paraId="2CC757F1"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Complete application menu options</w:t>
            </w:r>
          </w:p>
        </w:tc>
        <w:tc>
          <w:tcPr>
            <w:tcW w:w="1278" w:type="dxa"/>
            <w:shd w:val="clear" w:color="auto" w:fill="auto"/>
            <w:vAlign w:val="center"/>
          </w:tcPr>
          <w:p w14:paraId="76857B29"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4.00</w:t>
            </w:r>
          </w:p>
        </w:tc>
        <w:tc>
          <w:tcPr>
            <w:tcW w:w="0" w:type="auto"/>
            <w:shd w:val="clear" w:color="auto" w:fill="auto"/>
            <w:vAlign w:val="center"/>
          </w:tcPr>
          <w:p w14:paraId="79D2C016"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100.00</w:t>
            </w:r>
          </w:p>
        </w:tc>
      </w:tr>
      <w:tr w:rsidR="00994707" w:rsidRPr="002C2D24" w14:paraId="22BA5CB0" w14:textId="77777777" w:rsidTr="00836CFA">
        <w:trPr>
          <w:trHeight w:val="20"/>
          <w:jc w:val="center"/>
        </w:trPr>
        <w:tc>
          <w:tcPr>
            <w:tcW w:w="0" w:type="auto"/>
            <w:shd w:val="clear" w:color="auto" w:fill="auto"/>
          </w:tcPr>
          <w:p w14:paraId="5B2A18C5"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10</w:t>
            </w:r>
          </w:p>
        </w:tc>
        <w:tc>
          <w:tcPr>
            <w:tcW w:w="5003" w:type="dxa"/>
            <w:shd w:val="clear" w:color="auto" w:fill="auto"/>
          </w:tcPr>
          <w:p w14:paraId="790521D1"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Interactive level of application</w:t>
            </w:r>
          </w:p>
        </w:tc>
        <w:tc>
          <w:tcPr>
            <w:tcW w:w="1278" w:type="dxa"/>
            <w:shd w:val="clear" w:color="auto" w:fill="auto"/>
            <w:vAlign w:val="center"/>
          </w:tcPr>
          <w:p w14:paraId="54EF507A"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4.00</w:t>
            </w:r>
          </w:p>
        </w:tc>
        <w:tc>
          <w:tcPr>
            <w:tcW w:w="0" w:type="auto"/>
            <w:shd w:val="clear" w:color="auto" w:fill="auto"/>
            <w:vAlign w:val="center"/>
          </w:tcPr>
          <w:p w14:paraId="7BEF3467" w14:textId="77777777" w:rsidR="00994707" w:rsidRPr="002C2D24" w:rsidRDefault="00994707" w:rsidP="00836CFA">
            <w:pPr>
              <w:suppressAutoHyphens/>
              <w:spacing w:after="0" w:line="240" w:lineRule="auto"/>
              <w:jc w:val="both"/>
              <w:rPr>
                <w:rFonts w:ascii="Times New Roman" w:eastAsia="Times New Roman" w:hAnsi="Times New Roman"/>
                <w:bCs/>
                <w:lang w:eastAsia="ar-SA"/>
              </w:rPr>
            </w:pPr>
            <w:r w:rsidRPr="002C2D24">
              <w:rPr>
                <w:rFonts w:ascii="Times New Roman" w:eastAsia="Times New Roman" w:hAnsi="Times New Roman"/>
                <w:bCs/>
                <w:lang w:eastAsia="ar-SA"/>
              </w:rPr>
              <w:t>100.00</w:t>
            </w:r>
          </w:p>
        </w:tc>
      </w:tr>
    </w:tbl>
    <w:p w14:paraId="62829CC9" w14:textId="77777777" w:rsidR="00994707" w:rsidRPr="002C2D24" w:rsidRDefault="00994707" w:rsidP="00994707">
      <w:pPr>
        <w:suppressAutoHyphens/>
        <w:spacing w:after="0" w:line="240" w:lineRule="auto"/>
        <w:jc w:val="both"/>
        <w:rPr>
          <w:rFonts w:ascii="Times New Roman" w:eastAsia="Times New Roman" w:hAnsi="Times New Roman"/>
          <w:color w:val="FF0000"/>
          <w:lang w:val="id-ID" w:eastAsia="ar-SA"/>
        </w:rPr>
      </w:pPr>
    </w:p>
    <w:p w14:paraId="47C5A47C" w14:textId="3F25C9A1" w:rsidR="00994707" w:rsidRPr="002C2D24" w:rsidRDefault="00994707" w:rsidP="00994707">
      <w:pPr>
        <w:suppressAutoHyphens/>
        <w:spacing w:after="0" w:line="240" w:lineRule="auto"/>
        <w:jc w:val="both"/>
        <w:rPr>
          <w:rFonts w:ascii="Times New Roman" w:eastAsia="Times New Roman" w:hAnsi="Times New Roman"/>
          <w:lang w:val="id-ID" w:eastAsia="ar-SA"/>
        </w:rPr>
      </w:pPr>
      <w:r w:rsidRPr="002C2D24">
        <w:rPr>
          <w:rFonts w:ascii="Times New Roman" w:eastAsia="Times New Roman" w:hAnsi="Times New Roman"/>
          <w:lang w:val="fr-FR" w:eastAsia="ar-SA"/>
        </w:rPr>
        <w:t>In Table 2</w:t>
      </w:r>
      <w:r w:rsidR="00054B5C">
        <w:rPr>
          <w:rFonts w:ascii="Times New Roman" w:eastAsia="Times New Roman" w:hAnsi="Times New Roman"/>
          <w:lang w:val="fr-FR" w:eastAsia="ar-SA"/>
        </w:rPr>
        <w:t>,</w:t>
      </w:r>
      <w:r w:rsidRPr="002C2D24">
        <w:rPr>
          <w:rFonts w:ascii="Times New Roman" w:eastAsia="Times New Roman" w:hAnsi="Times New Roman"/>
          <w:lang w:val="fr-FR" w:eastAsia="ar-SA"/>
        </w:rPr>
        <w:t xml:space="preserve"> it can be interpreted that there are ten main components of validation by online learning media experts. On the five indicator points (content and content attractiveness), the score obtained is 4.00 (100%), the nine indicator items (completeness of the application menu options) the score obtained is 4.00 (100%), and the ten indicator items (interactive level of application) the score obtained is 4.00 (100%).</w:t>
      </w:r>
    </w:p>
    <w:p w14:paraId="0443FE3F" w14:textId="77777777" w:rsidR="00994707" w:rsidRPr="00994707" w:rsidRDefault="00994707" w:rsidP="00C342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14:paraId="3F7D5828" w14:textId="77777777" w:rsidR="00B400D8" w:rsidRPr="00994707" w:rsidRDefault="00C34285" w:rsidP="00994707">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lang w:val="id-ID"/>
        </w:rPr>
        <w:t>Discussion</w:t>
      </w:r>
    </w:p>
    <w:p w14:paraId="46ABC2E2" w14:textId="77777777" w:rsidR="00B400D8" w:rsidRPr="00994707" w:rsidRDefault="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lang w:val="id-ID"/>
        </w:rPr>
      </w:pPr>
      <w:r>
        <w:rPr>
          <w:rFonts w:ascii="Times New Roman" w:eastAsia="Times New Roman" w:hAnsi="Times New Roman" w:cs="Times New Roman"/>
          <w:i/>
          <w:color w:val="000000"/>
          <w:lang w:val="id-ID"/>
        </w:rPr>
        <w:t>4.1. The component needs to improve the special skills of graduate vocational education students</w:t>
      </w:r>
    </w:p>
    <w:p w14:paraId="46603576" w14:textId="65FEC7D3" w:rsidR="00994707" w:rsidRDefault="00994707" w:rsidP="00994707">
      <w:pPr>
        <w:suppressAutoHyphens/>
        <w:spacing w:after="0" w:line="240" w:lineRule="auto"/>
        <w:jc w:val="both"/>
        <w:rPr>
          <w:rFonts w:ascii="Times New Roman" w:eastAsia="Times New Roman" w:hAnsi="Times New Roman"/>
          <w:lang w:val="id-ID" w:eastAsia="ar-SA"/>
        </w:rPr>
      </w:pPr>
      <w:r w:rsidRPr="002C2D24">
        <w:rPr>
          <w:rFonts w:ascii="Times New Roman" w:eastAsia="Times New Roman" w:hAnsi="Times New Roman"/>
          <w:lang w:val="id-ID" w:eastAsia="ar-SA"/>
        </w:rPr>
        <w:t>The first component o</w:t>
      </w:r>
      <w:r w:rsidR="00054B5C">
        <w:rPr>
          <w:rFonts w:ascii="Times New Roman" w:eastAsia="Times New Roman" w:hAnsi="Times New Roman"/>
          <w:lang w:val="id-ID" w:eastAsia="ar-SA"/>
        </w:rPr>
        <w:t>f</w:t>
      </w:r>
      <w:r w:rsidRPr="002C2D24">
        <w:rPr>
          <w:rFonts w:ascii="Times New Roman" w:eastAsia="Times New Roman" w:hAnsi="Times New Roman"/>
          <w:lang w:val="id-ID" w:eastAsia="ar-SA"/>
        </w:rPr>
        <w:t xml:space="preserve"> the need to improve special skills in vocational education graduate students is the development of ideas. In this realm, vocational education students should have capabilities related to vocational education. Vocational education is a real effort to improve the capabilities of vocational education students who must have special skills to prepare</w:t>
      </w:r>
      <w:r w:rsidR="008722D3">
        <w:rPr>
          <w:rFonts w:ascii="Times New Roman" w:eastAsia="Times New Roman" w:hAnsi="Times New Roman"/>
          <w:lang w:val="id-ID" w:eastAsia="ar-SA"/>
        </w:rPr>
        <w:t xml:space="preserve"> the needs of the world of work </w:t>
      </w:r>
      <w:r w:rsidR="00EE1CAD">
        <w:rPr>
          <w:rFonts w:ascii="Times New Roman" w:eastAsia="Times New Roman" w:hAnsi="Times New Roman"/>
          <w:lang w:val="id-ID" w:eastAsia="ar-SA"/>
        </w:rPr>
        <w:fldChar w:fldCharType="begin" w:fldLock="1"/>
      </w:r>
      <w:r w:rsidR="00A97263">
        <w:rPr>
          <w:rFonts w:ascii="Times New Roman" w:eastAsia="Times New Roman" w:hAnsi="Times New Roman"/>
          <w:lang w:val="id-ID" w:eastAsia="ar-SA"/>
        </w:rPr>
        <w:instrText>ADDIN CSL_CITATION {"citationItems":[{"id":"ITEM-1","itemData":{"DOI":"10.1080/13562517.2019.1672150","ISSN":"14701294","abstract":"Graduates’ employment outcomes remain a critical factor for all stakeholders in the sector. Positive graduate outcomes enhance students’ aspirations for a university, accountability to the government for funding, and as a proxy for university quality and curriculum relevance. However, with high unemployment rate, graduates feel unprepared for the world of work, while employers perceive graduates as lacking core employability soft-skills. Academics on their part struggle to integrate employability skills in the curriculum. Furthermore, globalisation, diversity in society and workplace, call for graduates with social and humane values. Informed by the Capability Approach, we argue that community service-learning (CSL) has the potential to enhance graduate employability skills while fostering human capabilities. From the analysis of qualitative data, critical thinking, communication skills, and teamwork; and capability for affiliation and dimension of agency were identified. We conclude that CSL enhances graduate outcomes beyond the narrow premise of training graduates solely for employment.","author":[{"dropping-particle":"","family":"Mtawa","given":"Ntimi","non-dropping-particle":"","parse-names":false,"suffix":""},{"dropping-particle":"","family":"Fongwa","given":"Samuel","non-dropping-particle":"","parse-names":false,"suffix":""},{"dropping-particle":"","family":"Wilson-Strydom","given":"Merridy","non-dropping-particle":"","parse-names":false,"suffix":""}],"container-title":"Teaching in Higher Education","id":"ITEM-1","issued":{"date-parts":[["2019"]]},"title":"Enhancing graduate employability attributes and capabilities formation: a service-learning approach","type":"article-journal"},"uris":["http://www.mendeley.com/documents/?uuid=caf35080-3e7e-487f-b800-666bc49803f7"]}],"mendeley":{"formattedCitation":"[11]","plainTextFormattedCitation":"[11]","previouslyFormattedCitation":"[10]"},"properties":{"noteIndex":0},"schema":"https://github.com/citation-style-language/schema/raw/master/csl-citation.json"}</w:instrText>
      </w:r>
      <w:r w:rsidR="00EE1CAD">
        <w:rPr>
          <w:rFonts w:ascii="Times New Roman" w:eastAsia="Times New Roman" w:hAnsi="Times New Roman"/>
          <w:lang w:val="id-ID" w:eastAsia="ar-SA"/>
        </w:rPr>
        <w:fldChar w:fldCharType="separate"/>
      </w:r>
      <w:r w:rsidR="00A97263" w:rsidRPr="00A97263">
        <w:rPr>
          <w:rFonts w:ascii="Times New Roman" w:eastAsia="Times New Roman" w:hAnsi="Times New Roman"/>
          <w:noProof/>
          <w:lang w:val="id-ID" w:eastAsia="ar-SA"/>
        </w:rPr>
        <w:t>[11]</w:t>
      </w:r>
      <w:r w:rsidR="00EE1CAD">
        <w:rPr>
          <w:rFonts w:ascii="Times New Roman" w:eastAsia="Times New Roman" w:hAnsi="Times New Roman"/>
          <w:lang w:val="id-ID" w:eastAsia="ar-SA"/>
        </w:rPr>
        <w:fldChar w:fldCharType="end"/>
      </w:r>
      <w:r w:rsidRPr="002C2D24">
        <w:rPr>
          <w:rFonts w:ascii="Times New Roman" w:eastAsia="Times New Roman" w:hAnsi="Times New Roman"/>
          <w:lang w:val="id-ID" w:eastAsia="ar-SA"/>
        </w:rPr>
        <w:t>. In this context, it can be concluded that vocational education should focus on developing the capabilities of its graduates. The components of these requirements are shown in Fig.</w:t>
      </w:r>
    </w:p>
    <w:p w14:paraId="73EFD624" w14:textId="77777777" w:rsidR="0023262E" w:rsidRPr="002C2D24" w:rsidRDefault="0023262E" w:rsidP="00994707">
      <w:pPr>
        <w:suppressAutoHyphens/>
        <w:spacing w:after="0" w:line="240" w:lineRule="auto"/>
        <w:jc w:val="both"/>
        <w:rPr>
          <w:rFonts w:ascii="Times New Roman" w:eastAsia="Times New Roman" w:hAnsi="Times New Roman"/>
          <w:lang w:val="id-ID" w:eastAsia="ar-SA"/>
        </w:rPr>
      </w:pPr>
    </w:p>
    <w:p w14:paraId="52F720F5" w14:textId="77777777" w:rsidR="00994707" w:rsidRPr="002C2D24" w:rsidRDefault="00994707" w:rsidP="00903AD5">
      <w:pPr>
        <w:suppressAutoHyphens/>
        <w:spacing w:after="0" w:line="240" w:lineRule="auto"/>
        <w:jc w:val="center"/>
        <w:rPr>
          <w:noProof/>
          <w:lang w:val="id-ID"/>
        </w:rPr>
      </w:pPr>
      <w:r>
        <w:rPr>
          <w:noProof/>
          <w:lang w:val="id-ID"/>
        </w:rPr>
        <w:drawing>
          <wp:inline distT="0" distB="0" distL="0" distR="0" wp14:anchorId="0CC7F764" wp14:editId="37D145FE">
            <wp:extent cx="5124450" cy="1752600"/>
            <wp:effectExtent l="0" t="19050" r="0" b="95250"/>
            <wp:docPr id="23" name="Diagram 2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F1C95CB" w14:textId="4EB8E426" w:rsidR="00903AD5" w:rsidRPr="00481949" w:rsidRDefault="00903AD5" w:rsidP="00481949">
      <w:pPr>
        <w:suppressAutoHyphens/>
        <w:spacing w:after="0" w:line="240" w:lineRule="auto"/>
        <w:jc w:val="center"/>
        <w:rPr>
          <w:rFonts w:ascii="Times New Roman" w:hAnsi="Times New Roman"/>
          <w:bCs/>
          <w:noProof/>
          <w:lang w:val="id-ID"/>
        </w:rPr>
      </w:pPr>
      <w:r w:rsidRPr="00C31061">
        <w:rPr>
          <w:rFonts w:ascii="Times New Roman" w:hAnsi="Times New Roman"/>
          <w:b/>
          <w:noProof/>
          <w:lang w:val="id-ID"/>
        </w:rPr>
        <w:t xml:space="preserve">Figure 3. </w:t>
      </w:r>
      <w:r w:rsidRPr="00481949">
        <w:rPr>
          <w:rFonts w:ascii="Times New Roman" w:hAnsi="Times New Roman"/>
          <w:bCs/>
          <w:noProof/>
          <w:lang w:val="id-ID"/>
        </w:rPr>
        <w:t>Components of the need to improve special skills</w:t>
      </w:r>
      <w:r w:rsidR="00481949">
        <w:rPr>
          <w:rFonts w:ascii="Times New Roman" w:hAnsi="Times New Roman"/>
          <w:bCs/>
          <w:noProof/>
          <w:lang w:val="en-US"/>
        </w:rPr>
        <w:t xml:space="preserve"> </w:t>
      </w:r>
      <w:r w:rsidRPr="00481949">
        <w:rPr>
          <w:rFonts w:ascii="Times New Roman" w:hAnsi="Times New Roman"/>
          <w:bCs/>
          <w:noProof/>
          <w:lang w:val="id-ID"/>
        </w:rPr>
        <w:t>in graduate vocational education students</w:t>
      </w:r>
    </w:p>
    <w:p w14:paraId="16AB75E0" w14:textId="77777777" w:rsidR="00994707" w:rsidRPr="002C2D24" w:rsidRDefault="00994707" w:rsidP="00994707">
      <w:pPr>
        <w:suppressAutoHyphens/>
        <w:spacing w:after="0" w:line="240" w:lineRule="auto"/>
        <w:jc w:val="both"/>
        <w:rPr>
          <w:noProof/>
          <w:lang w:val="id-ID"/>
        </w:rPr>
      </w:pPr>
    </w:p>
    <w:p w14:paraId="4AD5BFC8" w14:textId="3C2BFD83" w:rsidR="00994707" w:rsidRPr="002C2D24" w:rsidRDefault="00994707" w:rsidP="00994707">
      <w:pPr>
        <w:suppressAutoHyphens/>
        <w:spacing w:after="0" w:line="240" w:lineRule="auto"/>
        <w:jc w:val="both"/>
        <w:rPr>
          <w:rFonts w:ascii="Times New Roman" w:eastAsia="Times New Roman" w:hAnsi="Times New Roman"/>
          <w:b/>
          <w:lang w:val="id-ID" w:eastAsia="ar-SA"/>
        </w:rPr>
      </w:pPr>
      <w:r w:rsidRPr="002C2D24">
        <w:rPr>
          <w:rFonts w:ascii="Times New Roman" w:hAnsi="Times New Roman"/>
          <w:noProof/>
          <w:lang w:val="id-ID"/>
        </w:rPr>
        <w:t xml:space="preserve">Based on Figure 3, the second component that becomes a reference for improving special skills in vocational education graduate students is the use of infrastructure. In addition, the principles of vocational education are also guided by perceptions of industrial needs, so that the existing infrastructure in an educational institution must be able to become a replica of the industrial world in relation </w:t>
      </w:r>
      <w:r w:rsidR="008722D3">
        <w:rPr>
          <w:rFonts w:ascii="Times New Roman" w:hAnsi="Times New Roman"/>
          <w:noProof/>
          <w:lang w:val="id-ID"/>
        </w:rPr>
        <w:t xml:space="preserve">to the teaching factory concept </w:t>
      </w:r>
      <w:r w:rsidR="00833EC3">
        <w:rPr>
          <w:rFonts w:ascii="Times New Roman" w:hAnsi="Times New Roman"/>
          <w:noProof/>
          <w:lang w:val="id-ID"/>
        </w:rPr>
        <w:fldChar w:fldCharType="begin" w:fldLock="1"/>
      </w:r>
      <w:r w:rsidR="00A97263">
        <w:rPr>
          <w:rFonts w:ascii="Times New Roman" w:hAnsi="Times New Roman"/>
          <w:noProof/>
          <w:lang w:val="id-ID"/>
        </w:rPr>
        <w:instrText>ADDIN CSL_CITATION {"citationItems":[{"id":"ITEM-1","itemData":{"DOI":"10.1016/j.promfg.2018.04.025","ISSN":"23519789","abstract":"The existing learning factories cover a variety of learning environments. Each implementation of a learning factory looks differently and is used for a different purpose. Several of the newer learning factories have a focus on Industry 4.0 and demonstrate different implementation aspects, but some of them lack a significant hands-on component. Only a few learning factories implement several Industry 4.0 components and have a strong hands-on aspect. Any new implementation needs to identify the aspects on Industry 4.0 that are addressed and to decide the ratio between demonstrations and hands-on processes that answer the goal of the learning factory. A new implementation of a learning factory that uses several technologies included in the Industry 4.0 vision and has a strong experiential learning approach is presented. This implementation provides modern design and simulation, prototyping, manufacturing processes, including 3D metal printing resources, and automated assembly and testing systems that incorporate Industry 4.0 implementation strategy technologies such as Cyber-Physical Systems, Internet of Things, and Industrial Internet of Things.","author":[{"dropping-particle":"","family":"Elbestawi","given":"Mo","non-dropping-particle":"","parse-names":false,"suffix":""},{"dropping-particle":"","family":"Centea","given":"Dan","non-dropping-particle":"","parse-names":false,"suffix":""},{"dropping-particle":"","family":"Singh","given":"Ishwar","non-dropping-particle":"","parse-names":false,"suffix":""},{"dropping-particle":"","family":"Wanyama","given":"Tom","non-dropping-particle":"","parse-names":false,"suffix":""}],"container-title":"Procedia Manufacturing","id":"ITEM-1","issued":{"date-parts":[["2018"]]},"title":"SEPT Learning Factory for Industry 4.0 Education and Applied Research","type":"paper-conference"},"uris":["http://www.mendeley.com/documents/?uuid=c4e5d77a-4481-4d21-a259-bfeaaef9b531"]}],"mendeley":{"formattedCitation":"[12]","plainTextFormattedCitation":"[12]","previouslyFormattedCitation":"[11]"},"properties":{"noteIndex":0},"schema":"https://github.com/citation-style-language/schema/raw/master/csl-citation.json"}</w:instrText>
      </w:r>
      <w:r w:rsidR="00833EC3">
        <w:rPr>
          <w:rFonts w:ascii="Times New Roman" w:hAnsi="Times New Roman"/>
          <w:noProof/>
          <w:lang w:val="id-ID"/>
        </w:rPr>
        <w:fldChar w:fldCharType="separate"/>
      </w:r>
      <w:r w:rsidR="00A97263" w:rsidRPr="00A97263">
        <w:rPr>
          <w:rFonts w:ascii="Times New Roman" w:hAnsi="Times New Roman"/>
          <w:noProof/>
          <w:lang w:val="id-ID"/>
        </w:rPr>
        <w:t>[12]</w:t>
      </w:r>
      <w:r w:rsidR="00833EC3">
        <w:rPr>
          <w:rFonts w:ascii="Times New Roman" w:hAnsi="Times New Roman"/>
          <w:noProof/>
          <w:lang w:val="id-ID"/>
        </w:rPr>
        <w:fldChar w:fldCharType="end"/>
      </w:r>
      <w:r w:rsidRPr="002C2D24">
        <w:rPr>
          <w:rFonts w:ascii="Times New Roman" w:hAnsi="Times New Roman"/>
          <w:noProof/>
          <w:lang w:val="id-ID"/>
        </w:rPr>
        <w:t>. This refers to the industry's need for high adaptive abilities to work in an increasingly complex interdisciplinary work environment</w:t>
      </w:r>
      <w:r w:rsidR="008722D3">
        <w:rPr>
          <w:rFonts w:ascii="Times New Roman" w:hAnsi="Times New Roman"/>
          <w:noProof/>
          <w:lang w:val="id-ID"/>
        </w:rPr>
        <w:t xml:space="preserve"> </w:t>
      </w:r>
      <w:r w:rsidR="007C0A2D">
        <w:rPr>
          <w:rFonts w:ascii="Times New Roman" w:hAnsi="Times New Roman"/>
          <w:noProof/>
          <w:lang w:val="id-ID"/>
        </w:rPr>
        <w:fldChar w:fldCharType="begin" w:fldLock="1"/>
      </w:r>
      <w:r w:rsidR="00A97263">
        <w:rPr>
          <w:rFonts w:ascii="Times New Roman" w:hAnsi="Times New Roman"/>
          <w:noProof/>
          <w:lang w:val="id-ID"/>
        </w:rPr>
        <w:instrText>ADDIN CSL_CITATION {"citationItems":[{"id":"ITEM-1","itemData":{"DOI":"10.1111/jade.12231","ISSN":"14768070","abstract":"This article draws from a multi-disciplinary, multi-institutional research project on digital work practices and graduate work readiness. Utilising the concept of technology affordances, we focus on the potential for domain-specific learning experiences within design education. For the purpose of this project, we have articulated digital capabilities in design by adapting affordance categories in terms of three levels of complexity for scaffolded learning: functional, perceptual and adaptive. In order to further develop the relationship between technology affordances and design education, we analyse data from an industry roundtable in relation to our developed digital capability descriptor. The findings suggest that employers need designers with highly adaptive capabilities to work in increasingly complex interdisciplinary work environments. We also found that the role of designers has changed significantly in recent years that require higher educational institutions to involve industry when developing curricula.","author":[{"dropping-particle":"","family":"Crosby","given":"Alexandra","non-dropping-particle":"","parse-names":false,"suffix":""},{"dropping-particle":"","family":"Pham","given":"Kane","non-dropping-particle":"","parse-names":false,"suffix":""},{"dropping-particle":"","family":"Peterson","given":"J. Fiona","non-dropping-particle":"","parse-names":false,"suffix":""},{"dropping-particle":"","family":"Lee","given":"Thomas","non-dropping-particle":"","parse-names":false,"suffix":""}],"container-title":"International Journal of Art and Design Education","id":"ITEM-1","issued":{"date-parts":[["2020"]]},"title":"Digital Work Practices: Affordances in Design Education","type":"article-journal"},"uris":["http://www.mendeley.com/documents/?uuid=b61e7ac1-c917-4d7e-89dc-1748ddaba504"]}],"mendeley":{"formattedCitation":"[13]","plainTextFormattedCitation":"[13]","previouslyFormattedCitation":"[12]"},"properties":{"noteIndex":0},"schema":"https://github.com/citation-style-language/schema/raw/master/csl-citation.json"}</w:instrText>
      </w:r>
      <w:r w:rsidR="007C0A2D">
        <w:rPr>
          <w:rFonts w:ascii="Times New Roman" w:hAnsi="Times New Roman"/>
          <w:noProof/>
          <w:lang w:val="id-ID"/>
        </w:rPr>
        <w:fldChar w:fldCharType="separate"/>
      </w:r>
      <w:r w:rsidR="00A97263" w:rsidRPr="00A97263">
        <w:rPr>
          <w:rFonts w:ascii="Times New Roman" w:hAnsi="Times New Roman"/>
          <w:noProof/>
          <w:lang w:val="id-ID"/>
        </w:rPr>
        <w:t>[13]</w:t>
      </w:r>
      <w:r w:rsidR="007C0A2D">
        <w:rPr>
          <w:rFonts w:ascii="Times New Roman" w:hAnsi="Times New Roman"/>
          <w:noProof/>
          <w:lang w:val="id-ID"/>
        </w:rPr>
        <w:fldChar w:fldCharType="end"/>
      </w:r>
      <w:r w:rsidR="00212230">
        <w:rPr>
          <w:rFonts w:ascii="Times New Roman" w:hAnsi="Times New Roman"/>
          <w:noProof/>
          <w:lang w:val="id-ID"/>
        </w:rPr>
        <w:t xml:space="preserve">, </w:t>
      </w:r>
      <w:r w:rsidR="00212230">
        <w:rPr>
          <w:rFonts w:ascii="Times New Roman" w:hAnsi="Times New Roman"/>
          <w:noProof/>
          <w:lang w:val="id-ID"/>
        </w:rPr>
        <w:fldChar w:fldCharType="begin" w:fldLock="1"/>
      </w:r>
      <w:r w:rsidR="00A97263">
        <w:rPr>
          <w:rFonts w:ascii="Times New Roman" w:hAnsi="Times New Roman"/>
          <w:noProof/>
          <w:lang w:val="id-ID"/>
        </w:rPr>
        <w:instrText>ADDIN CSL_CITATION {"citationItems":[{"id":"ITEM-1","itemData":{"DOI":"10.17977/um048v24i2p47-54","ISSN":"0215-9643","abstract":"Abstract: Synchronization of the Potential of Industrial World with School Profiles Vocational to Improve Quality and Capability Graduates of Vocational Schools in Indonesia. This study aims to map: (1) the potential of the business and industry that has the opportunity to collaborate with vocational fields; (2) profile of vocational field school (SMK) business in improving the quality of education; and (3) synchronizing the potential of the industrial world with the business profile of the SMK. This re­search was conducted using qualitative methods. The research location was centered in the East Java region with samples divided into three regions, namely the northern region, the southern region, and the eastern region. This study reveals that: (1) the industrial world has the opportunity to establish coopera­tion with vocational schools, namely the handicraft industry, food processing, creative arts, engineering technology, processed seafood, and materials; (2) priority programs for Vocational Schools in East Java include: improvement in special expertise, school-based enterprise programs, demand-market-driven programs, hands on experience programs, production based education programs, on-the-job teacher training programs, on the job programs student training, classical indoor and outdoor programs, training to be entrepreneur programs, and center test recruitment programs; and (3) synchronizing the map of the potential of the industrial world that has the opportunity to establish cooperation with vocational schools with a profile of Vocational Schools is very necessary because it can improve the quality and capability of vocational graduates.","author":[{"dropping-particle":"","family":"Mukhadis","given":"Amat","non-dropping-particle":"","parse-names":false,"suffix":""},{"dropping-particle":"","family":"Ulfatin","given":"Nurul","non-dropping-particle":"","parse-names":false,"suffix":""},{"dropping-particle":"","family":"Putra","given":"Andika Bagus Nur Rahma","non-dropping-particle":"","parse-names":false,"suffix":""}],"container-title":"Jurnal Ilmu Pendidikan","id":"ITEM-1","issued":{"date-parts":[["2019"]]},"title":"SYNCHRONIZATION OF THE POTENTIAL OF INDUSTRIAL WORLD WITH SCHOOL PROFILES VOCATIONAL TO IMPROVE QUALITY AND CAPABILITY GRADUATES OF VOCATIONAL SCHOOLS IN INDONESIA","type":"article-journal"},"uris":["http://www.mendeley.com/documents/?uuid=5e4245bf-1bda-4a7f-b645-9d79f290e41a"]}],"mendeley":{"formattedCitation":"[14]","plainTextFormattedCitation":"[14]","previouslyFormattedCitation":"[13]"},"properties":{"noteIndex":0},"schema":"https://github.com/citation-style-language/schema/raw/master/csl-citation.json"}</w:instrText>
      </w:r>
      <w:r w:rsidR="00212230">
        <w:rPr>
          <w:rFonts w:ascii="Times New Roman" w:hAnsi="Times New Roman"/>
          <w:noProof/>
          <w:lang w:val="id-ID"/>
        </w:rPr>
        <w:fldChar w:fldCharType="separate"/>
      </w:r>
      <w:r w:rsidR="00A97263" w:rsidRPr="00A97263">
        <w:rPr>
          <w:rFonts w:ascii="Times New Roman" w:hAnsi="Times New Roman"/>
          <w:noProof/>
          <w:lang w:val="id-ID"/>
        </w:rPr>
        <w:t>[14]</w:t>
      </w:r>
      <w:r w:rsidR="00212230">
        <w:rPr>
          <w:rFonts w:ascii="Times New Roman" w:hAnsi="Times New Roman"/>
          <w:noProof/>
          <w:lang w:val="id-ID"/>
        </w:rPr>
        <w:fldChar w:fldCharType="end"/>
      </w:r>
      <w:r w:rsidR="007C0A2D">
        <w:rPr>
          <w:rFonts w:ascii="Times New Roman" w:hAnsi="Times New Roman"/>
          <w:noProof/>
          <w:lang w:val="id-ID"/>
        </w:rPr>
        <w:t>.</w:t>
      </w:r>
    </w:p>
    <w:p w14:paraId="052B3859" w14:textId="77777777" w:rsidR="00994707" w:rsidRPr="00994707" w:rsidRDefault="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14:paraId="661D55E4" w14:textId="77777777" w:rsidR="00994707" w:rsidRPr="00994707" w:rsidRDefault="00994707" w:rsidP="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lang w:val="id-ID"/>
        </w:rPr>
      </w:pPr>
      <w:r>
        <w:rPr>
          <w:rFonts w:ascii="Times New Roman" w:eastAsia="Times New Roman" w:hAnsi="Times New Roman" w:cs="Times New Roman"/>
          <w:i/>
          <w:color w:val="000000"/>
          <w:lang w:val="id-ID"/>
        </w:rPr>
        <w:t>4.2. The attraction of 3D-modeling based augmented reality learning technology</w:t>
      </w:r>
    </w:p>
    <w:p w14:paraId="0E750870" w14:textId="77777777" w:rsidR="00994707" w:rsidRPr="00994707" w:rsidRDefault="00994707" w:rsidP="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994707">
        <w:rPr>
          <w:rFonts w:ascii="Times New Roman" w:eastAsia="Times New Roman" w:hAnsi="Times New Roman" w:cs="Times New Roman"/>
          <w:color w:val="000000"/>
        </w:rPr>
        <w:t>In this development research, the product developed has a fairly high attractiveness value. This is evidenced by the average percentage value of vocational and science education material experts by 95% and online learning media experts by 92%. At the validation stage, there are eight main indicators that have very good attractiveness values.</w:t>
      </w:r>
    </w:p>
    <w:p w14:paraId="3AD166C9" w14:textId="706CCB45" w:rsidR="00994707" w:rsidRPr="00994707" w:rsidRDefault="00994707" w:rsidP="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994707">
        <w:rPr>
          <w:rFonts w:ascii="Times New Roman" w:eastAsia="Times New Roman" w:hAnsi="Times New Roman" w:cs="Times New Roman"/>
          <w:color w:val="000000"/>
        </w:rPr>
        <w:lastRenderedPageBreak/>
        <w:t>In principle, the meaning of learning technology is anything that can be used as a learning support tool that focuses on achieving learning objectives to prepare the demands and challenges of the industrial world by placing students as su</w:t>
      </w:r>
      <w:r w:rsidR="008722D3">
        <w:rPr>
          <w:rFonts w:ascii="Times New Roman" w:eastAsia="Times New Roman" w:hAnsi="Times New Roman" w:cs="Times New Roman"/>
          <w:color w:val="000000"/>
        </w:rPr>
        <w:t>bjects in learning</w:t>
      </w:r>
      <w:r w:rsidRPr="00994707">
        <w:rPr>
          <w:rFonts w:ascii="Times New Roman" w:eastAsia="Times New Roman" w:hAnsi="Times New Roman" w:cs="Times New Roman"/>
          <w:color w:val="000000"/>
        </w:rPr>
        <w:t xml:space="preserve"> </w:t>
      </w:r>
      <w:r w:rsidR="000237B4">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{"citationItems":[{"id":"ITEM-1","itemData":{"DOI":"10.1016/j.compedu.2020.103857","ISSN":"03601315","abstract":"Learning technologies are implemented in higher education institutions to enhance teaching and meet external challenges and demands. The adoption of the technologies by academics, however, frequently falls short of organisational aspirations. Academics respond in different and sometimes unpredictable ways. To advance understanding of factors influencing adoption, we systematically reviewed literature regarding academics' adoption of learning technologies. One hundred and thirty-one articles met the inclusion criteria and were analysed. The findings suggest that adoption is a complex process that is influenced by the learning technology, academics, context and strategies. To advance our understanding of learning technology adoption, we call for studies that challenge the current research assumption and address methodological issues. To facilitate staff adoption, we identify a list of effective strategies derived from the literature.","author":[{"dropping-particle":"","family":"Liu","given":"Qian","non-dropping-particle":"","parse-names":false,"suffix":""},{"dropping-particle":"","family":"Geertshuis","given":"Susan","non-dropping-particle":"","parse-names":false,"suffix":""},{"dropping-particle":"","family":"Grainger","given":"Rebecca","non-dropping-particle":"","parse-names":false,"suffix":""}],"container-title":"Computers and Education","id":"ITEM-1","issued":{"date-parts":[["2020"]]},"title":"Understanding academics' adoption of learning technologies: A systematic review","type":"article-journal"},"uris":["http://www.mendeley.com/documents/?uuid=d7d327cb-95c3-4a89-a2c6-b6d0683d74c5"]}],"mendeley":{"formattedCitation":"[15]","plainTextFormattedCitation":"[15]","previouslyFormattedCitation":"[14]"},"properties":{"noteIndex":0},"schema":"https://github.com/citation-style-language/schema/raw/master/csl-citation.json"}</w:instrText>
      </w:r>
      <w:r w:rsidR="000237B4">
        <w:rPr>
          <w:rFonts w:ascii="Times New Roman" w:eastAsia="Times New Roman" w:hAnsi="Times New Roman" w:cs="Times New Roman"/>
          <w:color w:val="000000"/>
          <w:lang w:val="id-ID"/>
        </w:rPr>
        <w:fldChar w:fldCharType="separate"/>
      </w:r>
      <w:r w:rsidR="00A97263" w:rsidRPr="00A97263">
        <w:rPr>
          <w:rFonts w:ascii="Times New Roman" w:eastAsia="Times New Roman" w:hAnsi="Times New Roman" w:cs="Times New Roman"/>
          <w:noProof/>
          <w:color w:val="000000"/>
          <w:lang w:val="id-ID"/>
        </w:rPr>
        <w:t>[15]</w:t>
      </w:r>
      <w:r w:rsidR="000237B4">
        <w:rPr>
          <w:rFonts w:ascii="Times New Roman" w:eastAsia="Times New Roman" w:hAnsi="Times New Roman" w:cs="Times New Roman"/>
          <w:color w:val="000000"/>
          <w:lang w:val="id-ID"/>
        </w:rPr>
        <w:fldChar w:fldCharType="end"/>
      </w:r>
      <w:r w:rsidR="000237B4">
        <w:rPr>
          <w:rFonts w:ascii="Times New Roman" w:eastAsia="Times New Roman" w:hAnsi="Times New Roman" w:cs="Times New Roman"/>
          <w:color w:val="000000"/>
          <w:lang w:val="id-ID"/>
        </w:rPr>
        <w:t xml:space="preserve">, </w:t>
      </w:r>
      <w:r w:rsidR="000237B4">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{"citationItems":[{"id":"ITEM-1","itemData":{"DOI":"10.29333/iji.2020.13326a","ISSN":"13081470","abstract":"The purpose of the research is to analyse the use of active learning technologies in training students and to assess the effectiveness of their use in the teaching process in secondary vocational education. In order to verify the effectiveness of the developed pedagogical methods, methods of experimental work and analysis of the obtained data were applied. The authors also used survey and testing methods among students of an educational organization for professional motivation, obtaining a significant amount of data. In order to identify the resulting changes, testing of students was repeated at the final stage of the study. The authors have substantiated the use of active learning technologies in the formation of career motivation of students of secondary vocational education. The essence of technology is in enhancement of the student's position as a subject in the educational process. The effectiveness of pedagogical environment for active learning technologies in the formation of career motivation in secondary vocational education students has been experimentally substantiated.","author":[{"dropping-particle":"","family":"Bochkareva","given":"Tatyana Nikolaevna","non-dropping-particle":"","parse-names":false,"suffix":""},{"dropping-particle":"","family":"Akhmetshin","given":"Elvir Munirovich","non-dropping-particle":"","parse-names":false,"suffix":""},{"dropping-particle":"","family":"Zekiy","given":"Angelina Olegovna","non-dropping-particle":"","parse-names":false,"suffix":""},{"dropping-particle":"","family":"Moiseev","given":"Arkadiy Viktorovich","non-dropping-particle":"","parse-names":false,"suffix":""},{"dropping-particle":"","family":"Belomestnova","given":"Margarita Evgenevna","non-dropping-particle":"","parse-names":false,"suffix":""},{"dropping-particle":"","family":"Savelyeva","given":"Irina Aleksandrovna","non-dropping-particle":"","parse-names":false,"suffix":""},{"dropping-particle":"","family":"Aleynikova","given":"Olga Sergeevna","non-dropping-particle":"","parse-names":false,"suffix":""}],"container-title":"International Journal of Instruction","id":"ITEM-1","issued":{"date-parts":[["2020"]]},"title":"The analysis of using active learning technology in institutions of secondary vocational education","type":"article-journal"},"uris":["http://www.mendeley.com/documents/?uuid=c417d7ae-c4af-4633-9e54-8873245a4e97"]}],"mendeley":{"formattedCitation":"[16]","plainTextFormattedCitation":"[16]","previouslyFormattedCitation":"[15]"},"properties":{"noteIndex":0},"schema":"https://github.com/citation-style-language/schema/raw/master/csl-citation.json"}</w:instrText>
      </w:r>
      <w:r w:rsidR="000237B4">
        <w:rPr>
          <w:rFonts w:ascii="Times New Roman" w:eastAsia="Times New Roman" w:hAnsi="Times New Roman" w:cs="Times New Roman"/>
          <w:color w:val="000000"/>
          <w:lang w:val="id-ID"/>
        </w:rPr>
        <w:fldChar w:fldCharType="separate"/>
      </w:r>
      <w:r w:rsidR="00A97263" w:rsidRPr="00A97263">
        <w:rPr>
          <w:rFonts w:ascii="Times New Roman" w:eastAsia="Times New Roman" w:hAnsi="Times New Roman" w:cs="Times New Roman"/>
          <w:noProof/>
          <w:color w:val="000000"/>
          <w:lang w:val="id-ID"/>
        </w:rPr>
        <w:t>[16]</w:t>
      </w:r>
      <w:r w:rsidR="000237B4">
        <w:rPr>
          <w:rFonts w:ascii="Times New Roman" w:eastAsia="Times New Roman" w:hAnsi="Times New Roman" w:cs="Times New Roman"/>
          <w:color w:val="000000"/>
          <w:lang w:val="id-ID"/>
        </w:rPr>
        <w:fldChar w:fldCharType="end"/>
      </w:r>
      <w:r w:rsidRPr="00994707">
        <w:rPr>
          <w:rFonts w:ascii="Times New Roman" w:eastAsia="Times New Roman" w:hAnsi="Times New Roman" w:cs="Times New Roman"/>
          <w:color w:val="000000"/>
        </w:rPr>
        <w:t>. In innovative learning technology, the form of learning media must be concise, simple</w:t>
      </w:r>
      <w:r w:rsidR="00054B5C">
        <w:rPr>
          <w:rFonts w:ascii="Times New Roman" w:eastAsia="Times New Roman" w:hAnsi="Times New Roman" w:cs="Times New Roman"/>
          <w:color w:val="000000"/>
        </w:rPr>
        <w:t>,</w:t>
      </w:r>
      <w:r w:rsidRPr="00994707">
        <w:rPr>
          <w:rFonts w:ascii="Times New Roman" w:eastAsia="Times New Roman" w:hAnsi="Times New Roman" w:cs="Times New Roman"/>
          <w:color w:val="000000"/>
        </w:rPr>
        <w:t xml:space="preserve"> and attractive to users. The important thing that becomes a reference in developing a learning media is related to the quality of the material being developed. The depth of the material is related to the competencies to be achieved. Achievement of competencies is influenced by the effectiveness of the material being developed</w:t>
      </w:r>
      <w:r w:rsidR="00054B5C">
        <w:rPr>
          <w:rFonts w:ascii="Times New Roman" w:eastAsia="Times New Roman" w:hAnsi="Times New Roman" w:cs="Times New Roman"/>
          <w:color w:val="000000"/>
        </w:rPr>
        <w:t>;</w:t>
      </w:r>
      <w:r w:rsidRPr="00994707">
        <w:rPr>
          <w:rFonts w:ascii="Times New Roman" w:eastAsia="Times New Roman" w:hAnsi="Times New Roman" w:cs="Times New Roman"/>
          <w:color w:val="000000"/>
        </w:rPr>
        <w:t xml:space="preserve"> the development of the material rests on student characteristics. The concept must be clearly delineated, easy to understand, and have good relevance to competence. The novelty of the material with the latest information developments is also absolutely manifested in the development of material in learning media. This is in accordance with the characteristics of the AR technology that has been developed. In this technology, the material is designed to precisely achieve learning objectives through meaningful messages. This is supported by the selection of relevant and appropriate content and material content to communicate competence. Although Augmented Reality is attractive, there is a need for good content, implementation</w:t>
      </w:r>
      <w:r w:rsidR="00054B5C">
        <w:rPr>
          <w:rFonts w:ascii="Times New Roman" w:eastAsia="Times New Roman" w:hAnsi="Times New Roman" w:cs="Times New Roman"/>
          <w:color w:val="000000"/>
        </w:rPr>
        <w:t>,</w:t>
      </w:r>
      <w:r w:rsidRPr="00994707">
        <w:rPr>
          <w:rFonts w:ascii="Times New Roman" w:eastAsia="Times New Roman" w:hAnsi="Times New Roman" w:cs="Times New Roman"/>
          <w:color w:val="000000"/>
        </w:rPr>
        <w:t xml:space="preserve"> and evaluation, as in any technology integration process</w:t>
      </w:r>
      <w:r w:rsidR="008722D3">
        <w:rPr>
          <w:rFonts w:ascii="Times New Roman" w:eastAsia="Times New Roman" w:hAnsi="Times New Roman" w:cs="Times New Roman"/>
          <w:color w:val="000000"/>
          <w:lang w:val="id-ID"/>
        </w:rPr>
        <w:t xml:space="preserve"> </w:t>
      </w:r>
      <w:r w:rsidR="001770B6">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{"citationItems":[{"id":"ITEM-1","itemData":{"DOI":"10.1007/s10639-019-10001-9","ISSN":"15737608","abstract":"Augmented reality technology has recently become one of the primary technologies for science education. Although augmented reality is attractive, a need exists for good content, implementation, and evaluations, as in every technology integration process. To this end, this study aims to develop and evaluate an augmented reality application to teach fifth grade students about electrical currents. For this purpose, students’ attitudes toward augmented reality applications and science and technology courses were examined using two course designs. In the first design, the students were taught an augmented reality assisted electrical circuit lesson in a group, while, in the second design, the students studied individually. The attitudes of the students studying individually toward the augmented reality applications were significantly higher than the students studying in a group. However, no significant differences existed in the students’ attitudes toward science and technology courses. Class observations and teacher interviews provided details about the classroom implications of augmented reality.","author":[{"dropping-particle":"","family":"Baran","given":"Bahar","non-dropping-particle":"","parse-names":false,"suffix":""},{"dropping-particle":"","family":"Yecan","given":"Esra","non-dropping-particle":"","parse-names":false,"suffix":""},{"dropping-particle":"","family":"Kaptan","given":"Burak","non-dropping-particle":"","parse-names":false,"suffix":""},{"dropping-particle":"","family":"Paşayiğit","given":"Ozan","non-dropping-particle":"","parse-names":false,"suffix":""}],"container-title":"Education and Information Technologies","id":"ITEM-1","issued":{"date-parts":[["2020"]]},"title":"Using augmented reality to teach fifth grade students about electrical circuits","type":"article-journal"},"uris":["http://www.mendeley.com/documents/?uuid=f5a677d5-0ce0-4442-b28f-49f70371eb62"]}],"mendeley":{"formattedCitation":"[17]","plainTextFormattedCitation":"[17]","previouslyFormattedCitation":"[16]"},"properties":{"noteIndex":0},"schema":"https://github.com/citation-style-language/schema/raw/master/csl-citation.json"}</w:instrText>
      </w:r>
      <w:r w:rsidR="001770B6">
        <w:rPr>
          <w:rFonts w:ascii="Times New Roman" w:eastAsia="Times New Roman" w:hAnsi="Times New Roman" w:cs="Times New Roman"/>
          <w:color w:val="000000"/>
          <w:lang w:val="id-ID"/>
        </w:rPr>
        <w:fldChar w:fldCharType="separate"/>
      </w:r>
      <w:r w:rsidR="00A97263" w:rsidRPr="00A97263">
        <w:rPr>
          <w:rFonts w:ascii="Times New Roman" w:eastAsia="Times New Roman" w:hAnsi="Times New Roman" w:cs="Times New Roman"/>
          <w:noProof/>
          <w:color w:val="000000"/>
          <w:lang w:val="id-ID"/>
        </w:rPr>
        <w:t>[17]</w:t>
      </w:r>
      <w:r w:rsidR="001770B6">
        <w:rPr>
          <w:rFonts w:ascii="Times New Roman" w:eastAsia="Times New Roman" w:hAnsi="Times New Roman" w:cs="Times New Roman"/>
          <w:color w:val="000000"/>
          <w:lang w:val="id-ID"/>
        </w:rPr>
        <w:fldChar w:fldCharType="end"/>
      </w:r>
      <w:r w:rsidRPr="00994707">
        <w:rPr>
          <w:rFonts w:ascii="Times New Roman" w:eastAsia="Times New Roman" w:hAnsi="Times New Roman" w:cs="Times New Roman"/>
          <w:color w:val="000000"/>
        </w:rPr>
        <w:t>.</w:t>
      </w:r>
    </w:p>
    <w:p w14:paraId="0E610C68" w14:textId="71765879" w:rsidR="00994707" w:rsidRPr="000F1FF7" w:rsidRDefault="00994707" w:rsidP="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sidRPr="00994707">
        <w:rPr>
          <w:rFonts w:ascii="Times New Roman" w:eastAsia="Times New Roman" w:hAnsi="Times New Roman" w:cs="Times New Roman"/>
          <w:color w:val="000000"/>
        </w:rPr>
        <w:t>The development of learning media with AR technology plays a role as a learning medium</w:t>
      </w:r>
      <w:r w:rsidR="00054B5C">
        <w:rPr>
          <w:rFonts w:ascii="Times New Roman" w:eastAsia="Times New Roman" w:hAnsi="Times New Roman" w:cs="Times New Roman"/>
          <w:color w:val="000000"/>
        </w:rPr>
        <w:t>,</w:t>
      </w:r>
      <w:r w:rsidRPr="00994707">
        <w:rPr>
          <w:rFonts w:ascii="Times New Roman" w:eastAsia="Times New Roman" w:hAnsi="Times New Roman" w:cs="Times New Roman"/>
          <w:color w:val="000000"/>
        </w:rPr>
        <w:t xml:space="preserve"> which is an important part of learning. In its development, application content must have modernity, ease of operation, and attractiveness to the content and content of the material. Learning media does not function as entertainment, but functions to improve the learning process of delivering messages, for that the level of compatibility and completeness of Augmented Reality application products is </w:t>
      </w:r>
      <w:r w:rsidR="008722D3">
        <w:rPr>
          <w:rFonts w:ascii="Times New Roman" w:eastAsia="Times New Roman" w:hAnsi="Times New Roman" w:cs="Times New Roman"/>
          <w:color w:val="000000"/>
        </w:rPr>
        <w:t>important</w:t>
      </w:r>
      <w:r w:rsidR="008722D3">
        <w:rPr>
          <w:rFonts w:ascii="Times New Roman" w:eastAsia="Times New Roman" w:hAnsi="Times New Roman" w:cs="Times New Roman"/>
          <w:color w:val="000000"/>
          <w:lang w:val="id-ID"/>
        </w:rPr>
        <w:t xml:space="preserve"> </w:t>
      </w:r>
      <w:r w:rsidR="007D2C91">
        <w:rPr>
          <w:rFonts w:ascii="Times New Roman" w:eastAsia="Times New Roman" w:hAnsi="Times New Roman" w:cs="Times New Roman"/>
          <w:color w:val="000000"/>
        </w:rPr>
        <w:fldChar w:fldCharType="begin" w:fldLock="1"/>
      </w:r>
      <w:r w:rsidR="00A97263">
        <w:rPr>
          <w:rFonts w:ascii="Times New Roman" w:eastAsia="Times New Roman" w:hAnsi="Times New Roman" w:cs="Times New Roman"/>
          <w:color w:val="000000"/>
        </w:rPr>
        <w:instrText>ADDIN CSL_CITATION {"citationItems":[{"id":"ITEM-1","itemData":{"DOI":"10.3916/C61-2019-06","ISSN":"19883293","abstract":"Augmented reality (AR) immersion enables virtual objects and real environments to coexist and encourage experimentation with phenomena that are not possible in the real world. Augmented reality is generating new opportunities for the development of ubiquity within educational environments. The objective of this study was to analyze the impact that the integration of ubiquitous game approaches with augmented reality has on learning. A quasi-experimental study was carried out with 91 sixth-grade primary school students; the learning scenario was designed and the augmented reality application \"WallaMe\" was selected for use in five sessions of a didactic unit in Art Education. Through pretest and postest procedures, academic performance and information search skills were evaluated, and, a Likert scale analyzed the motivation and collaboration variables among the students. The results showed that the experimental group obtained statistically significant improvements in the academic performance of the subject, motivation, in the search for, and analysis of, information, level of fun and collaboration. The conclusion is that the dynamic activities managed in the intervention, which made use of augmented reality and localization, benefit teaching-learning processes, and encourage innovation and improvement through educational technology.","author":[{"dropping-particle":"","family":"Sáez-López","given":"José Manuel","non-dropping-particle":"","parse-names":false,"suffix":""},{"dropping-particle":"","family":"Sevillano-García","given":"M. Luisa","non-dropping-particle":"","parse-names":false,"suffix":""},{"dropping-particle":"","family":"Pascual-Sevillano","given":"M. Ángeles","non-dropping-particle":"","parse-names":false,"suffix":""}],"container-title":"Comunicar","id":"ITEM-1","issued":{"date-parts":[["2019"]]},"title":"Application of the ubiquitous game with augmented reality in primary education","type":"article-journal"},"uris":["http://www.mendeley.com/documents/?uuid=87cfb566-0585-45a6-bbec-e44898c7c8dd"]}],"mendeley":{"formattedCitation":"[18]","plainTextFormattedCitation":"[18]","previouslyFormattedCitation":"[17]"},"properties":{"noteIndex":0},"schema":"https://github.com/citation-style-language/schema/raw/master/csl-citation.json"}</w:instrText>
      </w:r>
      <w:r w:rsidR="007D2C91">
        <w:rPr>
          <w:rFonts w:ascii="Times New Roman" w:eastAsia="Times New Roman" w:hAnsi="Times New Roman" w:cs="Times New Roman"/>
          <w:color w:val="000000"/>
        </w:rPr>
        <w:fldChar w:fldCharType="separate"/>
      </w:r>
      <w:r w:rsidR="00A97263" w:rsidRPr="00A97263">
        <w:rPr>
          <w:rFonts w:ascii="Times New Roman" w:eastAsia="Times New Roman" w:hAnsi="Times New Roman" w:cs="Times New Roman"/>
          <w:noProof/>
          <w:color w:val="000000"/>
        </w:rPr>
        <w:t>[18]</w:t>
      </w:r>
      <w:r w:rsidR="007D2C91">
        <w:rPr>
          <w:rFonts w:ascii="Times New Roman" w:eastAsia="Times New Roman" w:hAnsi="Times New Roman" w:cs="Times New Roman"/>
          <w:color w:val="000000"/>
        </w:rPr>
        <w:fldChar w:fldCharType="end"/>
      </w:r>
      <w:r w:rsidRPr="00994707">
        <w:rPr>
          <w:rFonts w:ascii="Times New Roman" w:eastAsia="Times New Roman" w:hAnsi="Times New Roman" w:cs="Times New Roman"/>
          <w:color w:val="000000"/>
        </w:rPr>
        <w:t>. This is certainly in accordance with the main objective of this technology, namely to improve the special skills of vocational students. The results of the analysis of the development of learning technology show that this technology has a major function in increasing the special skills of vocational students</w:t>
      </w:r>
      <w:r w:rsidR="000F1FF7">
        <w:rPr>
          <w:rFonts w:ascii="Times New Roman" w:eastAsia="Times New Roman" w:hAnsi="Times New Roman" w:cs="Times New Roman"/>
          <w:color w:val="000000"/>
          <w:lang w:val="id-ID"/>
        </w:rPr>
        <w:fldChar w:fldCharType="begin" w:fldLock="1"/>
      </w:r>
      <w:r w:rsidR="00A97263">
        <w:rPr>
          <w:rFonts w:ascii="Times New Roman" w:eastAsia="Times New Roman" w:hAnsi="Times New Roman" w:cs="Times New Roman"/>
          <w:color w:val="000000"/>
          <w:lang w:val="id-ID"/>
        </w:rPr>
        <w:instrText>ADDIN CSL_CITATION {"citationItems":[{"id":"ITEM-1","itemData":{"DOI":"10.1016/j.chb.2020.106316","ISSN":"07475632","abstract":"Recent studies emphasize a positive impact of learning with augmented reality (AR) systems in various instructional scenarios. Especially combining real and virtual learning components according to spatial and temporal contiguity principles is claimed to foster learning and to reduce extraneous cognitive processing. We applied these principles to a physics laboratory experiment examining heat conduction where students measure the temperature along heated metal rods via a thermal imaging camera. However, the traditional setup leads to a time delay between measuring and receiving data, and spatially separates relevant visualizations causing resource-consuming search processes. Using see-through smartglasses, traditional displays were transformed into virtual representations which were anchored to corresponding objects of the experimental setup, resulting in an integrated AR view of real-time data. Both traditional and AR-assisted workflows of data collection were investigated in a field study with undergraduate students (N=74) during a graded laboratory course. Performance and cognitive load were assessed as dependent variables. Although the AR condition did not show a learning gain in a conceptual knowledge test, they nonetheless reported a significant lower extraneous cognitive load than the traditional condition. These results contrast with recent findings on AR and integrated formats but reveal a significant impact on cognitive load research.","author":[{"dropping-particle":"","family":"Thees","given":"Michael","non-dropping-particle":"","parse-names":false,"suffix":""},{"dropping-particle":"","family":"Kapp","given":"Sebastian","non-dropping-particle":"","parse-names":false,"suffix":""},{"dropping-particle":"","family":"Strzys","given":"Martin P.","non-dropping-particle":"","parse-names":false,"suffix":""},{"dropping-particle":"","family":"Beil","given":"Fabian","non-dropping-particle":"","parse-names":false,"suffix":""},{"dropping-particle":"","family":"Lukowicz","given":"Paul","non-dropping-particle":"","parse-names":false,"suffix":""},{"dropping-particle":"","family":"Kuhn","given":"Jochen","non-dropping-particle":"","parse-names":false,"suffix":""}],"container-title":"Computers in Human Behavior","id":"ITEM-1","issued":{"date-parts":[["2020"]]},"title":"Effects of augmented reality on learning and cognitive load in university physics laboratory courses","type":"article-journal"},"uris":["http://www.mendeley.com/documents/?uuid=74e7fe68-add6-4825-95a3-dd9b1cd3fb15"]},{"id":"ITEM-2","itemData":{"DOI":"10.1111/bjet.12900","ISSN":"14678535","abstract":"Learning with hands-on experiments can be supported by providing essential information virtually during lab work. Augmented reality (AR) appears especially suitable for presenting information during experimentation, as it can be used to integrate both physical and virtual lab work. Virtual information can be displayed in close spatial proximity to the correspondent components in the experimentation environment, thereby ensuring a basic design principle for multimedia instruction: the spatial contiguity principle. The latter is assumed to reduce learners' extraneous cognitive load and foster generative processing, which supports conceptual knowledge acquisition. For the present study, a tablet-based AR application has been developed to support learning from hands-on experiments in physics education. Real-time measurement data were displayed directly above the components of electric circuits, which were constructed by the learners during lab work. In a two group pretest–posttest design, we compared university students' (N = 50) perceived cognitive load and conceptual knowledge gain for both the AR-supported and a matching non-AR learning environment. Whereas participants in both conditions gave comparable ratings for cognitive load, learning gains in conceptual knowledge were only detectable for the AR-supported lab work.","author":[{"dropping-particle":"","family":"Altmeyer","given":"Kristin","non-dropping-particle":"","parse-names":false,"suffix":""},{"dropping-particle":"","family":"Kapp","given":"Sebastian","non-dropping-particle":"","parse-names":false,"suffix":""},{"dropping-particle":"","family":"Thees","given":"Michael","non-dropping-particle":"","parse-names":false,"suffix":""},{"dropping-particle":"","family":"Malone","given":"Sarah","non-dropping-particle":"","parse-names":false,"suffix":""},{"dropping-particle":"","family":"Kuhn","given":"Jochen","non-dropping-particle":"","parse-names":false,"suffix":""},{"dropping-particle":"","family":"Brünken","given":"Roland","non-dropping-particle":"","parse-names":false,"suffix":""}],"container-title":"British Journal of Educational Technology","id":"ITEM-2","issued":{"date-parts":[["2020"]]},"title":"The use of augmented reality to foster conceptual knowledge acquisition in STEM laboratory courses—Theoretical background and empirical results","type":"article"},"uris":["http://www.mendeley.com/documents/?uuid=a0109923-17c2-4703-b120-144bee7b76b0"]},{"id":"ITEM-3","itemData":{"DOI":"10.1007/s10209-017-0588-y","ISSN":"16155297","abstract":"Augmented reality (AR) is helpful in leading students to observe real-world learning targets with supports from online learning resources using mobile and wireless communication technologies. In this study, an AR-based learning system for an architecture course is proposed based on a formative assessment mechanism, which guides students to find answers on their own by giving hints when they fail to correctly answer questions. To evaluate the effectiveness of the proposed approach, an experiment has been conducted in the Museum of World Religions for a university architecture course. A total of 39 students were randomly assigned to an experimental group learning with the proposed approach and a control group learning with the conventional AR-based learning. The experimental results showed that the AR-based learning with the formative assessment mechanism significantly improved the students’ learning achievements and motivation, while also reducing their cognitive load.","author":[{"dropping-particle":"","family":"Chu","given":"Hui Chun","non-dropping-particle":"","parse-names":false,"suffix":""},{"dropping-particle":"","family":"Chen","given":"Jun Ming","non-dropping-particle":"","parse-names":false,"suffix":""},{"dropping-particle":"","family":"Hwang","given":"Gwo Jen","non-dropping-particle":"","parse-names":false,"suffix":""},{"dropping-particle":"","family":"Chen","given":"Tsung Wen","non-dropping-particle":"","parse-names":false,"suffix":""}],"container-title":"Universal Access in the Information Society","id":"ITEM-3","issued":{"date-parts":[["2019"]]},"title":"Effects of formative assessment in an augmented reality approach to conducting ubiquitous learning activities for architecture courses","type":"article-journal"},"uris":["http://www.mendeley.com/documents/?uuid=236ffacd-76fc-4565-815f-2c11ba3c0b8d"]}],"mendeley":{"formattedCitation":"[19–21]","manualFormatting":"[18] - [20]","plainTextFormattedCitation":"[19–21]","previouslyFormattedCitation":"[18]–[20]"},"properties":{"noteIndex":0},"schema":"https://github.com/citation-style-language/schema/raw/master/csl-citation.json"}</w:instrText>
      </w:r>
      <w:r w:rsidR="000F1FF7">
        <w:rPr>
          <w:rFonts w:ascii="Times New Roman" w:eastAsia="Times New Roman" w:hAnsi="Times New Roman" w:cs="Times New Roman"/>
          <w:color w:val="000000"/>
          <w:lang w:val="id-ID"/>
        </w:rPr>
        <w:fldChar w:fldCharType="separate"/>
      </w:r>
      <w:r w:rsidR="000F1FF7" w:rsidRPr="000F1FF7">
        <w:rPr>
          <w:rFonts w:ascii="Times New Roman" w:eastAsia="Times New Roman" w:hAnsi="Times New Roman" w:cs="Times New Roman"/>
          <w:noProof/>
          <w:color w:val="000000"/>
          <w:lang w:val="id-ID"/>
        </w:rPr>
        <w:t>[18] - [20]</w:t>
      </w:r>
      <w:r w:rsidR="000F1FF7">
        <w:rPr>
          <w:rFonts w:ascii="Times New Roman" w:eastAsia="Times New Roman" w:hAnsi="Times New Roman" w:cs="Times New Roman"/>
          <w:color w:val="000000"/>
          <w:lang w:val="id-ID"/>
        </w:rPr>
        <w:fldChar w:fldCharType="end"/>
      </w:r>
      <w:r w:rsidR="000F1FF7">
        <w:rPr>
          <w:rFonts w:ascii="Times New Roman" w:eastAsia="Times New Roman" w:hAnsi="Times New Roman" w:cs="Times New Roman"/>
          <w:color w:val="000000"/>
          <w:lang w:val="id-ID"/>
        </w:rPr>
        <w:t>.</w:t>
      </w:r>
    </w:p>
    <w:p w14:paraId="3C25AE06" w14:textId="18BEF980" w:rsidR="00994707" w:rsidRDefault="00994707" w:rsidP="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sidRPr="00994707">
        <w:rPr>
          <w:rFonts w:ascii="Times New Roman" w:eastAsia="Times New Roman" w:hAnsi="Times New Roman" w:cs="Times New Roman"/>
          <w:color w:val="000000"/>
        </w:rPr>
        <w:t xml:space="preserve">Based on this function, the increase in </w:t>
      </w:r>
      <w:r w:rsidR="00054B5C">
        <w:rPr>
          <w:rFonts w:ascii="Times New Roman" w:eastAsia="Times New Roman" w:hAnsi="Times New Roman" w:cs="Times New Roman"/>
          <w:color w:val="000000"/>
        </w:rPr>
        <w:t xml:space="preserve">the </w:t>
      </w:r>
      <w:r w:rsidRPr="00994707">
        <w:rPr>
          <w:rFonts w:ascii="Times New Roman" w:eastAsia="Times New Roman" w:hAnsi="Times New Roman" w:cs="Times New Roman"/>
          <w:color w:val="000000"/>
        </w:rPr>
        <w:t>special skills of vocational students will automatically increase. The function of this technology is a form of student-focused learning orientation. This technology can increase the motivation to learn in students' stimulus. This AR technology developed encourages lecturers to become creative managers in providing meaningful learning experiences, not just conveying information. So, it can be understood that students' learning experiences to improve special skills will not be effective if they don't use innovative learning media. This is because learning media is an important component of learning.</w:t>
      </w:r>
    </w:p>
    <w:p w14:paraId="0C91F785" w14:textId="77777777" w:rsidR="00994707" w:rsidRPr="00994707" w:rsidRDefault="00994707" w:rsidP="009947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14:paraId="56D16CE7" w14:textId="77777777" w:rsidR="00B400D8" w:rsidRDefault="0023262E">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3B4BAD9D" w14:textId="6E0DFE30" w:rsidR="00B400D8" w:rsidRDefault="00994707" w:rsidP="00A97263">
      <w:pPr>
        <w:spacing w:after="0" w:line="240" w:lineRule="auto"/>
        <w:jc w:val="both"/>
        <w:rPr>
          <w:rFonts w:ascii="Times New Roman" w:eastAsia="Times New Roman" w:hAnsi="Times New Roman" w:cs="Times New Roman"/>
          <w:color w:val="000000"/>
        </w:rPr>
      </w:pPr>
      <w:r w:rsidRPr="00994707">
        <w:rPr>
          <w:rFonts w:ascii="Times New Roman" w:eastAsia="Times New Roman" w:hAnsi="Times New Roman" w:cs="Times New Roman"/>
          <w:color w:val="000000"/>
        </w:rPr>
        <w:t xml:space="preserve">In this study, the conclusions are divided into several components. </w:t>
      </w:r>
      <w:r w:rsidR="00054B5C">
        <w:rPr>
          <w:rFonts w:ascii="Times New Roman" w:eastAsia="Times New Roman" w:hAnsi="Times New Roman" w:cs="Times New Roman"/>
          <w:color w:val="000000"/>
        </w:rPr>
        <w:t>T</w:t>
      </w:r>
      <w:r w:rsidRPr="00994707">
        <w:rPr>
          <w:rFonts w:ascii="Times New Roman" w:eastAsia="Times New Roman" w:hAnsi="Times New Roman" w:cs="Times New Roman"/>
          <w:color w:val="000000"/>
        </w:rPr>
        <w:t xml:space="preserve">he augmented reality technology based on 3D modeling that was developed had a relatively high level of vocational and education material completeness and attractiveness. </w:t>
      </w:r>
      <w:r w:rsidR="00054B5C">
        <w:rPr>
          <w:rFonts w:ascii="Times New Roman" w:eastAsia="Times New Roman" w:hAnsi="Times New Roman" w:cs="Times New Roman"/>
          <w:color w:val="000000"/>
        </w:rPr>
        <w:t>T</w:t>
      </w:r>
      <w:r w:rsidRPr="00994707">
        <w:rPr>
          <w:rFonts w:ascii="Times New Roman" w:eastAsia="Times New Roman" w:hAnsi="Times New Roman" w:cs="Times New Roman"/>
          <w:color w:val="000000"/>
        </w:rPr>
        <w:t xml:space="preserve">he technology of augmented reality based on 3D modeling that has been developed is proven to be able to improve special skills in graduate education students. </w:t>
      </w:r>
      <w:r w:rsidR="00054B5C">
        <w:rPr>
          <w:rFonts w:ascii="Times New Roman" w:eastAsia="Times New Roman" w:hAnsi="Times New Roman" w:cs="Times New Roman"/>
          <w:color w:val="000000"/>
        </w:rPr>
        <w:t>T</w:t>
      </w:r>
      <w:r w:rsidRPr="00994707">
        <w:rPr>
          <w:rFonts w:ascii="Times New Roman" w:eastAsia="Times New Roman" w:hAnsi="Times New Roman" w:cs="Times New Roman"/>
          <w:color w:val="000000"/>
        </w:rPr>
        <w:t>he results can be used as an alternative reference for developing the next innovative learning technology.</w:t>
      </w:r>
    </w:p>
    <w:p w14:paraId="330EC89F" w14:textId="77777777" w:rsidR="00111249" w:rsidRDefault="00111249" w:rsidP="00111249">
      <w:pPr>
        <w:spacing w:before="240"/>
        <w:rPr>
          <w:rFonts w:ascii="Times New Roman" w:eastAsia="Times New Roman" w:hAnsi="Times New Roman" w:cs="Times New Roman"/>
          <w:b/>
        </w:rPr>
      </w:pPr>
      <w:r>
        <w:rPr>
          <w:rFonts w:ascii="Times New Roman" w:eastAsia="Times New Roman" w:hAnsi="Times New Roman" w:cs="Times New Roman"/>
          <w:b/>
        </w:rPr>
        <w:t>Acknowledgments</w:t>
      </w:r>
    </w:p>
    <w:p w14:paraId="593350E1" w14:textId="77777777" w:rsidR="00111249" w:rsidRDefault="00111249" w:rsidP="00111249">
      <w:pPr>
        <w:pBdr>
          <w:top w:val="nil"/>
          <w:left w:val="nil"/>
          <w:bottom w:val="nil"/>
          <w:right w:val="nil"/>
          <w:between w:val="nil"/>
        </w:pBdr>
        <w:tabs>
          <w:tab w:val="left" w:pos="567"/>
        </w:tabs>
        <w:spacing w:after="0"/>
        <w:jc w:val="both"/>
        <w:rPr>
          <w:rFonts w:ascii="Times New Roman" w:eastAsia="Times New Roman" w:hAnsi="Times New Roman" w:cs="Times New Roman"/>
          <w:color w:val="000000"/>
        </w:rPr>
      </w:pPr>
      <w:r w:rsidRPr="0002629A">
        <w:rPr>
          <w:rFonts w:ascii="Times New Roman" w:eastAsia="Times New Roman" w:hAnsi="Times New Roman" w:cs="Times New Roman"/>
          <w:color w:val="000000"/>
        </w:rPr>
        <w:t>Thanks to the Lembaga Penelitian dan Pengabdian Kepada Masyarakat (LP2M) Universitas Negeri Malang. That is because LP2M UM has supported this research with the Research and Community Service Scheme for the PNBP UM Funding Source for 20</w:t>
      </w:r>
      <w:r>
        <w:rPr>
          <w:rFonts w:ascii="Times New Roman" w:eastAsia="Times New Roman" w:hAnsi="Times New Roman" w:cs="Times New Roman"/>
          <w:color w:val="000000"/>
        </w:rPr>
        <w:t>20.</w:t>
      </w:r>
    </w:p>
    <w:p w14:paraId="0C4D8DF7" w14:textId="77777777" w:rsidR="00054B5C" w:rsidRPr="00903AD5" w:rsidRDefault="00054B5C" w:rsidP="00F77F43">
      <w:pPr>
        <w:spacing w:after="0"/>
        <w:jc w:val="both"/>
        <w:rPr>
          <w:rFonts w:ascii="Times New Roman" w:eastAsia="Times New Roman" w:hAnsi="Times New Roman" w:cs="Times New Roman"/>
          <w:color w:val="000000"/>
          <w:lang w:val="id-ID"/>
        </w:rPr>
      </w:pPr>
    </w:p>
    <w:p w14:paraId="5D2AFF29" w14:textId="77777777" w:rsidR="00B400D8" w:rsidRDefault="00994707">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References</w:t>
      </w:r>
    </w:p>
    <w:p w14:paraId="10AE2220" w14:textId="7263CDBC" w:rsidR="00A97263" w:rsidRPr="00A97263" w:rsidRDefault="00ED2BCC"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eastAsia="Times New Roman" w:hAnsi="Times New Roman" w:cs="Times New Roman"/>
          <w:b/>
          <w:sz w:val="20"/>
          <w:szCs w:val="20"/>
        </w:rPr>
        <w:fldChar w:fldCharType="begin" w:fldLock="1"/>
      </w:r>
      <w:r w:rsidRPr="00A97263">
        <w:rPr>
          <w:rFonts w:ascii="Times New Roman" w:eastAsia="Times New Roman" w:hAnsi="Times New Roman" w:cs="Times New Roman"/>
          <w:b/>
          <w:sz w:val="20"/>
          <w:szCs w:val="20"/>
        </w:rPr>
        <w:instrText xml:space="preserve">ADDIN Mendeley Bibliography CSL_BIBLIOGRAPHY </w:instrText>
      </w:r>
      <w:r w:rsidRPr="00A97263">
        <w:rPr>
          <w:rFonts w:ascii="Times New Roman" w:eastAsia="Times New Roman" w:hAnsi="Times New Roman" w:cs="Times New Roman"/>
          <w:b/>
          <w:sz w:val="20"/>
          <w:szCs w:val="20"/>
        </w:rPr>
        <w:fldChar w:fldCharType="separate"/>
      </w:r>
      <w:r w:rsidR="00A97263" w:rsidRPr="00A97263">
        <w:rPr>
          <w:rFonts w:ascii="Times New Roman" w:hAnsi="Times New Roman" w:cs="Times New Roman"/>
          <w:noProof/>
          <w:sz w:val="20"/>
        </w:rPr>
        <w:t>[1]</w:t>
      </w:r>
      <w:r w:rsidR="00A97263" w:rsidRPr="00A97263">
        <w:rPr>
          <w:rFonts w:ascii="Times New Roman" w:hAnsi="Times New Roman" w:cs="Times New Roman"/>
          <w:noProof/>
          <w:sz w:val="20"/>
        </w:rPr>
        <w:tab/>
        <w:t xml:space="preserve"> Baumeler C 2019 Competence-Based Vocational Education and Training and Its Cultural Context Sensitivity </w:t>
      </w:r>
      <w:r w:rsidR="00A97263" w:rsidRPr="00A97263">
        <w:rPr>
          <w:rFonts w:ascii="Times New Roman" w:hAnsi="Times New Roman" w:cs="Times New Roman"/>
          <w:i/>
          <w:iCs/>
          <w:noProof/>
          <w:sz w:val="20"/>
        </w:rPr>
        <w:t>Eur. Educ.</w:t>
      </w:r>
    </w:p>
    <w:p w14:paraId="035FDD27"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[2]</w:t>
      </w:r>
      <w:r w:rsidRPr="00A97263">
        <w:rPr>
          <w:rFonts w:ascii="Times New Roman" w:hAnsi="Times New Roman" w:cs="Times New Roman"/>
          <w:noProof/>
          <w:sz w:val="20"/>
        </w:rPr>
        <w:tab/>
        <w:t xml:space="preserve"> Kanwar A, Balasubramanian K and Carr A 2019 Changing the TVET paradigm: new models for lifelong </w:t>
      </w:r>
      <w:r w:rsidRPr="00A97263">
        <w:rPr>
          <w:rFonts w:ascii="Times New Roman" w:hAnsi="Times New Roman" w:cs="Times New Roman"/>
          <w:noProof/>
          <w:sz w:val="20"/>
        </w:rPr>
        <w:lastRenderedPageBreak/>
        <w:t xml:space="preserve">learning </w:t>
      </w:r>
      <w:r w:rsidRPr="00A97263">
        <w:rPr>
          <w:rFonts w:ascii="Times New Roman" w:hAnsi="Times New Roman" w:cs="Times New Roman"/>
          <w:i/>
          <w:iCs/>
          <w:noProof/>
          <w:sz w:val="20"/>
        </w:rPr>
        <w:t>Int. J. Train. Res.</w:t>
      </w:r>
    </w:p>
    <w:p w14:paraId="0FB3C523"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[3]</w:t>
      </w:r>
      <w:r w:rsidRPr="00A97263">
        <w:rPr>
          <w:rFonts w:ascii="Times New Roman" w:hAnsi="Times New Roman" w:cs="Times New Roman"/>
          <w:noProof/>
          <w:sz w:val="20"/>
        </w:rPr>
        <w:tab/>
        <w:t xml:space="preserve"> Promyoo R, Alai S and El-Mounayri H 2019 Innovative digital manufacturing curriculum for industry 4.0 </w:t>
      </w:r>
      <w:r w:rsidRPr="00A97263">
        <w:rPr>
          <w:rFonts w:ascii="Times New Roman" w:hAnsi="Times New Roman" w:cs="Times New Roman"/>
          <w:i/>
          <w:iCs/>
          <w:noProof/>
          <w:sz w:val="20"/>
        </w:rPr>
        <w:t>Procedia Manufacturing</w:t>
      </w:r>
    </w:p>
    <w:p w14:paraId="7E9E8A61"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[4]</w:t>
      </w:r>
      <w:r w:rsidRPr="00A97263">
        <w:rPr>
          <w:rFonts w:ascii="Times New Roman" w:hAnsi="Times New Roman" w:cs="Times New Roman"/>
          <w:noProof/>
          <w:sz w:val="20"/>
        </w:rPr>
        <w:tab/>
        <w:t xml:space="preserve"> Budiman A, Suyanto W and Efendi Y 2020 Mapping graduate learning competencies of the automotive engineering education </w:t>
      </w:r>
      <w:r w:rsidRPr="00A97263">
        <w:rPr>
          <w:rFonts w:ascii="Times New Roman" w:hAnsi="Times New Roman" w:cs="Times New Roman"/>
          <w:i/>
          <w:iCs/>
          <w:noProof/>
          <w:sz w:val="20"/>
        </w:rPr>
        <w:t>Journal of Physics: Conference Series</w:t>
      </w:r>
    </w:p>
    <w:p w14:paraId="232FB40F"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[5]</w:t>
      </w:r>
      <w:r w:rsidRPr="00A97263">
        <w:rPr>
          <w:rFonts w:ascii="Times New Roman" w:hAnsi="Times New Roman" w:cs="Times New Roman"/>
          <w:noProof/>
          <w:sz w:val="20"/>
        </w:rPr>
        <w:tab/>
        <w:t xml:space="preserve"> Kintu D 2019 An Exploration of Strategies for Facilitating Graduates’ Transition to the World of Work: A Case of Technical, Vocational Education and Training Graduates in Uganda </w:t>
      </w:r>
      <w:r w:rsidRPr="00A97263">
        <w:rPr>
          <w:rFonts w:ascii="Times New Roman" w:hAnsi="Times New Roman" w:cs="Times New Roman"/>
          <w:i/>
          <w:iCs/>
          <w:noProof/>
          <w:sz w:val="20"/>
        </w:rPr>
        <w:t>Int. J. Vocat. Educ. Train. Res.</w:t>
      </w:r>
    </w:p>
    <w:p w14:paraId="781B70FF"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[6]</w:t>
      </w:r>
      <w:r w:rsidRPr="00A97263">
        <w:rPr>
          <w:rFonts w:ascii="Times New Roman" w:hAnsi="Times New Roman" w:cs="Times New Roman"/>
          <w:noProof/>
          <w:sz w:val="20"/>
        </w:rPr>
        <w:tab/>
        <w:t xml:space="preserve"> Bacca J, Baldiris S, Fabregat R and Kinshuk 2019 Framework for designing motivational augmented reality applications in vocational education and training </w:t>
      </w:r>
      <w:r w:rsidRPr="00A97263">
        <w:rPr>
          <w:rFonts w:ascii="Times New Roman" w:hAnsi="Times New Roman" w:cs="Times New Roman"/>
          <w:i/>
          <w:iCs/>
          <w:noProof/>
          <w:sz w:val="20"/>
        </w:rPr>
        <w:t>Australas. J. Educ. Technol.</w:t>
      </w:r>
    </w:p>
    <w:p w14:paraId="4FCAE6C3"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[7]</w:t>
      </w:r>
      <w:r w:rsidRPr="00A97263">
        <w:rPr>
          <w:rFonts w:ascii="Times New Roman" w:hAnsi="Times New Roman" w:cs="Times New Roman"/>
          <w:noProof/>
          <w:sz w:val="20"/>
        </w:rPr>
        <w:tab/>
        <w:t xml:space="preserve"> Pedaste M, Mitt G and Jürivete T 2020 What is the effect of using mobile augmented reality in K12 inquiry-based learning? </w:t>
      </w:r>
      <w:r w:rsidRPr="00A97263">
        <w:rPr>
          <w:rFonts w:ascii="Times New Roman" w:hAnsi="Times New Roman" w:cs="Times New Roman"/>
          <w:i/>
          <w:iCs/>
          <w:noProof/>
          <w:sz w:val="20"/>
        </w:rPr>
        <w:t>Educ. Sci.</w:t>
      </w:r>
    </w:p>
    <w:p w14:paraId="3603B80F"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[8]</w:t>
      </w:r>
      <w:r w:rsidRPr="00A97263">
        <w:rPr>
          <w:rFonts w:ascii="Times New Roman" w:hAnsi="Times New Roman" w:cs="Times New Roman"/>
          <w:noProof/>
          <w:sz w:val="20"/>
        </w:rPr>
        <w:tab/>
        <w:t xml:space="preserve"> Algarawy, Fetoon K., Alsalmah, Wegdan A., Alhabib, Ahlam A., Alfehaid,Afnan S., Ibrahim, Dina M. 2018 Applying Augmented Reality Technology for an E-Learning System </w:t>
      </w:r>
      <w:r w:rsidRPr="00A97263">
        <w:rPr>
          <w:rFonts w:ascii="Times New Roman" w:hAnsi="Times New Roman" w:cs="Times New Roman"/>
          <w:i/>
          <w:iCs/>
          <w:noProof/>
          <w:sz w:val="20"/>
        </w:rPr>
        <w:t>World Acad. Sci. Eng. Technol. Int. J. Comput. Electr. Autom. Control Inf. Eng.</w:t>
      </w:r>
    </w:p>
    <w:p w14:paraId="47B8DC88"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[9]</w:t>
      </w:r>
      <w:r w:rsidRPr="00A97263">
        <w:rPr>
          <w:rFonts w:ascii="Times New Roman" w:hAnsi="Times New Roman" w:cs="Times New Roman"/>
          <w:noProof/>
          <w:sz w:val="20"/>
        </w:rPr>
        <w:tab/>
        <w:t xml:space="preserve"> Mundy M A, Hernandez J and Green M 2019 Perceptions of the effects of augmented reality in the classroom </w:t>
      </w:r>
      <w:r w:rsidRPr="00A97263">
        <w:rPr>
          <w:rFonts w:ascii="Times New Roman" w:hAnsi="Times New Roman" w:cs="Times New Roman"/>
          <w:i/>
          <w:iCs/>
          <w:noProof/>
          <w:sz w:val="20"/>
        </w:rPr>
        <w:t>J. Instr. Pedagog.</w:t>
      </w:r>
    </w:p>
    <w:p w14:paraId="19F13961"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[10]</w:t>
      </w:r>
      <w:r w:rsidRPr="00A97263">
        <w:rPr>
          <w:rFonts w:ascii="Times New Roman" w:hAnsi="Times New Roman" w:cs="Times New Roman"/>
          <w:noProof/>
          <w:sz w:val="20"/>
        </w:rPr>
        <w:tab/>
        <w:t xml:space="preserve"> Putra A B N R, Mukhadis A, Poerwanto E E, Irdianto W and Sembiring A I 2019 Edmodo-Based Makerspace as E-Learning Technology to Improve the Management Project of Vocational Students in the Disruptive Technology Era </w:t>
      </w:r>
      <w:r w:rsidRPr="00A97263">
        <w:rPr>
          <w:rFonts w:ascii="Times New Roman" w:hAnsi="Times New Roman" w:cs="Times New Roman"/>
          <w:i/>
          <w:iCs/>
          <w:noProof/>
          <w:sz w:val="20"/>
        </w:rPr>
        <w:t>3rd Int. Conf. Sustain. Inf. Eng. Technol. SIET 2018 - Proc.</w:t>
      </w:r>
      <w:r w:rsidRPr="00A97263">
        <w:rPr>
          <w:rFonts w:ascii="Times New Roman" w:hAnsi="Times New Roman" w:cs="Times New Roman"/>
          <w:noProof/>
          <w:sz w:val="20"/>
        </w:rPr>
        <w:t xml:space="preserve"> 302–7</w:t>
      </w:r>
    </w:p>
    <w:p w14:paraId="56330E43"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[11]</w:t>
      </w:r>
      <w:r w:rsidRPr="00A97263">
        <w:rPr>
          <w:rFonts w:ascii="Times New Roman" w:hAnsi="Times New Roman" w:cs="Times New Roman"/>
          <w:noProof/>
          <w:sz w:val="20"/>
        </w:rPr>
        <w:tab/>
        <w:t xml:space="preserve"> Mtawa N, Fongwa S and Wilson-Strydom M 2019 Enhancing graduate employability attributes and capabilities formation: a service-learning approach </w:t>
      </w:r>
      <w:r w:rsidRPr="00A97263">
        <w:rPr>
          <w:rFonts w:ascii="Times New Roman" w:hAnsi="Times New Roman" w:cs="Times New Roman"/>
          <w:i/>
          <w:iCs/>
          <w:noProof/>
          <w:sz w:val="20"/>
        </w:rPr>
        <w:t>Teach. High. Educ.</w:t>
      </w:r>
    </w:p>
    <w:p w14:paraId="7FB6F9E0"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[12]</w:t>
      </w:r>
      <w:r w:rsidRPr="00A97263">
        <w:rPr>
          <w:rFonts w:ascii="Times New Roman" w:hAnsi="Times New Roman" w:cs="Times New Roman"/>
          <w:noProof/>
          <w:sz w:val="20"/>
        </w:rPr>
        <w:tab/>
        <w:t xml:space="preserve"> Elbestawi M, Centea D, Singh I and Wanyama T 2018 SEPT Learning Factory for Industry 4.0 Education and Applied Research </w:t>
      </w:r>
      <w:r w:rsidRPr="00A97263">
        <w:rPr>
          <w:rFonts w:ascii="Times New Roman" w:hAnsi="Times New Roman" w:cs="Times New Roman"/>
          <w:i/>
          <w:iCs/>
          <w:noProof/>
          <w:sz w:val="20"/>
        </w:rPr>
        <w:t>Procedia Manufacturing</w:t>
      </w:r>
    </w:p>
    <w:p w14:paraId="299D08E7"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[13]</w:t>
      </w:r>
      <w:r w:rsidRPr="00A97263">
        <w:rPr>
          <w:rFonts w:ascii="Times New Roman" w:hAnsi="Times New Roman" w:cs="Times New Roman"/>
          <w:noProof/>
          <w:sz w:val="20"/>
        </w:rPr>
        <w:tab/>
        <w:t xml:space="preserve"> Crosby A, Pham K, Peterson J F and Lee T 2020 Digital Work Practices: Affordances in Design Education </w:t>
      </w:r>
      <w:r w:rsidRPr="00A97263">
        <w:rPr>
          <w:rFonts w:ascii="Times New Roman" w:hAnsi="Times New Roman" w:cs="Times New Roman"/>
          <w:i/>
          <w:iCs/>
          <w:noProof/>
          <w:sz w:val="20"/>
        </w:rPr>
        <w:t>Int. J. Art Des. Educ.</w:t>
      </w:r>
    </w:p>
    <w:p w14:paraId="086B4995" w14:textId="28A86ABB"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[14]</w:t>
      </w:r>
      <w:r w:rsidRPr="00A97263">
        <w:rPr>
          <w:rFonts w:ascii="Times New Roman" w:hAnsi="Times New Roman" w:cs="Times New Roman"/>
          <w:noProof/>
          <w:sz w:val="20"/>
        </w:rPr>
        <w:tab/>
        <w:t xml:space="preserve"> Mukhadis A, Ulfatin N and Putra A B N R 2019 Synchronization Of The Potential Of Industrial World With School Profiles Vocational To Improve Quality And Capability Graduates Of Vocational Schools In Indonesia </w:t>
      </w:r>
      <w:r w:rsidRPr="00A97263">
        <w:rPr>
          <w:rFonts w:ascii="Times New Roman" w:hAnsi="Times New Roman" w:cs="Times New Roman"/>
          <w:i/>
          <w:iCs/>
          <w:noProof/>
          <w:sz w:val="20"/>
        </w:rPr>
        <w:t>J. Ilmu Pendidik.</w:t>
      </w:r>
    </w:p>
    <w:p w14:paraId="16F28D6F"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[15]</w:t>
      </w:r>
      <w:r w:rsidRPr="00A97263">
        <w:rPr>
          <w:rFonts w:ascii="Times New Roman" w:hAnsi="Times New Roman" w:cs="Times New Roman"/>
          <w:noProof/>
          <w:sz w:val="20"/>
        </w:rPr>
        <w:tab/>
        <w:t xml:space="preserve"> Liu Q, Geertshuis S and Grainger R 2020 Understanding academics’ adoption of learning technologies: A systematic review </w:t>
      </w:r>
      <w:r w:rsidRPr="00A97263">
        <w:rPr>
          <w:rFonts w:ascii="Times New Roman" w:hAnsi="Times New Roman" w:cs="Times New Roman"/>
          <w:i/>
          <w:iCs/>
          <w:noProof/>
          <w:sz w:val="20"/>
        </w:rPr>
        <w:t>Comput. Educ.</w:t>
      </w:r>
    </w:p>
    <w:p w14:paraId="7228868E"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[16]</w:t>
      </w:r>
      <w:r w:rsidRPr="00A97263">
        <w:rPr>
          <w:rFonts w:ascii="Times New Roman" w:hAnsi="Times New Roman" w:cs="Times New Roman"/>
          <w:noProof/>
          <w:sz w:val="20"/>
        </w:rPr>
        <w:tab/>
        <w:t xml:space="preserve"> Bochkareva T N, Akhmetshin E M, Zekiy A O, Moiseev A V, Belomestnova M E, Savelyeva I A and Aleynikova O S 2020 The analysis of using active learning technology in institutions of secondary vocational education </w:t>
      </w:r>
      <w:r w:rsidRPr="00A97263">
        <w:rPr>
          <w:rFonts w:ascii="Times New Roman" w:hAnsi="Times New Roman" w:cs="Times New Roman"/>
          <w:i/>
          <w:iCs/>
          <w:noProof/>
          <w:sz w:val="20"/>
        </w:rPr>
        <w:t>Int. J. Instr.</w:t>
      </w:r>
    </w:p>
    <w:p w14:paraId="17BEEE60"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[17]</w:t>
      </w:r>
      <w:r w:rsidRPr="00A97263">
        <w:rPr>
          <w:rFonts w:ascii="Times New Roman" w:hAnsi="Times New Roman" w:cs="Times New Roman"/>
          <w:noProof/>
          <w:sz w:val="20"/>
        </w:rPr>
        <w:tab/>
        <w:t xml:space="preserve"> Baran B, Yecan E, Kaptan B and Paşayiğit O 2020 Using augmented reality to teach fifth grade students about electrical circuits </w:t>
      </w:r>
      <w:r w:rsidRPr="00A97263">
        <w:rPr>
          <w:rFonts w:ascii="Times New Roman" w:hAnsi="Times New Roman" w:cs="Times New Roman"/>
          <w:i/>
          <w:iCs/>
          <w:noProof/>
          <w:sz w:val="20"/>
        </w:rPr>
        <w:t>Educ. Inf. Technol.</w:t>
      </w:r>
    </w:p>
    <w:p w14:paraId="12CB84DC"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[18]</w:t>
      </w:r>
      <w:r w:rsidRPr="00A97263">
        <w:rPr>
          <w:rFonts w:ascii="Times New Roman" w:hAnsi="Times New Roman" w:cs="Times New Roman"/>
          <w:noProof/>
          <w:sz w:val="20"/>
        </w:rPr>
        <w:tab/>
        <w:t xml:space="preserve"> Sáez-López J M, Sevillano-García M L and Pascual-Sevillano M Á 2019 Application of the ubiquitous game with augmented reality in primary education </w:t>
      </w:r>
      <w:r w:rsidRPr="00A97263">
        <w:rPr>
          <w:rFonts w:ascii="Times New Roman" w:hAnsi="Times New Roman" w:cs="Times New Roman"/>
          <w:i/>
          <w:iCs/>
          <w:noProof/>
          <w:sz w:val="20"/>
        </w:rPr>
        <w:t>Comunicar</w:t>
      </w:r>
    </w:p>
    <w:p w14:paraId="24B4B74D"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[19]</w:t>
      </w:r>
      <w:r w:rsidRPr="00A97263">
        <w:rPr>
          <w:rFonts w:ascii="Times New Roman" w:hAnsi="Times New Roman" w:cs="Times New Roman"/>
          <w:noProof/>
          <w:sz w:val="20"/>
        </w:rPr>
        <w:tab/>
        <w:t xml:space="preserve"> Thees M, Kapp S, Strzys M P, Beil F, Lukowicz P and Kuhn J 2020 Effects of augmented reality on learning and cognitive load in university physics laboratory courses </w:t>
      </w:r>
      <w:r w:rsidRPr="00A97263">
        <w:rPr>
          <w:rFonts w:ascii="Times New Roman" w:hAnsi="Times New Roman" w:cs="Times New Roman"/>
          <w:i/>
          <w:iCs/>
          <w:noProof/>
          <w:sz w:val="20"/>
        </w:rPr>
        <w:t>Comput. Human Behav.</w:t>
      </w:r>
    </w:p>
    <w:p w14:paraId="43E8D479"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97263">
        <w:rPr>
          <w:rFonts w:ascii="Times New Roman" w:hAnsi="Times New Roman" w:cs="Times New Roman"/>
          <w:noProof/>
          <w:sz w:val="20"/>
        </w:rPr>
        <w:t>[20]</w:t>
      </w:r>
      <w:r w:rsidRPr="00A97263">
        <w:rPr>
          <w:rFonts w:ascii="Times New Roman" w:hAnsi="Times New Roman" w:cs="Times New Roman"/>
          <w:noProof/>
          <w:sz w:val="20"/>
        </w:rPr>
        <w:tab/>
        <w:t xml:space="preserve"> Altmeyer K, Kapp S, Thees M, Malone S, Kuhn J and Brünken R 2020 The use of augmented reality to foster conceptual knowledge acquisition in STEM laboratory courses—Theoretical background and empirical results </w:t>
      </w:r>
      <w:r w:rsidRPr="00A97263">
        <w:rPr>
          <w:rFonts w:ascii="Times New Roman" w:hAnsi="Times New Roman" w:cs="Times New Roman"/>
          <w:i/>
          <w:iCs/>
          <w:noProof/>
          <w:sz w:val="20"/>
        </w:rPr>
        <w:t>Br. J. Educ. Technol.</w:t>
      </w:r>
    </w:p>
    <w:p w14:paraId="562BF515" w14:textId="77777777" w:rsidR="00A97263" w:rsidRPr="00A97263" w:rsidRDefault="00A97263" w:rsidP="00A97263">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A97263">
        <w:rPr>
          <w:rFonts w:ascii="Times New Roman" w:hAnsi="Times New Roman" w:cs="Times New Roman"/>
          <w:noProof/>
          <w:sz w:val="20"/>
        </w:rPr>
        <w:t>[21]</w:t>
      </w:r>
      <w:r w:rsidRPr="00A97263">
        <w:rPr>
          <w:rFonts w:ascii="Times New Roman" w:hAnsi="Times New Roman" w:cs="Times New Roman"/>
          <w:noProof/>
          <w:sz w:val="20"/>
        </w:rPr>
        <w:tab/>
        <w:t xml:space="preserve"> Chu H C, Chen J M, Hwang G J and Chen T W 2019 Effects of formative assessment in an augmented reality approach to conducting ubiquitous learning activities for architecture courses </w:t>
      </w:r>
      <w:r w:rsidRPr="00A97263">
        <w:rPr>
          <w:rFonts w:ascii="Times New Roman" w:hAnsi="Times New Roman" w:cs="Times New Roman"/>
          <w:i/>
          <w:iCs/>
          <w:noProof/>
          <w:sz w:val="20"/>
        </w:rPr>
        <w:t>Univers. Access Inf. Soc.</w:t>
      </w:r>
    </w:p>
    <w:p w14:paraId="491D7E89" w14:textId="77777777" w:rsidR="00B400D8" w:rsidRPr="008479CD" w:rsidRDefault="00ED2BCC" w:rsidP="00A97263">
      <w:pPr>
        <w:widowControl w:val="0"/>
        <w:autoSpaceDE w:val="0"/>
        <w:autoSpaceDN w:val="0"/>
        <w:adjustRightInd w:val="0"/>
        <w:spacing w:after="0" w:line="240" w:lineRule="auto"/>
        <w:ind w:left="640" w:hanging="640"/>
        <w:jc w:val="both"/>
        <w:rPr>
          <w:rFonts w:ascii="Times New Roman" w:eastAsia="Times New Roman" w:hAnsi="Times New Roman" w:cs="Times New Roman"/>
          <w:b/>
          <w:lang w:val="id-ID"/>
        </w:rPr>
      </w:pPr>
      <w:r w:rsidRPr="00A97263">
        <w:rPr>
          <w:rFonts w:ascii="Times New Roman" w:eastAsia="Times New Roman" w:hAnsi="Times New Roman" w:cs="Times New Roman"/>
          <w:b/>
          <w:sz w:val="20"/>
          <w:szCs w:val="20"/>
        </w:rPr>
        <w:fldChar w:fldCharType="end"/>
      </w:r>
    </w:p>
    <w:sectPr w:rsidR="00B400D8" w:rsidRPr="008479CD">
      <w:pgSz w:w="11906" w:h="16838"/>
      <w:pgMar w:top="2268" w:right="1418" w:bottom="153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E859A" w14:textId="77777777" w:rsidR="003506ED" w:rsidRDefault="003506ED" w:rsidP="00994707">
      <w:pPr>
        <w:spacing w:after="0" w:line="240" w:lineRule="auto"/>
      </w:pPr>
      <w:r>
        <w:separator/>
      </w:r>
    </w:p>
  </w:endnote>
  <w:endnote w:type="continuationSeparator" w:id="0">
    <w:p w14:paraId="0FAE6B33" w14:textId="77777777" w:rsidR="003506ED" w:rsidRDefault="003506ED" w:rsidP="0099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8AAAB" w14:textId="77777777" w:rsidR="003506ED" w:rsidRDefault="003506ED" w:rsidP="00994707">
      <w:pPr>
        <w:spacing w:after="0" w:line="240" w:lineRule="auto"/>
      </w:pPr>
      <w:r>
        <w:separator/>
      </w:r>
    </w:p>
  </w:footnote>
  <w:footnote w:type="continuationSeparator" w:id="0">
    <w:p w14:paraId="1B3A54FD" w14:textId="77777777" w:rsidR="003506ED" w:rsidRDefault="003506ED" w:rsidP="00994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261CB"/>
    <w:multiLevelType w:val="multilevel"/>
    <w:tmpl w:val="0AEA0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B864B26"/>
    <w:multiLevelType w:val="multilevel"/>
    <w:tmpl w:val="5E72BC9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Q0trCwMLY0MzIwsjRS0lEKTi0uzszPAykwrgUAbL1FhywAAAA="/>
  </w:docVars>
  <w:rsids>
    <w:rsidRoot w:val="00B400D8"/>
    <w:rsid w:val="000237B4"/>
    <w:rsid w:val="00054B5C"/>
    <w:rsid w:val="0006483B"/>
    <w:rsid w:val="000C4D5E"/>
    <w:rsid w:val="000F1FF7"/>
    <w:rsid w:val="000F4DE6"/>
    <w:rsid w:val="00111249"/>
    <w:rsid w:val="00120B1E"/>
    <w:rsid w:val="00121D81"/>
    <w:rsid w:val="001770B6"/>
    <w:rsid w:val="00212230"/>
    <w:rsid w:val="0023262E"/>
    <w:rsid w:val="00253575"/>
    <w:rsid w:val="002F4483"/>
    <w:rsid w:val="003506ED"/>
    <w:rsid w:val="00392F8C"/>
    <w:rsid w:val="003E508A"/>
    <w:rsid w:val="00436236"/>
    <w:rsid w:val="00481949"/>
    <w:rsid w:val="0049699B"/>
    <w:rsid w:val="004C0617"/>
    <w:rsid w:val="004F4125"/>
    <w:rsid w:val="00566290"/>
    <w:rsid w:val="005A2415"/>
    <w:rsid w:val="005E6C04"/>
    <w:rsid w:val="00654FCA"/>
    <w:rsid w:val="00715932"/>
    <w:rsid w:val="00793BDA"/>
    <w:rsid w:val="007A68F3"/>
    <w:rsid w:val="007C0A2D"/>
    <w:rsid w:val="007D2C91"/>
    <w:rsid w:val="00833EC3"/>
    <w:rsid w:val="008479CD"/>
    <w:rsid w:val="008722D3"/>
    <w:rsid w:val="0088118B"/>
    <w:rsid w:val="00884151"/>
    <w:rsid w:val="008B33FD"/>
    <w:rsid w:val="008B5E67"/>
    <w:rsid w:val="00903AD5"/>
    <w:rsid w:val="00994707"/>
    <w:rsid w:val="009B7A22"/>
    <w:rsid w:val="00A97263"/>
    <w:rsid w:val="00AE7F46"/>
    <w:rsid w:val="00B400D8"/>
    <w:rsid w:val="00B95C16"/>
    <w:rsid w:val="00BC0D61"/>
    <w:rsid w:val="00C31061"/>
    <w:rsid w:val="00C34285"/>
    <w:rsid w:val="00C856AB"/>
    <w:rsid w:val="00CE1604"/>
    <w:rsid w:val="00D26B4F"/>
    <w:rsid w:val="00D445E1"/>
    <w:rsid w:val="00D52097"/>
    <w:rsid w:val="00DA721A"/>
    <w:rsid w:val="00DC35CD"/>
    <w:rsid w:val="00DC7238"/>
    <w:rsid w:val="00DF5EF0"/>
    <w:rsid w:val="00E368B3"/>
    <w:rsid w:val="00EB2E7B"/>
    <w:rsid w:val="00ED2BCC"/>
    <w:rsid w:val="00EE1CAD"/>
    <w:rsid w:val="00F1685F"/>
    <w:rsid w:val="00F20593"/>
    <w:rsid w:val="00F562C1"/>
    <w:rsid w:val="00F77F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73B83"/>
  <w15:docId w15:val="{7274C751-40E9-41AD-A943-84B99BAE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28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paragraph" w:styleId="Header">
    <w:name w:val="header"/>
    <w:basedOn w:val="Normal"/>
    <w:link w:val="HeaderChar"/>
    <w:uiPriority w:val="99"/>
    <w:unhideWhenUsed/>
    <w:rsid w:val="00994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707"/>
  </w:style>
  <w:style w:type="paragraph" w:styleId="Footer">
    <w:name w:val="footer"/>
    <w:basedOn w:val="Normal"/>
    <w:link w:val="FooterChar"/>
    <w:uiPriority w:val="99"/>
    <w:unhideWhenUsed/>
    <w:rsid w:val="00994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707"/>
  </w:style>
  <w:style w:type="character" w:styleId="Hyperlink">
    <w:name w:val="Hyperlink"/>
    <w:basedOn w:val="DefaultParagraphFont"/>
    <w:uiPriority w:val="99"/>
    <w:unhideWhenUsed/>
    <w:rsid w:val="0088118B"/>
    <w:rPr>
      <w:color w:val="0000FF" w:themeColor="hyperlink"/>
      <w:u w:val="single"/>
    </w:rPr>
  </w:style>
  <w:style w:type="character" w:styleId="UnresolvedMention">
    <w:name w:val="Unresolved Mention"/>
    <w:basedOn w:val="DefaultParagraphFont"/>
    <w:uiPriority w:val="99"/>
    <w:semiHidden/>
    <w:unhideWhenUsed/>
    <w:rsid w:val="00881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783918">
      <w:bodyDiv w:val="1"/>
      <w:marLeft w:val="0"/>
      <w:marRight w:val="0"/>
      <w:marTop w:val="0"/>
      <w:marBottom w:val="0"/>
      <w:divBdr>
        <w:top w:val="none" w:sz="0" w:space="0" w:color="auto"/>
        <w:left w:val="none" w:sz="0" w:space="0" w:color="auto"/>
        <w:bottom w:val="none" w:sz="0" w:space="0" w:color="auto"/>
        <w:right w:val="none" w:sz="0" w:space="0" w:color="auto"/>
      </w:divBdr>
    </w:div>
    <w:div w:id="1996451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dir@uthm.edu.my" TargetMode="External"/><Relationship Id="rId18"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urnomo@um.ac.id"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at.mukhadis.ft@um.ac.id" TargetMode="External"/><Relationship Id="rId5" Type="http://schemas.openxmlformats.org/officeDocument/2006/relationships/settings" Target="settings.xml"/><Relationship Id="rId15" Type="http://schemas.openxmlformats.org/officeDocument/2006/relationships/diagramData" Target="diagrams/data1.xml"/><Relationship Id="rId10" Type="http://schemas.openxmlformats.org/officeDocument/2006/relationships/hyperlink" Target="mailto:andika.bagus.ft@um.ac.id" TargetMode="External"/><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hyperlink" Target="mailto:tuwoso.ft@um.ac.id"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12.%20ICTVT%20UNY\ICTVT%20UPLOAD\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plotArea>
      <c:layout/>
      <c:barChart>
        <c:barDir val="bar"/>
        <c:grouping val="clustered"/>
        <c:varyColors val="0"/>
        <c:ser>
          <c:idx val="0"/>
          <c:order val="0"/>
          <c:tx>
            <c:strRef>
              <c:f>Sheet1!$D$4</c:f>
              <c:strCache>
                <c:ptCount val="1"/>
                <c:pt idx="0">
                  <c:v>Persentase</c:v>
                </c:pt>
              </c:strCache>
            </c:strRef>
          </c:tx>
          <c:invertIfNegative val="0"/>
          <c:dPt>
            <c:idx val="0"/>
            <c:invertIfNegative val="0"/>
            <c:bubble3D val="0"/>
            <c:spPr>
              <a:solidFill>
                <a:schemeClr val="accent4">
                  <a:lumMod val="40000"/>
                  <a:lumOff val="60000"/>
                </a:schemeClr>
              </a:solidFill>
            </c:spPr>
            <c:extLst>
              <c:ext xmlns:c16="http://schemas.microsoft.com/office/drawing/2014/chart" uri="{C3380CC4-5D6E-409C-BE32-E72D297353CC}">
                <c16:uniqueId val="{00000001-7733-4C92-973C-C17BA99F5AC7}"/>
              </c:ext>
            </c:extLst>
          </c:dPt>
          <c:dPt>
            <c:idx val="1"/>
            <c:invertIfNegative val="0"/>
            <c:bubble3D val="0"/>
            <c:spPr>
              <a:solidFill>
                <a:schemeClr val="accent6">
                  <a:lumMod val="75000"/>
                </a:schemeClr>
              </a:solidFill>
            </c:spPr>
            <c:extLst>
              <c:ext xmlns:c16="http://schemas.microsoft.com/office/drawing/2014/chart" uri="{C3380CC4-5D6E-409C-BE32-E72D297353CC}">
                <c16:uniqueId val="{00000003-7733-4C92-973C-C17BA99F5AC7}"/>
              </c:ext>
            </c:extLst>
          </c:dPt>
          <c:dPt>
            <c:idx val="2"/>
            <c:invertIfNegative val="0"/>
            <c:bubble3D val="0"/>
            <c:extLst>
              <c:ext xmlns:c16="http://schemas.microsoft.com/office/drawing/2014/chart" uri="{C3380CC4-5D6E-409C-BE32-E72D297353CC}">
                <c16:uniqueId val="{00000004-7733-4C92-973C-C17BA99F5AC7}"/>
              </c:ext>
            </c:extLst>
          </c:dPt>
          <c:dPt>
            <c:idx val="3"/>
            <c:invertIfNegative val="0"/>
            <c:bubble3D val="0"/>
            <c:spPr>
              <a:solidFill>
                <a:srgbClr val="FFFF00"/>
              </a:solidFill>
            </c:spPr>
            <c:extLst>
              <c:ext xmlns:c16="http://schemas.microsoft.com/office/drawing/2014/chart" uri="{C3380CC4-5D6E-409C-BE32-E72D297353CC}">
                <c16:uniqueId val="{00000006-7733-4C92-973C-C17BA99F5AC7}"/>
              </c:ext>
            </c:extLst>
          </c:dPt>
          <c:dPt>
            <c:idx val="4"/>
            <c:invertIfNegative val="0"/>
            <c:bubble3D val="0"/>
            <c:spPr>
              <a:solidFill>
                <a:schemeClr val="tx1">
                  <a:lumMod val="95000"/>
                  <a:lumOff val="5000"/>
                </a:schemeClr>
              </a:solidFill>
            </c:spPr>
            <c:extLst>
              <c:ext xmlns:c16="http://schemas.microsoft.com/office/drawing/2014/chart" uri="{C3380CC4-5D6E-409C-BE32-E72D297353CC}">
                <c16:uniqueId val="{00000008-7733-4C92-973C-C17BA99F5AC7}"/>
              </c:ext>
            </c:extLst>
          </c:dPt>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Sheet1!$C$5:$C$9</c:f>
              <c:strCache>
                <c:ptCount val="5"/>
                <c:pt idx="0">
                  <c:v>Idea Development
</c:v>
                </c:pt>
                <c:pt idx="1">
                  <c:v>Utilization of Infrastructure
</c:v>
                </c:pt>
                <c:pt idx="2">
                  <c:v>Deepen Knowledge
</c:v>
                </c:pt>
                <c:pt idx="3">
                  <c:v>Professional Organizing
</c:v>
                </c:pt>
                <c:pt idx="4">
                  <c:v>Mental Stimulation
</c:v>
                </c:pt>
              </c:strCache>
            </c:strRef>
          </c:cat>
          <c:val>
            <c:numRef>
              <c:f>Sheet1!$D$5:$D$9</c:f>
              <c:numCache>
                <c:formatCode>0%</c:formatCode>
                <c:ptCount val="5"/>
                <c:pt idx="0">
                  <c:v>0.78</c:v>
                </c:pt>
                <c:pt idx="1">
                  <c:v>0.82</c:v>
                </c:pt>
                <c:pt idx="2">
                  <c:v>0.9</c:v>
                </c:pt>
                <c:pt idx="3">
                  <c:v>0.88</c:v>
                </c:pt>
                <c:pt idx="4">
                  <c:v>0.9</c:v>
                </c:pt>
              </c:numCache>
            </c:numRef>
          </c:val>
          <c:extLst>
            <c:ext xmlns:c16="http://schemas.microsoft.com/office/drawing/2014/chart" uri="{C3380CC4-5D6E-409C-BE32-E72D297353CC}">
              <c16:uniqueId val="{00000009-7733-4C92-973C-C17BA99F5AC7}"/>
            </c:ext>
          </c:extLst>
        </c:ser>
        <c:dLbls>
          <c:showLegendKey val="0"/>
          <c:showVal val="1"/>
          <c:showCatName val="0"/>
          <c:showSerName val="0"/>
          <c:showPercent val="0"/>
          <c:showBubbleSize val="0"/>
        </c:dLbls>
        <c:gapWidth val="75"/>
        <c:axId val="96237440"/>
        <c:axId val="96451200"/>
      </c:barChart>
      <c:catAx>
        <c:axId val="96237440"/>
        <c:scaling>
          <c:orientation val="minMax"/>
        </c:scaling>
        <c:delete val="0"/>
        <c:axPos val="l"/>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96451200"/>
        <c:crosses val="autoZero"/>
        <c:auto val="1"/>
        <c:lblAlgn val="ctr"/>
        <c:lblOffset val="100"/>
        <c:noMultiLvlLbl val="0"/>
      </c:catAx>
      <c:valAx>
        <c:axId val="96451200"/>
        <c:scaling>
          <c:orientation val="minMax"/>
        </c:scaling>
        <c:delete val="0"/>
        <c:axPos val="b"/>
        <c:numFmt formatCode="0%"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96237440"/>
        <c:crosses val="autoZero"/>
        <c:crossBetween val="between"/>
      </c:valAx>
      <c:spPr>
        <a:ln w="9525"/>
      </c:spPr>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B7E942-38B0-4656-8B4A-E6240E4AF24E}" type="doc">
      <dgm:prSet loTypeId="urn:microsoft.com/office/officeart/2005/8/layout/pyramid2" loCatId="pyramid" qsTypeId="urn:microsoft.com/office/officeart/2005/8/quickstyle/simple4" qsCatId="simple" csTypeId="urn:microsoft.com/office/officeart/2005/8/colors/colorful5" csCatId="colorful" phldr="1"/>
      <dgm:spPr/>
      <dgm:t>
        <a:bodyPr/>
        <a:lstStyle/>
        <a:p>
          <a:endParaRPr lang="id-ID"/>
        </a:p>
      </dgm:t>
    </dgm:pt>
    <dgm:pt modelId="{7A646595-8184-4655-BFFF-8EC6817D77DD}">
      <dgm:prSet phldrT="[Text]" custT="1"/>
      <dgm:spPr>
        <a:xfrm>
          <a:off x="1357797" y="248683"/>
          <a:ext cx="1614865" cy="353251"/>
        </a:xfrm>
        <a:prstGeom prst="roundRect">
          <a:avLst/>
        </a:prstGeom>
        <a:solidFill>
          <a:srgbClr val="FFFF00">
            <a:alpha val="90000"/>
          </a:srgbClr>
        </a:solidFill>
        <a:ln w="9525" cap="flat" cmpd="sng" algn="ctr">
          <a:solidFill>
            <a:srgbClr val="4BACC6">
              <a:hueOff val="0"/>
              <a:satOff val="0"/>
              <a:lumOff val="0"/>
              <a:alphaOff val="0"/>
            </a:srgbClr>
          </a:solidFill>
          <a:prstDash val="solid"/>
        </a:ln>
        <a:effectLst/>
      </dgm:spPr>
      <dgm:t>
        <a:bodyPr/>
        <a:lstStyle/>
        <a:p>
          <a:pPr algn="ctr"/>
          <a:r>
            <a:rPr lang="id-ID" sz="1000">
              <a:solidFill>
                <a:sysClr val="windowText" lastClr="000000">
                  <a:hueOff val="0"/>
                  <a:satOff val="0"/>
                  <a:lumOff val="0"/>
                  <a:alphaOff val="0"/>
                </a:sysClr>
              </a:solidFill>
              <a:latin typeface="Times New Roman" pitchFamily="18" charset="0"/>
              <a:ea typeface="+mn-ea"/>
              <a:cs typeface="Times New Roman" pitchFamily="18" charset="0"/>
            </a:rPr>
            <a:t>Idea Development</a:t>
          </a:r>
        </a:p>
      </dgm:t>
    </dgm:pt>
    <dgm:pt modelId="{B93D1579-330A-4323-A533-602E48365A08}" type="parTrans" cxnId="{9AC9B4F7-5AA0-47AC-842C-EC472FD15827}">
      <dgm:prSet/>
      <dgm:spPr/>
      <dgm:t>
        <a:bodyPr/>
        <a:lstStyle/>
        <a:p>
          <a:pPr algn="ctr"/>
          <a:endParaRPr lang="id-ID"/>
        </a:p>
      </dgm:t>
    </dgm:pt>
    <dgm:pt modelId="{84940850-EAE4-4BEE-8571-486BFEFF6A24}" type="sibTrans" cxnId="{9AC9B4F7-5AA0-47AC-842C-EC472FD15827}">
      <dgm:prSet/>
      <dgm:spPr/>
      <dgm:t>
        <a:bodyPr/>
        <a:lstStyle/>
        <a:p>
          <a:pPr algn="ctr"/>
          <a:endParaRPr lang="id-ID"/>
        </a:p>
      </dgm:t>
    </dgm:pt>
    <dgm:pt modelId="{11D398E3-25FE-4651-895C-873F5DCCB81B}">
      <dgm:prSet phldrT="[Text]" custT="1"/>
      <dgm:spPr>
        <a:xfrm>
          <a:off x="1357797" y="646091"/>
          <a:ext cx="1614865" cy="353251"/>
        </a:xfrm>
        <a:prstGeom prst="roundRect">
          <a:avLst/>
        </a:prstGeom>
        <a:solidFill>
          <a:schemeClr val="bg1">
            <a:lumMod val="95000"/>
            <a:alpha val="90000"/>
          </a:schemeClr>
        </a:solidFill>
        <a:ln w="9525" cap="flat" cmpd="sng" algn="ctr">
          <a:solidFill>
            <a:srgbClr val="4BACC6">
              <a:hueOff val="-2483469"/>
              <a:satOff val="9953"/>
              <a:lumOff val="2157"/>
              <a:alphaOff val="0"/>
            </a:srgbClr>
          </a:solidFill>
          <a:prstDash val="solid"/>
        </a:ln>
        <a:effectLst/>
      </dgm:spPr>
      <dgm:t>
        <a:bodyPr/>
        <a:lstStyle/>
        <a:p>
          <a:pPr algn="ctr"/>
          <a:r>
            <a:rPr lang="id-ID" sz="1000">
              <a:solidFill>
                <a:sysClr val="windowText" lastClr="000000">
                  <a:hueOff val="0"/>
                  <a:satOff val="0"/>
                  <a:lumOff val="0"/>
                  <a:alphaOff val="0"/>
                </a:sysClr>
              </a:solidFill>
              <a:latin typeface="Times New Roman" pitchFamily="18" charset="0"/>
              <a:ea typeface="+mn-ea"/>
              <a:cs typeface="Times New Roman" pitchFamily="18" charset="0"/>
            </a:rPr>
            <a:t>Utilization of Infrastructure</a:t>
          </a:r>
        </a:p>
      </dgm:t>
    </dgm:pt>
    <dgm:pt modelId="{08DF4883-3A7D-4F27-BE19-6BA7C0FD414F}" type="parTrans" cxnId="{3AA943D1-CA9C-439F-9E1A-0824D022FE7A}">
      <dgm:prSet/>
      <dgm:spPr/>
      <dgm:t>
        <a:bodyPr/>
        <a:lstStyle/>
        <a:p>
          <a:pPr algn="ctr"/>
          <a:endParaRPr lang="id-ID"/>
        </a:p>
      </dgm:t>
    </dgm:pt>
    <dgm:pt modelId="{1C335265-60F4-4660-B87B-0CFE862572E8}" type="sibTrans" cxnId="{3AA943D1-CA9C-439F-9E1A-0824D022FE7A}">
      <dgm:prSet/>
      <dgm:spPr/>
      <dgm:t>
        <a:bodyPr/>
        <a:lstStyle/>
        <a:p>
          <a:pPr algn="ctr"/>
          <a:endParaRPr lang="id-ID"/>
        </a:p>
      </dgm:t>
    </dgm:pt>
    <dgm:pt modelId="{423A2F7C-1593-41B9-96B2-C09FC44F22A1}">
      <dgm:prSet phldrT="[Text]"/>
      <dgm:spPr>
        <a:xfrm>
          <a:off x="1357797" y="1043499"/>
          <a:ext cx="1614865" cy="353251"/>
        </a:xfrm>
        <a:prstGeom prst="roundRect">
          <a:avLst/>
        </a:prstGeom>
        <a:solidFill>
          <a:schemeClr val="accent2">
            <a:lumMod val="40000"/>
            <a:lumOff val="60000"/>
            <a:alpha val="90000"/>
          </a:schemeClr>
        </a:solidFill>
        <a:ln w="9525" cap="flat" cmpd="sng" algn="ctr">
          <a:solidFill>
            <a:srgbClr val="4BACC6">
              <a:hueOff val="-4966938"/>
              <a:satOff val="19906"/>
              <a:lumOff val="4314"/>
              <a:alphaOff val="0"/>
            </a:srgbClr>
          </a:solidFill>
          <a:prstDash val="solid"/>
        </a:ln>
        <a:effectLst/>
      </dgm:spPr>
      <dgm:t>
        <a:bodyPr/>
        <a:lstStyle/>
        <a:p>
          <a:pPr algn="ctr"/>
          <a:r>
            <a:rPr lang="id-ID">
              <a:solidFill>
                <a:sysClr val="windowText" lastClr="000000">
                  <a:hueOff val="0"/>
                  <a:satOff val="0"/>
                  <a:lumOff val="0"/>
                  <a:alphaOff val="0"/>
                </a:sysClr>
              </a:solidFill>
              <a:latin typeface="Times New Roman" pitchFamily="18" charset="0"/>
              <a:ea typeface="+mn-ea"/>
              <a:cs typeface="Times New Roman" pitchFamily="18" charset="0"/>
            </a:rPr>
            <a:t>Deepen Knowledge</a:t>
          </a:r>
        </a:p>
      </dgm:t>
    </dgm:pt>
    <dgm:pt modelId="{C438C2D3-2A72-4C2D-99F0-E002C1948E25}" type="parTrans" cxnId="{38B433B6-E839-4EF5-82F8-8D44FFB01B92}">
      <dgm:prSet/>
      <dgm:spPr/>
      <dgm:t>
        <a:bodyPr/>
        <a:lstStyle/>
        <a:p>
          <a:pPr algn="ctr"/>
          <a:endParaRPr lang="id-ID"/>
        </a:p>
      </dgm:t>
    </dgm:pt>
    <dgm:pt modelId="{21A60A3E-6D5E-4CD3-BC05-2A0BA12F1D0D}" type="sibTrans" cxnId="{38B433B6-E839-4EF5-82F8-8D44FFB01B92}">
      <dgm:prSet/>
      <dgm:spPr/>
      <dgm:t>
        <a:bodyPr/>
        <a:lstStyle/>
        <a:p>
          <a:pPr algn="ctr"/>
          <a:endParaRPr lang="id-ID"/>
        </a:p>
      </dgm:t>
    </dgm:pt>
    <dgm:pt modelId="{91AEE50E-E585-416F-9F1E-14E1B5BDA396}">
      <dgm:prSet phldrT="[Text]"/>
      <dgm:spPr>
        <a:xfrm>
          <a:off x="1357797" y="1440908"/>
          <a:ext cx="1614865" cy="353251"/>
        </a:xfrm>
        <a:prstGeom prst="roundRect">
          <a:avLst/>
        </a:prstGeom>
        <a:solidFill>
          <a:srgbClr val="9BBB59">
            <a:lumMod val="60000"/>
            <a:lumOff val="40000"/>
            <a:alpha val="90000"/>
          </a:srgbClr>
        </a:solidFill>
        <a:ln w="9525" cap="flat" cmpd="sng" algn="ctr">
          <a:solidFill>
            <a:srgbClr val="4BACC6">
              <a:hueOff val="-7450407"/>
              <a:satOff val="29858"/>
              <a:lumOff val="6471"/>
              <a:alphaOff val="0"/>
            </a:srgbClr>
          </a:solidFill>
          <a:prstDash val="solid"/>
        </a:ln>
        <a:effectLst/>
      </dgm:spPr>
      <dgm:t>
        <a:bodyPr/>
        <a:lstStyle/>
        <a:p>
          <a:pPr algn="ctr"/>
          <a:r>
            <a:rPr lang="id-ID">
              <a:solidFill>
                <a:sysClr val="windowText" lastClr="000000">
                  <a:hueOff val="0"/>
                  <a:satOff val="0"/>
                  <a:lumOff val="0"/>
                  <a:alphaOff val="0"/>
                </a:sysClr>
              </a:solidFill>
              <a:latin typeface="Times New Roman" pitchFamily="18" charset="0"/>
              <a:ea typeface="+mn-ea"/>
              <a:cs typeface="Times New Roman" pitchFamily="18" charset="0"/>
            </a:rPr>
            <a:t>Professional Organizing</a:t>
          </a:r>
        </a:p>
      </dgm:t>
    </dgm:pt>
    <dgm:pt modelId="{FF26CF80-39A0-4C2E-A56E-5AB90ED02380}" type="parTrans" cxnId="{66ED88AE-EAAB-4844-B788-31F10A70C011}">
      <dgm:prSet/>
      <dgm:spPr/>
      <dgm:t>
        <a:bodyPr/>
        <a:lstStyle/>
        <a:p>
          <a:pPr algn="ctr"/>
          <a:endParaRPr lang="id-ID"/>
        </a:p>
      </dgm:t>
    </dgm:pt>
    <dgm:pt modelId="{8856B9B8-47AA-4191-A9B9-A171460B673D}" type="sibTrans" cxnId="{66ED88AE-EAAB-4844-B788-31F10A70C011}">
      <dgm:prSet/>
      <dgm:spPr/>
      <dgm:t>
        <a:bodyPr/>
        <a:lstStyle/>
        <a:p>
          <a:pPr algn="ctr"/>
          <a:endParaRPr lang="id-ID"/>
        </a:p>
      </dgm:t>
    </dgm:pt>
    <dgm:pt modelId="{D930BE1C-B84E-4C8C-97C9-80C46A84088A}">
      <dgm:prSet phldrT="[Text]"/>
      <dgm:spPr>
        <a:xfrm>
          <a:off x="1357797" y="1838316"/>
          <a:ext cx="1614865" cy="353251"/>
        </a:xfrm>
        <a:prstGeom prst="roundRect">
          <a:avLst/>
        </a:prstGeom>
        <a:solidFill>
          <a:schemeClr val="accent6">
            <a:lumMod val="40000"/>
            <a:lumOff val="60000"/>
            <a:alpha val="90000"/>
          </a:schemeClr>
        </a:solidFill>
        <a:ln w="9525" cap="flat" cmpd="sng" algn="ctr">
          <a:solidFill>
            <a:srgbClr val="4BACC6">
              <a:hueOff val="-9933876"/>
              <a:satOff val="39811"/>
              <a:lumOff val="8628"/>
              <a:alphaOff val="0"/>
            </a:srgbClr>
          </a:solidFill>
          <a:prstDash val="solid"/>
        </a:ln>
        <a:effectLst/>
      </dgm:spPr>
      <dgm:t>
        <a:bodyPr/>
        <a:lstStyle/>
        <a:p>
          <a:pPr algn="ctr"/>
          <a:r>
            <a:rPr lang="id-ID">
              <a:solidFill>
                <a:sysClr val="windowText" lastClr="000000">
                  <a:hueOff val="0"/>
                  <a:satOff val="0"/>
                  <a:lumOff val="0"/>
                  <a:alphaOff val="0"/>
                </a:sysClr>
              </a:solidFill>
              <a:latin typeface="Times New Roman" pitchFamily="18" charset="0"/>
              <a:ea typeface="+mn-ea"/>
              <a:cs typeface="Times New Roman" pitchFamily="18" charset="0"/>
            </a:rPr>
            <a:t>Mental Stimulation</a:t>
          </a:r>
        </a:p>
      </dgm:t>
    </dgm:pt>
    <dgm:pt modelId="{888AA306-7604-4C3B-9D71-B2C0AED3A2A9}" type="parTrans" cxnId="{7A39D733-381F-42FD-A52F-BEEF8481B289}">
      <dgm:prSet/>
      <dgm:spPr/>
      <dgm:t>
        <a:bodyPr/>
        <a:lstStyle/>
        <a:p>
          <a:pPr algn="ctr"/>
          <a:endParaRPr lang="id-ID"/>
        </a:p>
      </dgm:t>
    </dgm:pt>
    <dgm:pt modelId="{066CD5AE-A3F0-4118-B21E-969A7427F87A}" type="sibTrans" cxnId="{7A39D733-381F-42FD-A52F-BEEF8481B289}">
      <dgm:prSet/>
      <dgm:spPr/>
      <dgm:t>
        <a:bodyPr/>
        <a:lstStyle/>
        <a:p>
          <a:pPr algn="ctr"/>
          <a:endParaRPr lang="id-ID"/>
        </a:p>
      </dgm:t>
    </dgm:pt>
    <dgm:pt modelId="{2DC7BAC4-1E25-4FF9-B87D-2E1FB53CE9D6}" type="pres">
      <dgm:prSet presAssocID="{DCB7E942-38B0-4656-8B4A-E6240E4AF24E}" presName="compositeShape" presStyleCnt="0">
        <dgm:presLayoutVars>
          <dgm:dir/>
          <dgm:resizeHandles/>
        </dgm:presLayoutVars>
      </dgm:prSet>
      <dgm:spPr/>
    </dgm:pt>
    <dgm:pt modelId="{CB64479D-A950-4BF8-8A48-DFEAA31CA25B}" type="pres">
      <dgm:prSet presAssocID="{DCB7E942-38B0-4656-8B4A-E6240E4AF24E}" presName="pyramid" presStyleLbl="node1" presStyleIdx="0" presStyleCnt="1"/>
      <dgm:spPr>
        <a:xfrm>
          <a:off x="115593" y="0"/>
          <a:ext cx="2484408" cy="2484408"/>
        </a:xfrm>
        <a:prstGeom prst="hexagon">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solidFill>
            <a:schemeClr val="tx1">
              <a:lumMod val="95000"/>
              <a:lumOff val="5000"/>
            </a:schemeClr>
          </a:solidFill>
        </a:ln>
        <a:effectLst>
          <a:outerShdw blurRad="40000" dist="23000" dir="5400000" rotWithShape="0">
            <a:srgbClr val="000000">
              <a:alpha val="35000"/>
            </a:srgbClr>
          </a:outerShdw>
        </a:effectLst>
      </dgm:spPr>
    </dgm:pt>
    <dgm:pt modelId="{9988CC0B-C13A-48B4-9680-0231ECDFEA79}" type="pres">
      <dgm:prSet presAssocID="{DCB7E942-38B0-4656-8B4A-E6240E4AF24E}" presName="theList" presStyleCnt="0"/>
      <dgm:spPr/>
    </dgm:pt>
    <dgm:pt modelId="{4F22253D-3334-477A-88AA-46A3E6C2FB89}" type="pres">
      <dgm:prSet presAssocID="{7A646595-8184-4655-BFFF-8EC6817D77DD}" presName="aNode" presStyleLbl="fgAcc1" presStyleIdx="0" presStyleCnt="5" custScaleX="173514">
        <dgm:presLayoutVars>
          <dgm:bulletEnabled val="1"/>
        </dgm:presLayoutVars>
      </dgm:prSet>
      <dgm:spPr/>
    </dgm:pt>
    <dgm:pt modelId="{DD87D941-104B-4F0E-BA68-455757B77FB9}" type="pres">
      <dgm:prSet presAssocID="{7A646595-8184-4655-BFFF-8EC6817D77DD}" presName="aSpace" presStyleCnt="0"/>
      <dgm:spPr/>
    </dgm:pt>
    <dgm:pt modelId="{41D508C2-8454-4E81-B04F-23494DC8C4EA}" type="pres">
      <dgm:prSet presAssocID="{11D398E3-25FE-4651-895C-873F5DCCB81B}" presName="aNode" presStyleLbl="fgAcc1" presStyleIdx="1" presStyleCnt="5" custScaleX="172302">
        <dgm:presLayoutVars>
          <dgm:bulletEnabled val="1"/>
        </dgm:presLayoutVars>
      </dgm:prSet>
      <dgm:spPr/>
    </dgm:pt>
    <dgm:pt modelId="{BA0621D0-54C6-4A37-AC05-D1DB45587DA9}" type="pres">
      <dgm:prSet presAssocID="{11D398E3-25FE-4651-895C-873F5DCCB81B}" presName="aSpace" presStyleCnt="0"/>
      <dgm:spPr/>
    </dgm:pt>
    <dgm:pt modelId="{1952C3E9-99EC-4476-8178-9198185F0FCB}" type="pres">
      <dgm:prSet presAssocID="{423A2F7C-1593-41B9-96B2-C09FC44F22A1}" presName="aNode" presStyleLbl="fgAcc1" presStyleIdx="2" presStyleCnt="5" custScaleX="168626">
        <dgm:presLayoutVars>
          <dgm:bulletEnabled val="1"/>
        </dgm:presLayoutVars>
      </dgm:prSet>
      <dgm:spPr/>
    </dgm:pt>
    <dgm:pt modelId="{ED632944-D3DE-4B3C-BE08-8FA57BA5C790}" type="pres">
      <dgm:prSet presAssocID="{423A2F7C-1593-41B9-96B2-C09FC44F22A1}" presName="aSpace" presStyleCnt="0"/>
      <dgm:spPr/>
    </dgm:pt>
    <dgm:pt modelId="{C743137C-F3FE-428D-95D8-C8E460A08811}" type="pres">
      <dgm:prSet presAssocID="{91AEE50E-E585-416F-9F1E-14E1B5BDA396}" presName="aNode" presStyleLbl="fgAcc1" presStyleIdx="3" presStyleCnt="5" custScaleX="165878">
        <dgm:presLayoutVars>
          <dgm:bulletEnabled val="1"/>
        </dgm:presLayoutVars>
      </dgm:prSet>
      <dgm:spPr/>
    </dgm:pt>
    <dgm:pt modelId="{C5800949-F3A5-47E8-93C4-70A11F798A12}" type="pres">
      <dgm:prSet presAssocID="{91AEE50E-E585-416F-9F1E-14E1B5BDA396}" presName="aSpace" presStyleCnt="0"/>
      <dgm:spPr/>
    </dgm:pt>
    <dgm:pt modelId="{73FC177D-EABE-4FBE-9A65-46796C811C02}" type="pres">
      <dgm:prSet presAssocID="{D930BE1C-B84E-4C8C-97C9-80C46A84088A}" presName="aNode" presStyleLbl="fgAcc1" presStyleIdx="4" presStyleCnt="5" custScaleX="165878">
        <dgm:presLayoutVars>
          <dgm:bulletEnabled val="1"/>
        </dgm:presLayoutVars>
      </dgm:prSet>
      <dgm:spPr/>
    </dgm:pt>
    <dgm:pt modelId="{DA5DCF82-B181-4140-BCC1-EFB064A4BEA3}" type="pres">
      <dgm:prSet presAssocID="{D930BE1C-B84E-4C8C-97C9-80C46A84088A}" presName="aSpace" presStyleCnt="0"/>
      <dgm:spPr/>
    </dgm:pt>
  </dgm:ptLst>
  <dgm:cxnLst>
    <dgm:cxn modelId="{E51E1702-310A-419D-8B91-25DA15CD09D5}" type="presOf" srcId="{91AEE50E-E585-416F-9F1E-14E1B5BDA396}" destId="{C743137C-F3FE-428D-95D8-C8E460A08811}" srcOrd="0" destOrd="0" presId="urn:microsoft.com/office/officeart/2005/8/layout/pyramid2"/>
    <dgm:cxn modelId="{AE48F12A-C438-45CE-98F9-A9AA48AE10E8}" type="presOf" srcId="{DCB7E942-38B0-4656-8B4A-E6240E4AF24E}" destId="{2DC7BAC4-1E25-4FF9-B87D-2E1FB53CE9D6}" srcOrd="0" destOrd="0" presId="urn:microsoft.com/office/officeart/2005/8/layout/pyramid2"/>
    <dgm:cxn modelId="{7A39D733-381F-42FD-A52F-BEEF8481B289}" srcId="{DCB7E942-38B0-4656-8B4A-E6240E4AF24E}" destId="{D930BE1C-B84E-4C8C-97C9-80C46A84088A}" srcOrd="4" destOrd="0" parTransId="{888AA306-7604-4C3B-9D71-B2C0AED3A2A9}" sibTransId="{066CD5AE-A3F0-4118-B21E-969A7427F87A}"/>
    <dgm:cxn modelId="{55A69F38-3364-44FE-A611-80DA493F41E9}" type="presOf" srcId="{11D398E3-25FE-4651-895C-873F5DCCB81B}" destId="{41D508C2-8454-4E81-B04F-23494DC8C4EA}" srcOrd="0" destOrd="0" presId="urn:microsoft.com/office/officeart/2005/8/layout/pyramid2"/>
    <dgm:cxn modelId="{23E57C6E-0E2B-4AC1-B9F3-F2AAE7BEF0D4}" type="presOf" srcId="{423A2F7C-1593-41B9-96B2-C09FC44F22A1}" destId="{1952C3E9-99EC-4476-8178-9198185F0FCB}" srcOrd="0" destOrd="0" presId="urn:microsoft.com/office/officeart/2005/8/layout/pyramid2"/>
    <dgm:cxn modelId="{6D2B9155-475B-4AA5-B5BB-4A35A3261C91}" type="presOf" srcId="{D930BE1C-B84E-4C8C-97C9-80C46A84088A}" destId="{73FC177D-EABE-4FBE-9A65-46796C811C02}" srcOrd="0" destOrd="0" presId="urn:microsoft.com/office/officeart/2005/8/layout/pyramid2"/>
    <dgm:cxn modelId="{31772A90-FBB1-4CBE-8911-282E0E014995}" type="presOf" srcId="{7A646595-8184-4655-BFFF-8EC6817D77DD}" destId="{4F22253D-3334-477A-88AA-46A3E6C2FB89}" srcOrd="0" destOrd="0" presId="urn:microsoft.com/office/officeart/2005/8/layout/pyramid2"/>
    <dgm:cxn modelId="{66ED88AE-EAAB-4844-B788-31F10A70C011}" srcId="{DCB7E942-38B0-4656-8B4A-E6240E4AF24E}" destId="{91AEE50E-E585-416F-9F1E-14E1B5BDA396}" srcOrd="3" destOrd="0" parTransId="{FF26CF80-39A0-4C2E-A56E-5AB90ED02380}" sibTransId="{8856B9B8-47AA-4191-A9B9-A171460B673D}"/>
    <dgm:cxn modelId="{38B433B6-E839-4EF5-82F8-8D44FFB01B92}" srcId="{DCB7E942-38B0-4656-8B4A-E6240E4AF24E}" destId="{423A2F7C-1593-41B9-96B2-C09FC44F22A1}" srcOrd="2" destOrd="0" parTransId="{C438C2D3-2A72-4C2D-99F0-E002C1948E25}" sibTransId="{21A60A3E-6D5E-4CD3-BC05-2A0BA12F1D0D}"/>
    <dgm:cxn modelId="{3AA943D1-CA9C-439F-9E1A-0824D022FE7A}" srcId="{DCB7E942-38B0-4656-8B4A-E6240E4AF24E}" destId="{11D398E3-25FE-4651-895C-873F5DCCB81B}" srcOrd="1" destOrd="0" parTransId="{08DF4883-3A7D-4F27-BE19-6BA7C0FD414F}" sibTransId="{1C335265-60F4-4660-B87B-0CFE862572E8}"/>
    <dgm:cxn modelId="{9AC9B4F7-5AA0-47AC-842C-EC472FD15827}" srcId="{DCB7E942-38B0-4656-8B4A-E6240E4AF24E}" destId="{7A646595-8184-4655-BFFF-8EC6817D77DD}" srcOrd="0" destOrd="0" parTransId="{B93D1579-330A-4323-A533-602E48365A08}" sibTransId="{84940850-EAE4-4BEE-8571-486BFEFF6A24}"/>
    <dgm:cxn modelId="{6F7E7F7F-5229-4D47-BD71-992BA38267B8}" type="presParOf" srcId="{2DC7BAC4-1E25-4FF9-B87D-2E1FB53CE9D6}" destId="{CB64479D-A950-4BF8-8A48-DFEAA31CA25B}" srcOrd="0" destOrd="0" presId="urn:microsoft.com/office/officeart/2005/8/layout/pyramid2"/>
    <dgm:cxn modelId="{922FCF19-8455-4F7E-8F56-DAA77A19643D}" type="presParOf" srcId="{2DC7BAC4-1E25-4FF9-B87D-2E1FB53CE9D6}" destId="{9988CC0B-C13A-48B4-9680-0231ECDFEA79}" srcOrd="1" destOrd="0" presId="urn:microsoft.com/office/officeart/2005/8/layout/pyramid2"/>
    <dgm:cxn modelId="{FDC2BD92-02B2-4650-B923-A69217C09C52}" type="presParOf" srcId="{9988CC0B-C13A-48B4-9680-0231ECDFEA79}" destId="{4F22253D-3334-477A-88AA-46A3E6C2FB89}" srcOrd="0" destOrd="0" presId="urn:microsoft.com/office/officeart/2005/8/layout/pyramid2"/>
    <dgm:cxn modelId="{EC017426-D18A-46CB-908F-6164DAE000E2}" type="presParOf" srcId="{9988CC0B-C13A-48B4-9680-0231ECDFEA79}" destId="{DD87D941-104B-4F0E-BA68-455757B77FB9}" srcOrd="1" destOrd="0" presId="urn:microsoft.com/office/officeart/2005/8/layout/pyramid2"/>
    <dgm:cxn modelId="{865CF992-57A1-4354-A037-0516E6962967}" type="presParOf" srcId="{9988CC0B-C13A-48B4-9680-0231ECDFEA79}" destId="{41D508C2-8454-4E81-B04F-23494DC8C4EA}" srcOrd="2" destOrd="0" presId="urn:microsoft.com/office/officeart/2005/8/layout/pyramid2"/>
    <dgm:cxn modelId="{E81D75EE-3F68-4E28-9C63-8EF1CA2B28A1}" type="presParOf" srcId="{9988CC0B-C13A-48B4-9680-0231ECDFEA79}" destId="{BA0621D0-54C6-4A37-AC05-D1DB45587DA9}" srcOrd="3" destOrd="0" presId="urn:microsoft.com/office/officeart/2005/8/layout/pyramid2"/>
    <dgm:cxn modelId="{94D1E424-2DA6-4D54-8DBE-C0D73043481E}" type="presParOf" srcId="{9988CC0B-C13A-48B4-9680-0231ECDFEA79}" destId="{1952C3E9-99EC-4476-8178-9198185F0FCB}" srcOrd="4" destOrd="0" presId="urn:microsoft.com/office/officeart/2005/8/layout/pyramid2"/>
    <dgm:cxn modelId="{4F9B932C-9E89-4174-9C64-947354B2180D}" type="presParOf" srcId="{9988CC0B-C13A-48B4-9680-0231ECDFEA79}" destId="{ED632944-D3DE-4B3C-BE08-8FA57BA5C790}" srcOrd="5" destOrd="0" presId="urn:microsoft.com/office/officeart/2005/8/layout/pyramid2"/>
    <dgm:cxn modelId="{7052DD0A-7A97-472A-8F61-35FAE2CB70ED}" type="presParOf" srcId="{9988CC0B-C13A-48B4-9680-0231ECDFEA79}" destId="{C743137C-F3FE-428D-95D8-C8E460A08811}" srcOrd="6" destOrd="0" presId="urn:microsoft.com/office/officeart/2005/8/layout/pyramid2"/>
    <dgm:cxn modelId="{500EF210-8C77-4452-AAC6-65B110C28CBB}" type="presParOf" srcId="{9988CC0B-C13A-48B4-9680-0231ECDFEA79}" destId="{C5800949-F3A5-47E8-93C4-70A11F798A12}" srcOrd="7" destOrd="0" presId="urn:microsoft.com/office/officeart/2005/8/layout/pyramid2"/>
    <dgm:cxn modelId="{453BC477-202F-472C-8060-7D86E1184AF6}" type="presParOf" srcId="{9988CC0B-C13A-48B4-9680-0231ECDFEA79}" destId="{73FC177D-EABE-4FBE-9A65-46796C811C02}" srcOrd="8" destOrd="0" presId="urn:microsoft.com/office/officeart/2005/8/layout/pyramid2"/>
    <dgm:cxn modelId="{400A42B6-D861-4F4E-A5B7-0B577C594E6B}" type="presParOf" srcId="{9988CC0B-C13A-48B4-9680-0231ECDFEA79}" destId="{DA5DCF82-B181-4140-BCC1-EFB064A4BEA3}" srcOrd="9" destOrd="0" presId="urn:microsoft.com/office/officeart/2005/8/layout/pyramid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64479D-A950-4BF8-8A48-DFEAA31CA25B}">
      <dsp:nvSpPr>
        <dsp:cNvPr id="0" name=""/>
        <dsp:cNvSpPr/>
      </dsp:nvSpPr>
      <dsp:spPr>
        <a:xfrm>
          <a:off x="1345113" y="0"/>
          <a:ext cx="1752600" cy="1752600"/>
        </a:xfrm>
        <a:prstGeom prst="hexagon">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solidFill>
            <a:schemeClr val="tx1">
              <a:lumMod val="95000"/>
              <a:lumOff val="5000"/>
            </a:schemeClr>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F22253D-3334-477A-88AA-46A3E6C2FB89}">
      <dsp:nvSpPr>
        <dsp:cNvPr id="0" name=""/>
        <dsp:cNvSpPr/>
      </dsp:nvSpPr>
      <dsp:spPr>
        <a:xfrm>
          <a:off x="1802681" y="175431"/>
          <a:ext cx="1976654" cy="249197"/>
        </a:xfrm>
        <a:prstGeom prst="roundRect">
          <a:avLst/>
        </a:prstGeom>
        <a:solidFill>
          <a:srgbClr val="FFFF00">
            <a:alpha val="90000"/>
          </a:srgbClr>
        </a:solidFill>
        <a:ln w="9525" cap="flat" cmpd="sng" algn="ctr">
          <a:solidFill>
            <a:srgbClr val="4BACC6">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d-ID" sz="1000" kern="1200">
              <a:solidFill>
                <a:sysClr val="windowText" lastClr="000000">
                  <a:hueOff val="0"/>
                  <a:satOff val="0"/>
                  <a:lumOff val="0"/>
                  <a:alphaOff val="0"/>
                </a:sysClr>
              </a:solidFill>
              <a:latin typeface="Times New Roman" pitchFamily="18" charset="0"/>
              <a:ea typeface="+mn-ea"/>
              <a:cs typeface="Times New Roman" pitchFamily="18" charset="0"/>
            </a:rPr>
            <a:t>Idea Development</a:t>
          </a:r>
        </a:p>
      </dsp:txBody>
      <dsp:txXfrm>
        <a:off x="1814846" y="187596"/>
        <a:ext cx="1952324" cy="224867"/>
      </dsp:txXfrm>
    </dsp:sp>
    <dsp:sp modelId="{41D508C2-8454-4E81-B04F-23494DC8C4EA}">
      <dsp:nvSpPr>
        <dsp:cNvPr id="0" name=""/>
        <dsp:cNvSpPr/>
      </dsp:nvSpPr>
      <dsp:spPr>
        <a:xfrm>
          <a:off x="1809585" y="455778"/>
          <a:ext cx="1962847" cy="249197"/>
        </a:xfrm>
        <a:prstGeom prst="roundRect">
          <a:avLst/>
        </a:prstGeom>
        <a:solidFill>
          <a:schemeClr val="bg1">
            <a:lumMod val="95000"/>
            <a:alpha val="90000"/>
          </a:schemeClr>
        </a:solidFill>
        <a:ln w="9525" cap="flat" cmpd="sng" algn="ctr">
          <a:solidFill>
            <a:srgbClr val="4BACC6">
              <a:hueOff val="-2483469"/>
              <a:satOff val="9953"/>
              <a:lumOff val="2157"/>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d-ID" sz="1000" kern="1200">
              <a:solidFill>
                <a:sysClr val="windowText" lastClr="000000">
                  <a:hueOff val="0"/>
                  <a:satOff val="0"/>
                  <a:lumOff val="0"/>
                  <a:alphaOff val="0"/>
                </a:sysClr>
              </a:solidFill>
              <a:latin typeface="Times New Roman" pitchFamily="18" charset="0"/>
              <a:ea typeface="+mn-ea"/>
              <a:cs typeface="Times New Roman" pitchFamily="18" charset="0"/>
            </a:rPr>
            <a:t>Utilization of Infrastructure</a:t>
          </a:r>
        </a:p>
      </dsp:txBody>
      <dsp:txXfrm>
        <a:off x="1821750" y="467943"/>
        <a:ext cx="1938517" cy="224867"/>
      </dsp:txXfrm>
    </dsp:sp>
    <dsp:sp modelId="{1952C3E9-99EC-4476-8178-9198185F0FCB}">
      <dsp:nvSpPr>
        <dsp:cNvPr id="0" name=""/>
        <dsp:cNvSpPr/>
      </dsp:nvSpPr>
      <dsp:spPr>
        <a:xfrm>
          <a:off x="1830523" y="736126"/>
          <a:ext cx="1920970" cy="249197"/>
        </a:xfrm>
        <a:prstGeom prst="roundRect">
          <a:avLst/>
        </a:prstGeom>
        <a:solidFill>
          <a:schemeClr val="accent2">
            <a:lumMod val="40000"/>
            <a:lumOff val="60000"/>
            <a:alpha val="90000"/>
          </a:schemeClr>
        </a:solidFill>
        <a:ln w="9525" cap="flat" cmpd="sng" algn="ctr">
          <a:solidFill>
            <a:srgbClr val="4BACC6">
              <a:hueOff val="-4966938"/>
              <a:satOff val="19906"/>
              <a:lumOff val="4314"/>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d-ID" sz="900" kern="1200">
              <a:solidFill>
                <a:sysClr val="windowText" lastClr="000000">
                  <a:hueOff val="0"/>
                  <a:satOff val="0"/>
                  <a:lumOff val="0"/>
                  <a:alphaOff val="0"/>
                </a:sysClr>
              </a:solidFill>
              <a:latin typeface="Times New Roman" pitchFamily="18" charset="0"/>
              <a:ea typeface="+mn-ea"/>
              <a:cs typeface="Times New Roman" pitchFamily="18" charset="0"/>
            </a:rPr>
            <a:t>Deepen Knowledge</a:t>
          </a:r>
        </a:p>
      </dsp:txBody>
      <dsp:txXfrm>
        <a:off x="1842688" y="748291"/>
        <a:ext cx="1896640" cy="224867"/>
      </dsp:txXfrm>
    </dsp:sp>
    <dsp:sp modelId="{C743137C-F3FE-428D-95D8-C8E460A08811}">
      <dsp:nvSpPr>
        <dsp:cNvPr id="0" name=""/>
        <dsp:cNvSpPr/>
      </dsp:nvSpPr>
      <dsp:spPr>
        <a:xfrm>
          <a:off x="1846176" y="1016473"/>
          <a:ext cx="1889665" cy="249197"/>
        </a:xfrm>
        <a:prstGeom prst="roundRect">
          <a:avLst/>
        </a:prstGeom>
        <a:solidFill>
          <a:srgbClr val="9BBB59">
            <a:lumMod val="60000"/>
            <a:lumOff val="40000"/>
            <a:alpha val="90000"/>
          </a:srgbClr>
        </a:solidFill>
        <a:ln w="9525" cap="flat" cmpd="sng" algn="ctr">
          <a:solidFill>
            <a:srgbClr val="4BACC6">
              <a:hueOff val="-7450407"/>
              <a:satOff val="29858"/>
              <a:lumOff val="6471"/>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d-ID" sz="900" kern="1200">
              <a:solidFill>
                <a:sysClr val="windowText" lastClr="000000">
                  <a:hueOff val="0"/>
                  <a:satOff val="0"/>
                  <a:lumOff val="0"/>
                  <a:alphaOff val="0"/>
                </a:sysClr>
              </a:solidFill>
              <a:latin typeface="Times New Roman" pitchFamily="18" charset="0"/>
              <a:ea typeface="+mn-ea"/>
              <a:cs typeface="Times New Roman" pitchFamily="18" charset="0"/>
            </a:rPr>
            <a:t>Professional Organizing</a:t>
          </a:r>
        </a:p>
      </dsp:txBody>
      <dsp:txXfrm>
        <a:off x="1858341" y="1028638"/>
        <a:ext cx="1865335" cy="224867"/>
      </dsp:txXfrm>
    </dsp:sp>
    <dsp:sp modelId="{73FC177D-EABE-4FBE-9A65-46796C811C02}">
      <dsp:nvSpPr>
        <dsp:cNvPr id="0" name=""/>
        <dsp:cNvSpPr/>
      </dsp:nvSpPr>
      <dsp:spPr>
        <a:xfrm>
          <a:off x="1846176" y="1296821"/>
          <a:ext cx="1889665" cy="249197"/>
        </a:xfrm>
        <a:prstGeom prst="roundRect">
          <a:avLst/>
        </a:prstGeom>
        <a:solidFill>
          <a:schemeClr val="accent6">
            <a:lumMod val="40000"/>
            <a:lumOff val="60000"/>
            <a:alpha val="90000"/>
          </a:schemeClr>
        </a:solidFill>
        <a:ln w="9525" cap="flat" cmpd="sng" algn="ctr">
          <a:solidFill>
            <a:srgbClr val="4BACC6">
              <a:hueOff val="-9933876"/>
              <a:satOff val="39811"/>
              <a:lumOff val="8628"/>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d-ID" sz="900" kern="1200">
              <a:solidFill>
                <a:sysClr val="windowText" lastClr="000000">
                  <a:hueOff val="0"/>
                  <a:satOff val="0"/>
                  <a:lumOff val="0"/>
                  <a:alphaOff val="0"/>
                </a:sysClr>
              </a:solidFill>
              <a:latin typeface="Times New Roman" pitchFamily="18" charset="0"/>
              <a:ea typeface="+mn-ea"/>
              <a:cs typeface="Times New Roman" pitchFamily="18" charset="0"/>
            </a:rPr>
            <a:t>Mental Stimulation</a:t>
          </a:r>
        </a:p>
      </dsp:txBody>
      <dsp:txXfrm>
        <a:off x="1858341" y="1308986"/>
        <a:ext cx="1865335" cy="22486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Props1.xml><?xml version="1.0" encoding="utf-8"?>
<ds:datastoreItem xmlns:ds="http://schemas.openxmlformats.org/officeDocument/2006/customXml" ds:itemID="{353D415A-689B-4423-90A9-5809CC084F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9996</Words>
  <Characters>56979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andika</cp:lastModifiedBy>
  <cp:revision>3</cp:revision>
  <dcterms:created xsi:type="dcterms:W3CDTF">2020-08-15T05:26:00Z</dcterms:created>
  <dcterms:modified xsi:type="dcterms:W3CDTF">2020-08-15T10:39:00Z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http://www.zotero.org/styles/elsevier-vancouver</vt:lpwstr>
  </property>
  <property fmtid="{D5CDD505-2E9C-101B-9397-08002B2CF9AE}" pid="11" name="Mendeley Recent Style Name 4_1">
    <vt:lpwstr>Elsevier - Vancouver</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http://www.zotero.org/styles/iop-conference-series-materials-science-and-engineering</vt:lpwstr>
  </property>
  <property fmtid="{D5CDD505-2E9C-101B-9397-08002B2CF9AE}" pid="17" name="Mendeley Recent Style Name 7_1">
    <vt:lpwstr>IOP Conference Series: Materials Science and Engineering</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Citation Style_1">
    <vt:lpwstr>http://www.zotero.org/styles/iop-conference-series-materials-science-and-engineering</vt:lpwstr>
  </property>
  <property fmtid="{D5CDD505-2E9C-101B-9397-08002B2CF9AE}" pid="23" name="Mendeley Document_1">
    <vt:lpwstr>True</vt:lpwstr>
  </property>
  <property fmtid="{D5CDD505-2E9C-101B-9397-08002B2CF9AE}" pid="24" name="Mendeley Unique User Id_1">
    <vt:lpwstr>c29fc1cc-26ae-3a23-8a89-bbe447d508bd</vt:lpwstr>
  </property>
</Properties>
</file>