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96" w:rsidRPr="00660F96" w:rsidRDefault="00EE5053" w:rsidP="00660F96">
      <w:pPr>
        <w:spacing w:after="0" w:line="240" w:lineRule="auto"/>
        <w:jc w:val="center"/>
        <w:rPr>
          <w:rFonts w:ascii="Calibri" w:eastAsia="Times New Roman" w:hAnsi="Calibri" w:cs="Times New Roman"/>
          <w:color w:val="000000"/>
        </w:rPr>
      </w:pPr>
      <w:r w:rsidRPr="00EE5053">
        <w:rPr>
          <w:rFonts w:ascii="Times New Roman" w:eastAsia="Times New Roman" w:hAnsi="Times New Roman" w:cs="Times New Roman"/>
          <w:b/>
          <w:bCs/>
          <w:iCs/>
          <w:color w:val="000000"/>
          <w:sz w:val="24"/>
          <w:szCs w:val="24"/>
          <w:lang w:val="id-ID"/>
        </w:rPr>
        <w:t>PRIOR KNOWLEDGE</w:t>
      </w:r>
      <w:r w:rsidRPr="00EE5053">
        <w:rPr>
          <w:rFonts w:ascii="Times New Roman" w:eastAsia="Times New Roman" w:hAnsi="Times New Roman" w:cs="Times New Roman"/>
          <w:b/>
          <w:bCs/>
          <w:color w:val="000000"/>
          <w:sz w:val="24"/>
          <w:szCs w:val="24"/>
          <w:lang w:val="id-ID"/>
        </w:rPr>
        <w:t> CONTRIBUTION TO </w:t>
      </w:r>
      <w:r w:rsidRPr="00EE5053">
        <w:rPr>
          <w:rFonts w:ascii="Times New Roman" w:eastAsia="Times New Roman" w:hAnsi="Times New Roman" w:cs="Times New Roman"/>
          <w:b/>
          <w:bCs/>
          <w:iCs/>
          <w:color w:val="000000"/>
          <w:sz w:val="24"/>
          <w:szCs w:val="24"/>
          <w:lang w:val="id-ID"/>
        </w:rPr>
        <w:t>PROBLEM SOLVING</w:t>
      </w:r>
      <w:r w:rsidRPr="00EE5053">
        <w:rPr>
          <w:rFonts w:ascii="Times New Roman" w:eastAsia="Times New Roman" w:hAnsi="Times New Roman" w:cs="Times New Roman"/>
          <w:b/>
          <w:bCs/>
          <w:color w:val="000000"/>
          <w:sz w:val="24"/>
          <w:szCs w:val="24"/>
          <w:lang w:val="id-ID"/>
        </w:rPr>
        <w:t> IN INTERACTIVE MULTIMEDIA-BASED LEARNING</w:t>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p w:rsidR="00660F96" w:rsidRPr="00660F96" w:rsidRDefault="00660F96" w:rsidP="00660F96">
      <w:pPr>
        <w:spacing w:after="0" w:line="240" w:lineRule="auto"/>
        <w:jc w:val="center"/>
        <w:rPr>
          <w:rFonts w:ascii="Calibri" w:eastAsia="Times New Roman" w:hAnsi="Calibri" w:cs="Times New Roman"/>
          <w:color w:val="000000"/>
          <w:vertAlign w:val="superscript"/>
        </w:rPr>
      </w:pPr>
      <w:r w:rsidRPr="00660F96">
        <w:rPr>
          <w:rFonts w:ascii="Times New Roman" w:eastAsia="Times New Roman" w:hAnsi="Times New Roman" w:cs="Times New Roman"/>
          <w:b/>
          <w:bCs/>
          <w:color w:val="000000"/>
          <w:sz w:val="24"/>
          <w:szCs w:val="24"/>
          <w:lang w:val="id-ID"/>
        </w:rPr>
        <w:t>Komarudin</w:t>
      </w:r>
      <w:r>
        <w:rPr>
          <w:rFonts w:ascii="Times New Roman" w:eastAsia="Times New Roman" w:hAnsi="Times New Roman" w:cs="Times New Roman"/>
          <w:b/>
          <w:bCs/>
          <w:color w:val="000000"/>
          <w:sz w:val="24"/>
          <w:szCs w:val="24"/>
          <w:vertAlign w:val="superscript"/>
        </w:rPr>
        <w:t>1</w:t>
      </w:r>
      <w:r w:rsidRPr="00660F96">
        <w:rPr>
          <w:rFonts w:ascii="Times New Roman" w:eastAsia="Times New Roman" w:hAnsi="Times New Roman" w:cs="Times New Roman"/>
          <w:b/>
          <w:bCs/>
          <w:color w:val="000000"/>
          <w:sz w:val="24"/>
          <w:szCs w:val="24"/>
          <w:lang w:val="id-ID"/>
        </w:rPr>
        <w:t>, Marji</w:t>
      </w:r>
      <w:r>
        <w:rPr>
          <w:rFonts w:ascii="Times New Roman" w:eastAsia="Times New Roman" w:hAnsi="Times New Roman" w:cs="Times New Roman"/>
          <w:b/>
          <w:bCs/>
          <w:color w:val="000000"/>
          <w:sz w:val="24"/>
          <w:szCs w:val="24"/>
          <w:vertAlign w:val="superscript"/>
        </w:rPr>
        <w:t>2</w:t>
      </w:r>
      <w:r w:rsidRPr="00660F96">
        <w:rPr>
          <w:rFonts w:ascii="Times New Roman" w:eastAsia="Times New Roman" w:hAnsi="Times New Roman" w:cs="Times New Roman"/>
          <w:b/>
          <w:bCs/>
          <w:color w:val="000000"/>
          <w:sz w:val="24"/>
          <w:szCs w:val="24"/>
          <w:lang w:val="id-ID"/>
        </w:rPr>
        <w:t xml:space="preserve">, </w:t>
      </w:r>
      <w:r w:rsidRPr="00660F96">
        <w:rPr>
          <w:rFonts w:ascii="Times New Roman" w:eastAsia="Times New Roman" w:hAnsi="Times New Roman" w:cs="Times New Roman"/>
          <w:b/>
          <w:bCs/>
          <w:color w:val="000000"/>
          <w:sz w:val="24"/>
          <w:szCs w:val="24"/>
          <w:lang w:val="id-ID"/>
        </w:rPr>
        <w:t>Eddy Sutadji</w:t>
      </w:r>
      <w:r>
        <w:rPr>
          <w:rFonts w:ascii="Times New Roman" w:eastAsia="Times New Roman" w:hAnsi="Times New Roman" w:cs="Times New Roman"/>
          <w:b/>
          <w:bCs/>
          <w:color w:val="000000"/>
          <w:sz w:val="24"/>
          <w:szCs w:val="24"/>
          <w:vertAlign w:val="superscript"/>
        </w:rPr>
        <w:t>2</w:t>
      </w:r>
      <w:r w:rsidRPr="00660F96">
        <w:rPr>
          <w:rFonts w:ascii="Times New Roman" w:eastAsia="Times New Roman" w:hAnsi="Times New Roman" w:cs="Times New Roman"/>
          <w:b/>
          <w:bCs/>
          <w:color w:val="000000"/>
          <w:sz w:val="24"/>
          <w:szCs w:val="24"/>
          <w:lang w:val="id-ID"/>
        </w:rPr>
        <w:t xml:space="preserve">, </w:t>
      </w:r>
      <w:r w:rsidRPr="00660F96">
        <w:rPr>
          <w:rFonts w:ascii="Times New Roman" w:eastAsia="Times New Roman" w:hAnsi="Times New Roman" w:cs="Times New Roman"/>
          <w:b/>
          <w:bCs/>
          <w:color w:val="000000"/>
          <w:sz w:val="24"/>
          <w:szCs w:val="24"/>
          <w:lang w:val="id-ID"/>
        </w:rPr>
        <w:t>Widiyanti</w:t>
      </w:r>
      <w:r>
        <w:rPr>
          <w:rFonts w:ascii="Times New Roman" w:eastAsia="Times New Roman" w:hAnsi="Times New Roman" w:cs="Times New Roman"/>
          <w:b/>
          <w:bCs/>
          <w:color w:val="000000"/>
          <w:sz w:val="24"/>
          <w:szCs w:val="24"/>
          <w:vertAlign w:val="superscript"/>
        </w:rPr>
        <w:t>2</w:t>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State University of Malang</w:t>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Email: </w:t>
      </w:r>
      <w:r w:rsidRPr="00660F96">
        <w:rPr>
          <w:rFonts w:ascii="Times New Roman" w:eastAsia="Times New Roman" w:hAnsi="Times New Roman" w:cs="Times New Roman"/>
          <w:color w:val="000000"/>
          <w:lang w:val="id-ID"/>
        </w:rPr>
        <w:t> </w:t>
      </w:r>
      <w:hyperlink r:id="rId5" w:history="1">
        <w:r w:rsidRPr="00660F96">
          <w:rPr>
            <w:rFonts w:ascii="Times New Roman" w:eastAsia="Times New Roman" w:hAnsi="Times New Roman" w:cs="Times New Roman"/>
            <w:color w:val="000000"/>
            <w:sz w:val="24"/>
            <w:szCs w:val="24"/>
            <w:lang w:val="id-ID"/>
          </w:rPr>
          <w:t>komarrakha.1@gmail.com</w:t>
        </w:r>
      </w:hyperlink>
      <w:r w:rsidRPr="00660F96">
        <w:rPr>
          <w:rFonts w:ascii="Times New Roman" w:eastAsia="Times New Roman" w:hAnsi="Times New Roman" w:cs="Times New Roman"/>
          <w:color w:val="000000"/>
          <w:sz w:val="24"/>
          <w:szCs w:val="24"/>
          <w:lang w:val="id-ID"/>
        </w:rPr>
        <w:t> </w:t>
      </w:r>
      <w:r w:rsidR="003635BD" w:rsidRPr="00660F96">
        <w:rPr>
          <w:rFonts w:ascii="Calibri" w:eastAsia="Times New Roman" w:hAnsi="Calibri" w:cs="Times New Roman"/>
          <w:color w:val="000000"/>
        </w:rPr>
        <w:t xml:space="preserve"> </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b/>
          <w:bCs/>
          <w:color w:val="000000"/>
          <w:sz w:val="20"/>
          <w:szCs w:val="20"/>
          <w:lang w:val="id-ID"/>
        </w:rPr>
        <w:t>ABSTRACT</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0"/>
          <w:szCs w:val="20"/>
          <w:lang w:val="id-ID"/>
        </w:rPr>
        <w:t>This study aims to examine the contribution of </w:t>
      </w:r>
      <w:r w:rsidRPr="00660F96">
        <w:rPr>
          <w:rFonts w:ascii="Times New Roman" w:eastAsia="Times New Roman" w:hAnsi="Times New Roman" w:cs="Times New Roman"/>
          <w:i/>
          <w:iCs/>
          <w:color w:val="000000"/>
          <w:sz w:val="20"/>
          <w:szCs w:val="20"/>
          <w:lang w:val="id-ID"/>
        </w:rPr>
        <w:t>prior knowledge</w:t>
      </w:r>
      <w:r w:rsidRPr="00660F96">
        <w:rPr>
          <w:rFonts w:ascii="Times New Roman" w:eastAsia="Times New Roman" w:hAnsi="Times New Roman" w:cs="Times New Roman"/>
          <w:color w:val="000000"/>
          <w:sz w:val="20"/>
          <w:szCs w:val="20"/>
          <w:lang w:val="id-ID"/>
        </w:rPr>
        <w:t> to improving </w:t>
      </w:r>
      <w:r w:rsidRPr="00660F96">
        <w:rPr>
          <w:rFonts w:ascii="Times New Roman" w:eastAsia="Times New Roman" w:hAnsi="Times New Roman" w:cs="Times New Roman"/>
          <w:i/>
          <w:iCs/>
          <w:color w:val="000000"/>
          <w:sz w:val="20"/>
          <w:szCs w:val="20"/>
          <w:lang w:val="id-ID"/>
        </w:rPr>
        <w:t>problem solving</w:t>
      </w:r>
      <w:r w:rsidRPr="00660F96">
        <w:rPr>
          <w:rFonts w:ascii="Times New Roman" w:eastAsia="Times New Roman" w:hAnsi="Times New Roman" w:cs="Times New Roman"/>
          <w:color w:val="000000"/>
          <w:sz w:val="20"/>
          <w:szCs w:val="20"/>
          <w:lang w:val="id-ID"/>
        </w:rPr>
        <w:t> in learning that uses interactive multimedia. This research is a quantitative experimental research </w:t>
      </w:r>
      <w:r w:rsidRPr="00660F96">
        <w:rPr>
          <w:rFonts w:ascii="Times New Roman" w:eastAsia="Times New Roman" w:hAnsi="Times New Roman" w:cs="Times New Roman"/>
          <w:i/>
          <w:iCs/>
          <w:color w:val="000000"/>
          <w:sz w:val="20"/>
          <w:szCs w:val="20"/>
          <w:lang w:val="id-ID"/>
        </w:rPr>
        <w:t>one pretest posttest design</w:t>
      </w:r>
      <w:r w:rsidRPr="00660F96">
        <w:rPr>
          <w:rFonts w:ascii="Times New Roman" w:eastAsia="Times New Roman" w:hAnsi="Times New Roman" w:cs="Times New Roman"/>
          <w:color w:val="000000"/>
          <w:sz w:val="20"/>
          <w:szCs w:val="20"/>
          <w:lang w:val="id-ID"/>
        </w:rPr>
        <w:t> with a sample of 38 people. The research data were analyzed using the </w:t>
      </w:r>
      <w:r w:rsidRPr="00660F96">
        <w:rPr>
          <w:rFonts w:ascii="Times New Roman" w:eastAsia="Times New Roman" w:hAnsi="Times New Roman" w:cs="Times New Roman"/>
          <w:i/>
          <w:iCs/>
          <w:color w:val="000000"/>
          <w:sz w:val="20"/>
          <w:szCs w:val="20"/>
          <w:lang w:val="id-ID"/>
        </w:rPr>
        <w:t>independent sample t test</w:t>
      </w:r>
      <w:r w:rsidRPr="00660F96">
        <w:rPr>
          <w:rFonts w:ascii="Times New Roman" w:eastAsia="Times New Roman" w:hAnsi="Times New Roman" w:cs="Times New Roman"/>
          <w:color w:val="000000"/>
          <w:sz w:val="20"/>
          <w:szCs w:val="20"/>
          <w:lang w:val="id-ID"/>
        </w:rPr>
        <w:t> . This research is an interactive multimedia implementation. The results showed a significant contribution of </w:t>
      </w:r>
      <w:r w:rsidRPr="00660F96">
        <w:rPr>
          <w:rFonts w:ascii="Times New Roman" w:eastAsia="Times New Roman" w:hAnsi="Times New Roman" w:cs="Times New Roman"/>
          <w:i/>
          <w:iCs/>
          <w:color w:val="000000"/>
          <w:sz w:val="20"/>
          <w:szCs w:val="20"/>
          <w:lang w:val="id-ID"/>
        </w:rPr>
        <w:t>prior knowledge</w:t>
      </w:r>
      <w:r w:rsidRPr="00660F96">
        <w:rPr>
          <w:rFonts w:ascii="Times New Roman" w:eastAsia="Times New Roman" w:hAnsi="Times New Roman" w:cs="Times New Roman"/>
          <w:color w:val="000000"/>
          <w:sz w:val="20"/>
          <w:szCs w:val="20"/>
          <w:lang w:val="id-ID"/>
        </w:rPr>
        <w:t> to </w:t>
      </w:r>
      <w:r w:rsidRPr="00660F96">
        <w:rPr>
          <w:rFonts w:ascii="Times New Roman" w:eastAsia="Times New Roman" w:hAnsi="Times New Roman" w:cs="Times New Roman"/>
          <w:i/>
          <w:iCs/>
          <w:color w:val="000000"/>
          <w:sz w:val="20"/>
          <w:szCs w:val="20"/>
          <w:lang w:val="id-ID"/>
        </w:rPr>
        <w:t>problem solving</w:t>
      </w:r>
      <w:r w:rsidRPr="00660F96">
        <w:rPr>
          <w:rFonts w:ascii="Times New Roman" w:eastAsia="Times New Roman" w:hAnsi="Times New Roman" w:cs="Times New Roman"/>
          <w:color w:val="000000"/>
          <w:sz w:val="20"/>
          <w:szCs w:val="20"/>
          <w:lang w:val="id-ID"/>
        </w:rPr>
        <w:t> .</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0"/>
          <w:szCs w:val="20"/>
          <w:lang w:val="id-ID"/>
        </w:rPr>
        <w:t> </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color w:val="000000"/>
          <w:sz w:val="20"/>
          <w:szCs w:val="20"/>
          <w:lang w:val="id-ID"/>
        </w:rPr>
        <w:t>Keywords: </w:t>
      </w:r>
      <w:r w:rsidRPr="00660F96">
        <w:rPr>
          <w:rFonts w:ascii="Times New Roman" w:eastAsia="Times New Roman" w:hAnsi="Times New Roman" w:cs="Times New Roman"/>
          <w:i/>
          <w:iCs/>
          <w:color w:val="000000"/>
          <w:sz w:val="20"/>
          <w:szCs w:val="20"/>
          <w:lang w:val="id-ID"/>
        </w:rPr>
        <w:t>prior knowledge, problem solving</w:t>
      </w:r>
      <w:r w:rsidRPr="00660F96">
        <w:rPr>
          <w:rFonts w:ascii="Times New Roman" w:eastAsia="Times New Roman" w:hAnsi="Times New Roman" w:cs="Times New Roman"/>
          <w:color w:val="000000"/>
          <w:sz w:val="20"/>
          <w:szCs w:val="20"/>
          <w:lang w:val="id-ID"/>
        </w:rPr>
        <w:t> , interactive multimedia.</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color w:val="000000"/>
          <w:sz w:val="20"/>
          <w:szCs w:val="20"/>
          <w:lang w:val="id-ID"/>
        </w:rPr>
        <w:t> </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br w:type="textWrapping" w:clear="all"/>
      </w:r>
      <w:r>
        <w:rPr>
          <w:rFonts w:ascii="Times New Roman" w:eastAsia="Times New Roman" w:hAnsi="Times New Roman" w:cs="Times New Roman"/>
          <w:b/>
          <w:bCs/>
          <w:color w:val="000000"/>
          <w:sz w:val="24"/>
          <w:szCs w:val="24"/>
        </w:rPr>
        <w:t>1.  INTRODUCTION</w:t>
      </w:r>
    </w:p>
    <w:p w:rsidR="00EE5053" w:rsidRDefault="00660F96" w:rsidP="00EE5053">
      <w:pPr>
        <w:spacing w:after="0" w:line="240" w:lineRule="auto"/>
        <w:ind w:firstLine="720"/>
        <w:jc w:val="both"/>
        <w:rPr>
          <w:rFonts w:ascii="Times New Roman" w:eastAsia="Times New Roman" w:hAnsi="Times New Roman" w:cs="Times New Roman"/>
          <w:color w:val="000000"/>
          <w:sz w:val="24"/>
          <w:szCs w:val="24"/>
          <w:lang w:val="id-ID"/>
        </w:rPr>
      </w:pPr>
      <w:r w:rsidRPr="00660F96">
        <w:rPr>
          <w:rFonts w:ascii="Times New Roman" w:eastAsia="Times New Roman" w:hAnsi="Times New Roman" w:cs="Times New Roman"/>
          <w:color w:val="000000"/>
          <w:sz w:val="24"/>
          <w:szCs w:val="24"/>
          <w:lang w:val="id-ID"/>
        </w:rPr>
        <w:t>Jobs in the automotive sector can be divided into two groups, namely projects, for example requests for modifications and problems, for example a customer comes to the garage with a car and tells his car complaints, this condition is a problem. The problem is a project / job for a technician that must be resolved, to solve the problem requires knowledge. Knowledge for a technician is gained from school or work experience. Knowledge and experience will be more easily understood if they have basic knowledge or more popularly called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 </w:t>
      </w:r>
      <w:r w:rsidRPr="00660F96">
        <w:rPr>
          <w:rFonts w:ascii="Times New Roman" w:eastAsia="Times New Roman" w:hAnsi="Times New Roman" w:cs="Times New Roman"/>
          <w:i/>
          <w:iCs/>
          <w:color w:val="000000"/>
          <w:sz w:val="24"/>
          <w:szCs w:val="24"/>
          <w:lang w:val="id-ID"/>
        </w:rPr>
        <w:t>Prior knowledge is</w:t>
      </w:r>
      <w:r w:rsidRPr="00660F96">
        <w:rPr>
          <w:rFonts w:ascii="Times New Roman" w:eastAsia="Times New Roman" w:hAnsi="Times New Roman" w:cs="Times New Roman"/>
          <w:color w:val="000000"/>
          <w:sz w:val="24"/>
          <w:szCs w:val="24"/>
          <w:lang w:val="id-ID"/>
        </w:rPr>
        <w:t> defined by a lot of understanding   by experts. According to [1]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knowledge controlled by students to obtain new knowledge that is relevant to the prior knowledge mastered. Meanwhile, Dierking (1995) states that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the knowledge that students have, both subject knowledge, strategy knowledge, and personal knowledge when learning new material. According to   [3]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a   basic map in   learning.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has several characteristics: (1) consisting of declarative and procedural knowledge; (2) present before the implementation of certain learning tasks; (3) available or can be withdrawn or reconstructed; (4) relevant to the achievement of learning task objectives; (4)  arranged in a structured schema; (5) to some degree transferable or applied to other study tasks; (6) is dynamic.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the overall competence   that students get as a result of learning activities before following the next learning process [4].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a major component in learning [5] [6]. Efforts to improve </w:t>
      </w:r>
      <w:r w:rsidRPr="00660F96">
        <w:rPr>
          <w:rFonts w:ascii="Times New Roman" w:eastAsia="Times New Roman" w:hAnsi="Times New Roman" w:cs="Times New Roman"/>
          <w:i/>
          <w:iCs/>
          <w:color w:val="000000"/>
          <w:sz w:val="24"/>
          <w:szCs w:val="24"/>
          <w:lang w:val="id-ID"/>
        </w:rPr>
        <w:t>prior knowledge are</w:t>
      </w:r>
      <w:r w:rsidRPr="00660F96">
        <w:rPr>
          <w:rFonts w:ascii="Times New Roman" w:eastAsia="Times New Roman" w:hAnsi="Times New Roman" w:cs="Times New Roman"/>
          <w:color w:val="000000"/>
          <w:sz w:val="24"/>
          <w:szCs w:val="24"/>
          <w:lang w:val="id-ID"/>
        </w:rPr>
        <w:t> influenced by two factors, namely internal and external [7].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can be applied as a whole to improve individual abilities [9] because prior knowledge is useful   to avoid misinterpretation [10].  It can be interpreted that students who have high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benefit in obtaining new information [11]. </w:t>
      </w:r>
      <w:r w:rsidRPr="00660F96">
        <w:rPr>
          <w:rFonts w:ascii="Times New Roman" w:eastAsia="Times New Roman" w:hAnsi="Times New Roman" w:cs="Times New Roman"/>
          <w:i/>
          <w:iCs/>
          <w:color w:val="000000"/>
          <w:sz w:val="24"/>
          <w:szCs w:val="24"/>
          <w:lang w:val="id-ID"/>
        </w:rPr>
        <w:t>Prior knowledge  </w:t>
      </w:r>
      <w:r w:rsidRPr="00660F96">
        <w:rPr>
          <w:rFonts w:ascii="Times New Roman" w:eastAsia="Times New Roman" w:hAnsi="Times New Roman" w:cs="Times New Roman"/>
          <w:color w:val="000000"/>
          <w:sz w:val="24"/>
          <w:szCs w:val="24"/>
          <w:lang w:val="id-ID"/>
        </w:rPr>
        <w:t>can determine how well students get information [12] </w:t>
      </w:r>
      <w:r w:rsidRPr="00660F96">
        <w:rPr>
          <w:rFonts w:ascii="Times New Roman" w:eastAsia="Times New Roman" w:hAnsi="Times New Roman" w:cs="Times New Roman"/>
          <w:i/>
          <w:iCs/>
          <w:color w:val="000000"/>
          <w:sz w:val="24"/>
          <w:szCs w:val="24"/>
          <w:lang w:val="id-ID"/>
        </w:rPr>
        <w:t>. Prior knowledge</w:t>
      </w:r>
      <w:r w:rsidRPr="00660F96">
        <w:rPr>
          <w:rFonts w:ascii="Times New Roman" w:eastAsia="Times New Roman" w:hAnsi="Times New Roman" w:cs="Times New Roman"/>
          <w:color w:val="000000"/>
          <w:sz w:val="24"/>
          <w:szCs w:val="24"/>
          <w:lang w:val="id-ID"/>
        </w:rPr>
        <w:t> helps in forming hierarchical knowledge   [13]. </w:t>
      </w:r>
    </w:p>
    <w:p w:rsidR="00660F96" w:rsidRPr="00660F96" w:rsidRDefault="00660F96" w:rsidP="00EE5053">
      <w:pPr>
        <w:spacing w:after="0" w:line="240" w:lineRule="auto"/>
        <w:ind w:firstLine="720"/>
        <w:jc w:val="both"/>
        <w:rPr>
          <w:rFonts w:ascii="Calibri" w:eastAsia="Times New Roman" w:hAnsi="Calibri" w:cs="Times New Roman"/>
          <w:color w:val="000000"/>
        </w:rPr>
      </w:pP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of students is important because it allows overcoming cognitive demands [14]. A technician who already has prior knowledge will find it easier to solve problems in the automotive field. Problem solving activities are called problem solving. Some experts define it with various meanings: 1)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is a sequence of thought patterns in solving problems [15]</w:t>
      </w:r>
      <w:r w:rsidRPr="00660F96">
        <w:rPr>
          <w:rFonts w:ascii="Times New Roman" w:eastAsia="Times New Roman" w:hAnsi="Times New Roman" w:cs="Times New Roman"/>
          <w:i/>
          <w:iCs/>
          <w:color w:val="000000"/>
          <w:sz w:val="24"/>
          <w:szCs w:val="24"/>
          <w:lang w:val="id-ID"/>
        </w:rPr>
        <w:t>; 2) Problem solving</w:t>
      </w:r>
      <w:r w:rsidRPr="00660F96">
        <w:rPr>
          <w:rFonts w:ascii="Times New Roman" w:eastAsia="Times New Roman" w:hAnsi="Times New Roman" w:cs="Times New Roman"/>
          <w:color w:val="000000"/>
          <w:sz w:val="24"/>
          <w:szCs w:val="24"/>
          <w:lang w:val="id-ID"/>
        </w:rPr>
        <w:t> is an activity that uses </w:t>
      </w:r>
      <w:r w:rsidRPr="00660F96">
        <w:rPr>
          <w:rFonts w:ascii="Times New Roman" w:eastAsia="Times New Roman" w:hAnsi="Times New Roman" w:cs="Times New Roman"/>
          <w:i/>
          <w:iCs/>
          <w:color w:val="000000"/>
          <w:sz w:val="24"/>
          <w:szCs w:val="24"/>
          <w:lang w:val="id-ID"/>
        </w:rPr>
        <w:t>high order thinking</w:t>
      </w:r>
      <w:r w:rsidRPr="00660F96">
        <w:rPr>
          <w:rFonts w:ascii="Times New Roman" w:eastAsia="Times New Roman" w:hAnsi="Times New Roman" w:cs="Times New Roman"/>
          <w:color w:val="000000"/>
          <w:sz w:val="24"/>
          <w:szCs w:val="24"/>
          <w:lang w:val="id-ID"/>
        </w:rPr>
        <w:t> ( </w:t>
      </w:r>
      <w:r w:rsidRPr="00660F96">
        <w:rPr>
          <w:rFonts w:ascii="Times New Roman" w:eastAsia="Times New Roman" w:hAnsi="Times New Roman" w:cs="Times New Roman"/>
          <w:i/>
          <w:iCs/>
          <w:color w:val="000000"/>
          <w:sz w:val="24"/>
          <w:szCs w:val="24"/>
          <w:lang w:val="id-ID"/>
        </w:rPr>
        <w:t>high order thinking</w:t>
      </w:r>
      <w:r w:rsidRPr="00660F96">
        <w:rPr>
          <w:rFonts w:ascii="Times New Roman" w:eastAsia="Times New Roman" w:hAnsi="Times New Roman" w:cs="Times New Roman"/>
          <w:color w:val="000000"/>
          <w:sz w:val="24"/>
          <w:szCs w:val="24"/>
          <w:lang w:val="id-ID"/>
        </w:rPr>
        <w:t> ) [16]; 3) </w:t>
      </w:r>
      <w:r w:rsidRPr="00660F96">
        <w:rPr>
          <w:rFonts w:ascii="Times New Roman" w:eastAsia="Times New Roman" w:hAnsi="Times New Roman" w:cs="Times New Roman"/>
          <w:i/>
          <w:iCs/>
          <w:color w:val="000000"/>
          <w:sz w:val="24"/>
          <w:szCs w:val="24"/>
          <w:lang w:val="id-ID"/>
        </w:rPr>
        <w:t>Problem solving skills are highly valued</w:t>
      </w:r>
      <w:r w:rsidRPr="00660F96">
        <w:rPr>
          <w:rFonts w:ascii="Times New Roman" w:eastAsia="Times New Roman" w:hAnsi="Times New Roman" w:cs="Times New Roman"/>
          <w:color w:val="000000"/>
          <w:sz w:val="24"/>
          <w:szCs w:val="24"/>
          <w:lang w:val="id-ID"/>
        </w:rPr>
        <w:t> [17]. Every problem solving required knowledge related to the problem to be solved [18]; [19]. During   the problem solving process using long-term and short-term memory [20]. According to Wallas in [21] the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xml:space="preserve"> stages include: </w:t>
      </w:r>
      <w:r w:rsidRPr="00660F96">
        <w:rPr>
          <w:rFonts w:ascii="Times New Roman" w:eastAsia="Times New Roman" w:hAnsi="Times New Roman" w:cs="Times New Roman"/>
          <w:color w:val="000000"/>
          <w:sz w:val="24"/>
          <w:szCs w:val="24"/>
          <w:lang w:val="id-ID"/>
        </w:rPr>
        <w:lastRenderedPageBreak/>
        <w:t>(a) preparation, (b) incubation, (c) lighting, and (d) verification.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is the main key in the field of science</w:t>
      </w:r>
      <w:r w:rsidR="00EE5053">
        <w:rPr>
          <w:rFonts w:ascii="Times New Roman" w:eastAsia="Times New Roman" w:hAnsi="Times New Roman" w:cs="Times New Roman"/>
          <w:color w:val="000000"/>
          <w:sz w:val="24"/>
          <w:szCs w:val="24"/>
          <w:lang w:val="id-ID"/>
        </w:rPr>
        <w:t>[22]</w:t>
      </w:r>
      <w:r w:rsidRPr="00660F96">
        <w:rPr>
          <w:rFonts w:ascii="Times New Roman" w:eastAsia="Times New Roman" w:hAnsi="Times New Roman" w:cs="Times New Roman"/>
          <w:color w:val="000000"/>
          <w:sz w:val="24"/>
          <w:szCs w:val="24"/>
          <w:lang w:val="id-ID"/>
        </w:rPr>
        <w:t>. Various researchers agree that teaching with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methods</w:t>
      </w:r>
      <w:r w:rsidRPr="00660F96">
        <w:rPr>
          <w:rFonts w:ascii="Times New Roman" w:eastAsia="Times New Roman" w:hAnsi="Times New Roman" w:cs="Times New Roman"/>
          <w:i/>
          <w:iCs/>
          <w:color w:val="000000"/>
          <w:sz w:val="24"/>
          <w:szCs w:val="24"/>
          <w:lang w:val="id-ID"/>
        </w:rPr>
        <w:t>   </w:t>
      </w:r>
      <w:r w:rsidRPr="00660F96">
        <w:rPr>
          <w:rFonts w:ascii="Times New Roman" w:eastAsia="Times New Roman" w:hAnsi="Times New Roman" w:cs="Times New Roman"/>
          <w:color w:val="000000"/>
          <w:sz w:val="24"/>
          <w:szCs w:val="24"/>
          <w:lang w:val="id-ID"/>
        </w:rPr>
        <w:t xml:space="preserve">more efficient </w:t>
      </w:r>
      <w:r w:rsidR="00EE5053">
        <w:rPr>
          <w:rFonts w:ascii="Times New Roman" w:eastAsia="Times New Roman" w:hAnsi="Times New Roman" w:cs="Times New Roman"/>
          <w:color w:val="000000"/>
          <w:sz w:val="24"/>
          <w:szCs w:val="24"/>
          <w:lang w:val="id-ID"/>
        </w:rPr>
        <w:t>[23</w:t>
      </w:r>
      <w:r w:rsidR="00EE5053" w:rsidRPr="00660F96">
        <w:rPr>
          <w:rFonts w:ascii="Times New Roman" w:eastAsia="Times New Roman" w:hAnsi="Times New Roman" w:cs="Times New Roman"/>
          <w:color w:val="000000"/>
          <w:sz w:val="24"/>
          <w:szCs w:val="24"/>
          <w:lang w:val="id-ID"/>
        </w:rPr>
        <w:t>]</w:t>
      </w:r>
      <w:r w:rsidR="00EE5053">
        <w:rPr>
          <w:rFonts w:ascii="Times New Roman" w:eastAsia="Times New Roman" w:hAnsi="Times New Roman" w:cs="Times New Roman"/>
          <w:color w:val="000000"/>
          <w:sz w:val="24"/>
          <w:szCs w:val="24"/>
        </w:rPr>
        <w:t xml:space="preserve">; </w:t>
      </w:r>
      <w:r w:rsidR="00EE5053">
        <w:rPr>
          <w:rFonts w:ascii="Times New Roman" w:eastAsia="Times New Roman" w:hAnsi="Times New Roman" w:cs="Times New Roman"/>
          <w:color w:val="000000"/>
          <w:sz w:val="24"/>
          <w:szCs w:val="24"/>
          <w:lang w:val="id-ID"/>
        </w:rPr>
        <w:t>[24]</w:t>
      </w:r>
      <w:r w:rsidRPr="00660F96">
        <w:rPr>
          <w:rFonts w:ascii="Times New Roman" w:eastAsia="Times New Roman" w:hAnsi="Times New Roman" w:cs="Times New Roman"/>
          <w:color w:val="000000"/>
          <w:sz w:val="24"/>
          <w:szCs w:val="24"/>
          <w:lang w:val="id-ID"/>
        </w:rPr>
        <w:t>.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abilities can be categorized into several types, namely: (1) </w:t>
      </w:r>
      <w:r w:rsidRPr="00660F96">
        <w:rPr>
          <w:rFonts w:ascii="Times New Roman" w:eastAsia="Times New Roman" w:hAnsi="Times New Roman" w:cs="Times New Roman"/>
          <w:i/>
          <w:iCs/>
          <w:color w:val="000000"/>
          <w:sz w:val="24"/>
          <w:szCs w:val="24"/>
          <w:lang w:val="id-ID"/>
        </w:rPr>
        <w:t>reduction</w:t>
      </w:r>
      <w:r w:rsidRPr="00660F96">
        <w:rPr>
          <w:rFonts w:ascii="Times New Roman" w:eastAsia="Times New Roman" w:hAnsi="Times New Roman" w:cs="Times New Roman"/>
          <w:color w:val="000000"/>
          <w:sz w:val="24"/>
          <w:szCs w:val="24"/>
          <w:lang w:val="id-ID"/>
        </w:rPr>
        <w:t> ; (2) </w:t>
      </w:r>
      <w:r w:rsidRPr="00660F96">
        <w:rPr>
          <w:rFonts w:ascii="Times New Roman" w:eastAsia="Times New Roman" w:hAnsi="Times New Roman" w:cs="Times New Roman"/>
          <w:i/>
          <w:iCs/>
          <w:color w:val="000000"/>
          <w:sz w:val="24"/>
          <w:szCs w:val="24"/>
          <w:lang w:val="id-ID"/>
        </w:rPr>
        <w:t>Reversibility</w:t>
      </w:r>
      <w:r w:rsidRPr="00660F96">
        <w:rPr>
          <w:rFonts w:ascii="Times New Roman" w:eastAsia="Times New Roman" w:hAnsi="Times New Roman" w:cs="Times New Roman"/>
          <w:color w:val="000000"/>
          <w:sz w:val="24"/>
          <w:szCs w:val="24"/>
          <w:lang w:val="id-ID"/>
        </w:rPr>
        <w:t> ; (3) </w:t>
      </w:r>
      <w:r w:rsidRPr="00660F96">
        <w:rPr>
          <w:rFonts w:ascii="Times New Roman" w:eastAsia="Times New Roman" w:hAnsi="Times New Roman" w:cs="Times New Roman"/>
          <w:i/>
          <w:iCs/>
          <w:color w:val="000000"/>
          <w:sz w:val="24"/>
          <w:szCs w:val="24"/>
          <w:lang w:val="id-ID"/>
        </w:rPr>
        <w:t>Manage various aspects</w:t>
      </w:r>
      <w:r w:rsidRPr="00660F96">
        <w:rPr>
          <w:rFonts w:ascii="Times New Roman" w:eastAsia="Times New Roman" w:hAnsi="Times New Roman" w:cs="Times New Roman"/>
          <w:color w:val="000000"/>
          <w:sz w:val="24"/>
          <w:szCs w:val="24"/>
          <w:lang w:val="id-ID"/>
        </w:rPr>
        <w:t> ; (4) </w:t>
      </w:r>
      <w:r w:rsidRPr="00660F96">
        <w:rPr>
          <w:rFonts w:ascii="Times New Roman" w:eastAsia="Times New Roman" w:hAnsi="Times New Roman" w:cs="Times New Roman"/>
          <w:i/>
          <w:iCs/>
          <w:color w:val="000000"/>
          <w:sz w:val="24"/>
          <w:szCs w:val="24"/>
          <w:lang w:val="id-ID"/>
        </w:rPr>
        <w:t>Changes in aspects</w:t>
      </w:r>
      <w:r w:rsidRPr="00660F96">
        <w:rPr>
          <w:rFonts w:ascii="Times New Roman" w:eastAsia="Times New Roman" w:hAnsi="Times New Roman" w:cs="Times New Roman"/>
          <w:color w:val="000000"/>
          <w:sz w:val="24"/>
          <w:szCs w:val="24"/>
          <w:lang w:val="id-ID"/>
        </w:rPr>
        <w:t> ; and (5) </w:t>
      </w:r>
      <w:r w:rsidRPr="00660F96">
        <w:rPr>
          <w:rFonts w:ascii="Times New Roman" w:eastAsia="Times New Roman" w:hAnsi="Times New Roman" w:cs="Times New Roman"/>
          <w:i/>
          <w:iCs/>
          <w:color w:val="000000"/>
          <w:sz w:val="24"/>
          <w:szCs w:val="24"/>
          <w:lang w:val="id-ID"/>
        </w:rPr>
        <w:t>Transferring</w:t>
      </w:r>
      <w:r w:rsidRPr="00660F96">
        <w:rPr>
          <w:rFonts w:ascii="Times New Roman" w:eastAsia="Times New Roman" w:hAnsi="Times New Roman" w:cs="Times New Roman"/>
          <w:color w:val="000000"/>
          <w:sz w:val="24"/>
          <w:szCs w:val="24"/>
          <w:lang w:val="id-ID"/>
        </w:rPr>
        <w:t> [25]. According to   [26] states that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a key element in the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process .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influences the choice of strategy that will be used for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actions . Each problem solver must determine basic knowledge (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xml:space="preserve">) when solving problems </w:t>
      </w:r>
      <w:r w:rsidR="00EE5053" w:rsidRPr="00660F96">
        <w:rPr>
          <w:rFonts w:ascii="Times New Roman" w:eastAsia="Times New Roman" w:hAnsi="Times New Roman" w:cs="Times New Roman"/>
          <w:color w:val="000000"/>
          <w:sz w:val="24"/>
          <w:szCs w:val="24"/>
          <w:lang w:val="id-ID"/>
        </w:rPr>
        <w:t>[</w:t>
      </w:r>
      <w:r w:rsidR="00EE5053">
        <w:rPr>
          <w:rFonts w:ascii="Times New Roman" w:eastAsia="Times New Roman" w:hAnsi="Times New Roman" w:cs="Times New Roman"/>
          <w:color w:val="000000"/>
          <w:sz w:val="24"/>
          <w:szCs w:val="24"/>
        </w:rPr>
        <w:t>27</w:t>
      </w:r>
      <w:r w:rsidR="00EE5053" w:rsidRPr="00660F96">
        <w:rPr>
          <w:rFonts w:ascii="Times New Roman" w:eastAsia="Times New Roman" w:hAnsi="Times New Roman" w:cs="Times New Roman"/>
          <w:color w:val="000000"/>
          <w:sz w:val="24"/>
          <w:szCs w:val="24"/>
          <w:lang w:val="id-ID"/>
        </w:rPr>
        <w:t>]</w:t>
      </w:r>
      <w:r w:rsidRPr="00660F96">
        <w:rPr>
          <w:rFonts w:ascii="Times New Roman" w:eastAsia="Times New Roman" w:hAnsi="Times New Roman" w:cs="Times New Roman"/>
          <w:color w:val="000000"/>
          <w:sz w:val="24"/>
          <w:szCs w:val="24"/>
          <w:lang w:val="id-ID"/>
        </w:rPr>
        <w:t>. This article aims to discuss the effect of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on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abilities in multimedia-based learning.</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 </w:t>
      </w:r>
    </w:p>
    <w:p w:rsidR="00660F96" w:rsidRPr="00660F96" w:rsidRDefault="00EE5053" w:rsidP="00660F96">
      <w:pPr>
        <w:spacing w:after="0" w:line="240" w:lineRule="auto"/>
        <w:jc w:val="both"/>
        <w:rPr>
          <w:rFonts w:ascii="Calibri" w:eastAsia="Times New Roman" w:hAnsi="Calibri" w:cs="Times New Roman"/>
          <w:color w:val="000000"/>
        </w:rPr>
      </w:pPr>
      <w:r>
        <w:rPr>
          <w:rFonts w:ascii="Times New Roman" w:eastAsia="Times New Roman" w:hAnsi="Times New Roman" w:cs="Times New Roman"/>
          <w:b/>
          <w:bCs/>
          <w:color w:val="000000"/>
          <w:sz w:val="24"/>
          <w:szCs w:val="24"/>
        </w:rPr>
        <w:t xml:space="preserve">2. </w:t>
      </w:r>
      <w:r w:rsidRPr="00660F96">
        <w:rPr>
          <w:rFonts w:ascii="Times New Roman" w:eastAsia="Times New Roman" w:hAnsi="Times New Roman" w:cs="Times New Roman"/>
          <w:b/>
          <w:bCs/>
          <w:color w:val="000000"/>
          <w:sz w:val="24"/>
          <w:szCs w:val="24"/>
          <w:lang w:val="id-ID"/>
        </w:rPr>
        <w:t>METHOD</w:t>
      </w:r>
    </w:p>
    <w:p w:rsidR="00660F96" w:rsidRPr="00660F96" w:rsidRDefault="00660F96" w:rsidP="00EE5053">
      <w:pPr>
        <w:spacing w:after="0" w:line="240" w:lineRule="auto"/>
        <w:ind w:firstLine="720"/>
        <w:jc w:val="both"/>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This research is the implementation of interactive multimedia in the automotive program.</w:t>
      </w:r>
    </w:p>
    <w:p w:rsidR="00660F96" w:rsidRPr="00660F96" w:rsidRDefault="00660F96" w:rsidP="00660F96">
      <w:pPr>
        <w:spacing w:after="0" w:line="240" w:lineRule="auto"/>
        <w:rPr>
          <w:rFonts w:ascii="Times New Roman" w:eastAsia="Times New Roman" w:hAnsi="Times New Roman" w:cs="Times New Roman"/>
          <w:sz w:val="24"/>
          <w:szCs w:val="24"/>
        </w:rPr>
      </w:pPr>
      <w:r w:rsidRPr="00660F96">
        <w:rPr>
          <w:rFonts w:ascii="Times New Roman" w:eastAsia="Times New Roman" w:hAnsi="Times New Roman" w:cs="Times New Roman"/>
          <w:color w:val="000000"/>
          <w:sz w:val="24"/>
          <w:szCs w:val="24"/>
          <w:lang w:val="id-ID"/>
        </w:rPr>
        <w:br w:type="textWrapping" w:clear="all"/>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noProof/>
          <w:color w:val="000000"/>
          <w:sz w:val="24"/>
          <w:szCs w:val="24"/>
        </w:rPr>
        <w:drawing>
          <wp:inline distT="0" distB="0" distL="0" distR="0" wp14:anchorId="350CD056" wp14:editId="0D266735">
            <wp:extent cx="5686425" cy="3781425"/>
            <wp:effectExtent l="0" t="0" r="9525" b="9525"/>
            <wp:docPr id="3" name="Picture 3" descr="D:\paska 2018\desertasi\artikel\artikel prior to problem 1 (1)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ska 2018\desertasi\artikel\artikel prior to problem 1 (1)_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3781425"/>
                    </a:xfrm>
                    <a:prstGeom prst="rect">
                      <a:avLst/>
                    </a:prstGeom>
                    <a:noFill/>
                    <a:ln>
                      <a:noFill/>
                    </a:ln>
                  </pic:spPr>
                </pic:pic>
              </a:graphicData>
            </a:graphic>
          </wp:inline>
        </w:drawing>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b/>
          <w:bCs/>
          <w:color w:val="000000"/>
          <w:sz w:val="20"/>
          <w:szCs w:val="20"/>
          <w:lang w:val="id-ID"/>
        </w:rPr>
        <w:t>Figure 1 Interactive multimedia</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b/>
          <w:bCs/>
          <w:color w:val="000000"/>
          <w:sz w:val="20"/>
          <w:szCs w:val="20"/>
          <w:lang w:val="id-ID"/>
        </w:rPr>
        <w:t> </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Interactive multimedia specifications consist of: 1) equipped with electrical wiring engine management system; 2) equipped with a voltage and resistance monitor; 3) sensor and actuator simulation buttons; 4) equipped with a layout plan for sensors and actuators; 5) completed with the names of the components; 6) equipped with components in the vehicle; 7) equipped with simulated ignition; 8) equipped with fuel system simulation; 9) equipped with a combination meter; 10) equipped with a relay; 11) equipped with a fuse; 12) equipped laptop / scan tool / pc; 13) equipped with LCD screen / projector. The sample in this study were 38 students in the automotive program.</w:t>
      </w:r>
    </w:p>
    <w:p w:rsidR="00660F96" w:rsidRPr="00660F96" w:rsidRDefault="00660F96" w:rsidP="00660F96">
      <w:pPr>
        <w:spacing w:after="0" w:line="240" w:lineRule="auto"/>
        <w:rPr>
          <w:rFonts w:ascii="Times New Roman" w:eastAsia="Times New Roman" w:hAnsi="Times New Roman" w:cs="Times New Roman"/>
          <w:sz w:val="24"/>
          <w:szCs w:val="24"/>
        </w:rPr>
      </w:pPr>
      <w:r w:rsidRPr="00660F96">
        <w:rPr>
          <w:rFonts w:ascii="Times New Roman" w:eastAsia="Times New Roman" w:hAnsi="Times New Roman" w:cs="Times New Roman"/>
          <w:color w:val="000000"/>
          <w:sz w:val="24"/>
          <w:szCs w:val="24"/>
          <w:lang w:val="id-ID"/>
        </w:rPr>
        <w:lastRenderedPageBreak/>
        <w:br w:type="textWrapping" w:clear="all"/>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noProof/>
          <w:color w:val="000000"/>
          <w:sz w:val="24"/>
          <w:szCs w:val="24"/>
        </w:rPr>
        <w:drawing>
          <wp:inline distT="0" distB="0" distL="0" distR="0" wp14:anchorId="47A13E78" wp14:editId="37BCEBCA">
            <wp:extent cx="3333750" cy="3190875"/>
            <wp:effectExtent l="0" t="0" r="0" b="9525"/>
            <wp:docPr id="4" name="Picture 4" descr="D:\paska 2018\desertasi\artikel\artikel prior to problem 1 (1)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ska 2018\desertasi\artikel\artikel prior to problem 1 (1)_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660F96" w:rsidRPr="00660F96" w:rsidRDefault="00660F96" w:rsidP="00660F96">
      <w:pPr>
        <w:spacing w:after="0" w:line="240" w:lineRule="auto"/>
        <w:rPr>
          <w:rFonts w:ascii="Times New Roman" w:eastAsia="Times New Roman" w:hAnsi="Times New Roman" w:cs="Times New Roman"/>
          <w:sz w:val="24"/>
          <w:szCs w:val="24"/>
        </w:rPr>
      </w:pPr>
      <w:r w:rsidRPr="00660F96">
        <w:rPr>
          <w:rFonts w:ascii="Times New Roman" w:eastAsia="Times New Roman" w:hAnsi="Times New Roman" w:cs="Times New Roman"/>
          <w:color w:val="000000"/>
          <w:sz w:val="24"/>
          <w:szCs w:val="24"/>
          <w:lang w:val="id-ID"/>
        </w:rPr>
        <w:br w:type="textWrapping" w:clear="all"/>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 </w:t>
      </w:r>
    </w:p>
    <w:p w:rsidR="00660F96" w:rsidRPr="00660F96" w:rsidRDefault="00660F96" w:rsidP="00660F96">
      <w:pPr>
        <w:spacing w:after="0" w:line="240" w:lineRule="auto"/>
        <w:jc w:val="center"/>
        <w:rPr>
          <w:rFonts w:ascii="Calibri" w:eastAsia="Times New Roman" w:hAnsi="Calibri" w:cs="Times New Roman"/>
          <w:color w:val="000000"/>
        </w:rPr>
      </w:pPr>
      <w:r w:rsidRPr="00660F96">
        <w:rPr>
          <w:rFonts w:ascii="Times New Roman" w:eastAsia="Times New Roman" w:hAnsi="Times New Roman" w:cs="Times New Roman"/>
          <w:b/>
          <w:bCs/>
          <w:color w:val="000000"/>
          <w:sz w:val="20"/>
          <w:szCs w:val="20"/>
          <w:lang w:val="id-ID"/>
        </w:rPr>
        <w:t>Figure 2.   Implementation flow</w:t>
      </w:r>
    </w:p>
    <w:p w:rsidR="00660F96" w:rsidRDefault="00660F96" w:rsidP="00EE5053">
      <w:pPr>
        <w:spacing w:after="0" w:line="240" w:lineRule="auto"/>
        <w:rPr>
          <w:rFonts w:ascii="Times New Roman" w:eastAsia="Times New Roman" w:hAnsi="Times New Roman" w:cs="Times New Roman"/>
          <w:color w:val="000000"/>
          <w:sz w:val="24"/>
          <w:szCs w:val="24"/>
          <w:lang w:val="id-ID"/>
        </w:rPr>
      </w:pPr>
      <w:r w:rsidRPr="00660F96">
        <w:rPr>
          <w:rFonts w:ascii="Times New Roman" w:eastAsia="Times New Roman" w:hAnsi="Times New Roman" w:cs="Times New Roman"/>
          <w:b/>
          <w:bCs/>
          <w:color w:val="000000"/>
          <w:sz w:val="20"/>
          <w:szCs w:val="20"/>
          <w:lang w:val="id-ID"/>
        </w:rPr>
        <w:br w:type="textWrapping" w:clear="all"/>
      </w:r>
      <w:r w:rsidRPr="00660F96">
        <w:rPr>
          <w:rFonts w:ascii="Times New Roman" w:eastAsia="Times New Roman" w:hAnsi="Times New Roman" w:cs="Times New Roman"/>
          <w:color w:val="000000"/>
          <w:sz w:val="24"/>
          <w:szCs w:val="24"/>
          <w:lang w:val="id-ID"/>
        </w:rPr>
        <w:t>The implementation process is as follows: 1) Researchers or   facilitators demonstrate interactive multimedia; 2) The facilitator forms a small group   with the number of members of the study team with the number of participants according to the population size; 3) The facilitator distributes the necessities to each group to practice according to the material presented by the facilitator ; 4) each group is responsible for their respective groups; 5) The facilitator makes observations during the practical process; 6) Students in groups carry out experimental / experimental activities in accordance with the material presented by the facilitator. Experiments were carried out in two media, namely engine stand and interactive multimedia.  The facilitator provides input to the group if needed; 7) each participant fills out a jobsheet during practical activities ; 8) Each group takes turns being given the opportunity to present the results of their experiment / experiment. Other groups provide input and feedback. The facilitator gives input about the incorrect answers from each group, the facilitator does not act as a resource; 9) The facilitator ends the lesson with a </w:t>
      </w:r>
      <w:r w:rsidRPr="00660F96">
        <w:rPr>
          <w:rFonts w:ascii="Times New Roman" w:eastAsia="Times New Roman" w:hAnsi="Times New Roman" w:cs="Times New Roman"/>
          <w:i/>
          <w:iCs/>
          <w:color w:val="000000"/>
          <w:sz w:val="24"/>
          <w:szCs w:val="24"/>
          <w:lang w:val="id-ID"/>
        </w:rPr>
        <w:t>posttest</w:t>
      </w:r>
      <w:r w:rsidRPr="00660F96">
        <w:rPr>
          <w:rFonts w:ascii="Times New Roman" w:eastAsia="Times New Roman" w:hAnsi="Times New Roman" w:cs="Times New Roman"/>
          <w:color w:val="000000"/>
          <w:sz w:val="24"/>
          <w:szCs w:val="24"/>
          <w:lang w:val="id-ID"/>
        </w:rPr>
        <w:t> activity ; 10) Posttest data analysis using </w:t>
      </w:r>
      <w:r w:rsidRPr="00660F96">
        <w:rPr>
          <w:rFonts w:ascii="Times New Roman" w:eastAsia="Times New Roman" w:hAnsi="Times New Roman" w:cs="Times New Roman"/>
          <w:i/>
          <w:iCs/>
          <w:color w:val="000000"/>
          <w:sz w:val="24"/>
          <w:szCs w:val="24"/>
          <w:lang w:val="id-ID"/>
        </w:rPr>
        <w:t>independent sample t test; </w:t>
      </w:r>
      <w:r w:rsidRPr="00660F96">
        <w:rPr>
          <w:rFonts w:ascii="Times New Roman" w:eastAsia="Times New Roman" w:hAnsi="Times New Roman" w:cs="Times New Roman"/>
          <w:color w:val="000000"/>
          <w:sz w:val="24"/>
          <w:szCs w:val="24"/>
          <w:lang w:val="id-ID"/>
        </w:rPr>
        <w:t>11) The facilitator conducts interviews with experimental subjects who are unique; 12) Interpretation of the results of quantitative and qualitative data analysis</w:t>
      </w:r>
    </w:p>
    <w:p w:rsidR="00660F96" w:rsidRDefault="00660F96" w:rsidP="00660F96">
      <w:pPr>
        <w:spacing w:after="0" w:line="240" w:lineRule="auto"/>
        <w:jc w:val="both"/>
        <w:rPr>
          <w:rFonts w:ascii="Calibri" w:eastAsia="Times New Roman" w:hAnsi="Calibri" w:cs="Times New Roman"/>
          <w:color w:val="000000"/>
        </w:rPr>
      </w:pPr>
    </w:p>
    <w:p w:rsidR="00EE5053" w:rsidRDefault="00EE5053" w:rsidP="00660F96">
      <w:pPr>
        <w:spacing w:after="0" w:line="240" w:lineRule="auto"/>
        <w:jc w:val="both"/>
        <w:rPr>
          <w:rFonts w:ascii="Calibri" w:eastAsia="Times New Roman" w:hAnsi="Calibri" w:cs="Times New Roman"/>
          <w:color w:val="000000"/>
        </w:rPr>
      </w:pPr>
    </w:p>
    <w:p w:rsidR="00EE5053" w:rsidRDefault="00EE5053" w:rsidP="00660F96">
      <w:pPr>
        <w:spacing w:after="0" w:line="240" w:lineRule="auto"/>
        <w:jc w:val="both"/>
        <w:rPr>
          <w:rFonts w:ascii="Calibri" w:eastAsia="Times New Roman" w:hAnsi="Calibri" w:cs="Times New Roman"/>
          <w:color w:val="000000"/>
        </w:rPr>
      </w:pPr>
    </w:p>
    <w:p w:rsidR="00EE5053" w:rsidRDefault="00EE5053" w:rsidP="00660F96">
      <w:pPr>
        <w:spacing w:after="0" w:line="240" w:lineRule="auto"/>
        <w:jc w:val="both"/>
        <w:rPr>
          <w:rFonts w:ascii="Calibri" w:eastAsia="Times New Roman" w:hAnsi="Calibri" w:cs="Times New Roman"/>
          <w:color w:val="000000"/>
        </w:rPr>
      </w:pPr>
    </w:p>
    <w:p w:rsidR="00EE5053" w:rsidRDefault="00EE5053" w:rsidP="00660F96">
      <w:pPr>
        <w:spacing w:after="0" w:line="240" w:lineRule="auto"/>
        <w:jc w:val="both"/>
        <w:rPr>
          <w:rFonts w:ascii="Calibri" w:eastAsia="Times New Roman" w:hAnsi="Calibri" w:cs="Times New Roman"/>
          <w:color w:val="000000"/>
        </w:rPr>
      </w:pPr>
    </w:p>
    <w:p w:rsidR="00EE5053" w:rsidRPr="00660F96" w:rsidRDefault="00EE5053" w:rsidP="00660F96">
      <w:pPr>
        <w:spacing w:after="0" w:line="240" w:lineRule="auto"/>
        <w:jc w:val="both"/>
        <w:rPr>
          <w:rFonts w:ascii="Calibri" w:eastAsia="Times New Roman" w:hAnsi="Calibri" w:cs="Times New Roman"/>
          <w:color w:val="000000"/>
        </w:rPr>
      </w:pPr>
    </w:p>
    <w:p w:rsidR="00660F96" w:rsidRPr="00660F96" w:rsidRDefault="00EE5053" w:rsidP="00660F96">
      <w:pPr>
        <w:spacing w:after="0" w:line="240" w:lineRule="auto"/>
        <w:rPr>
          <w:rFonts w:ascii="Calibri" w:eastAsia="Times New Roman" w:hAnsi="Calibri" w:cs="Times New Roman"/>
          <w:color w:val="000000"/>
        </w:rPr>
      </w:pPr>
      <w:r>
        <w:rPr>
          <w:rFonts w:ascii="Times New Roman" w:eastAsia="Times New Roman" w:hAnsi="Times New Roman" w:cs="Times New Roman"/>
          <w:b/>
          <w:bCs/>
          <w:color w:val="000000"/>
          <w:sz w:val="24"/>
          <w:szCs w:val="24"/>
        </w:rPr>
        <w:lastRenderedPageBreak/>
        <w:t xml:space="preserve">3. </w:t>
      </w:r>
      <w:r w:rsidR="00660F96" w:rsidRPr="00660F96">
        <w:rPr>
          <w:rFonts w:ascii="Times New Roman" w:eastAsia="Times New Roman" w:hAnsi="Times New Roman" w:cs="Times New Roman"/>
          <w:b/>
          <w:bCs/>
          <w:color w:val="000000"/>
          <w:sz w:val="24"/>
          <w:szCs w:val="24"/>
          <w:lang w:val="id-ID"/>
        </w:rPr>
        <w:t>RESEARCH RESULT</w:t>
      </w:r>
    </w:p>
    <w:p w:rsidR="00660F96" w:rsidRPr="00660F96" w:rsidRDefault="00660F96" w:rsidP="00660F96">
      <w:pPr>
        <w:spacing w:after="0" w:line="240" w:lineRule="auto"/>
        <w:rPr>
          <w:rFonts w:ascii="Calibri" w:eastAsia="Times New Roman" w:hAnsi="Calibri" w:cs="Times New Roman"/>
          <w:color w:val="000000"/>
        </w:rPr>
      </w:pPr>
      <w:r w:rsidRPr="00660F96">
        <w:rPr>
          <w:rFonts w:ascii="Calibri" w:eastAsia="Times New Roman" w:hAnsi="Calibri" w:cs="Times New Roman"/>
          <w:color w:val="000000"/>
          <w:lang w:val="id-ID"/>
        </w:rPr>
        <w:t> </w:t>
      </w:r>
    </w:p>
    <w:tbl>
      <w:tblPr>
        <w:tblW w:w="7800" w:type="dxa"/>
        <w:tblCellMar>
          <w:left w:w="0" w:type="dxa"/>
          <w:right w:w="0" w:type="dxa"/>
        </w:tblCellMar>
        <w:tblLook w:val="04A0" w:firstRow="1" w:lastRow="0" w:firstColumn="1" w:lastColumn="0" w:noHBand="0" w:noVBand="1"/>
      </w:tblPr>
      <w:tblGrid>
        <w:gridCol w:w="720"/>
        <w:gridCol w:w="1258"/>
        <w:gridCol w:w="1441"/>
        <w:gridCol w:w="998"/>
        <w:gridCol w:w="1383"/>
        <w:gridCol w:w="1000"/>
        <w:gridCol w:w="1000"/>
      </w:tblGrid>
      <w:tr w:rsidR="00660F96" w:rsidRPr="00660F96" w:rsidTr="00660F96">
        <w:tc>
          <w:tcPr>
            <w:tcW w:w="7801" w:type="dxa"/>
            <w:gridSpan w:val="7"/>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b/>
                <w:bCs/>
                <w:color w:val="000000"/>
                <w:sz w:val="20"/>
                <w:szCs w:val="20"/>
                <w:lang w:val="id-ID"/>
              </w:rPr>
              <w:t>Table 1 ANOVA </w:t>
            </w:r>
            <w:r w:rsidRPr="00660F96">
              <w:rPr>
                <w:rFonts w:ascii="Times New Roman" w:eastAsia="Times New Roman" w:hAnsi="Times New Roman" w:cs="Times New Roman"/>
                <w:b/>
                <w:bCs/>
                <w:color w:val="000000"/>
                <w:sz w:val="20"/>
                <w:szCs w:val="20"/>
                <w:vertAlign w:val="superscript"/>
                <w:lang w:val="id-ID"/>
              </w:rPr>
              <w:t>b</w:t>
            </w:r>
          </w:p>
        </w:tc>
      </w:tr>
      <w:tr w:rsidR="00660F96" w:rsidRPr="00660F96" w:rsidTr="00660F96">
        <w:tc>
          <w:tcPr>
            <w:tcW w:w="1979" w:type="dxa"/>
            <w:gridSpan w:val="2"/>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Model</w:t>
            </w:r>
          </w:p>
        </w:tc>
        <w:tc>
          <w:tcPr>
            <w:tcW w:w="1441"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Sum of Squares</w:t>
            </w:r>
          </w:p>
        </w:tc>
        <w:tc>
          <w:tcPr>
            <w:tcW w:w="998"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df</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Mean Square</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F</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Sig.</w:t>
            </w:r>
          </w:p>
        </w:tc>
      </w:tr>
      <w:tr w:rsidR="00660F96" w:rsidRPr="00660F96" w:rsidTr="00660F96">
        <w:tc>
          <w:tcPr>
            <w:tcW w:w="721" w:type="dxa"/>
            <w:vMerge w:val="restart"/>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w:t>
            </w:r>
          </w:p>
        </w:tc>
        <w:tc>
          <w:tcPr>
            <w:tcW w:w="1258"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Regression</w:t>
            </w:r>
          </w:p>
        </w:tc>
        <w:tc>
          <w:tcPr>
            <w:tcW w:w="1441"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866,853</w:t>
            </w:r>
          </w:p>
        </w:tc>
        <w:tc>
          <w:tcPr>
            <w:tcW w:w="99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866,853</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6,735</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.014 </w:t>
            </w:r>
            <w:r w:rsidRPr="00660F96">
              <w:rPr>
                <w:rFonts w:ascii="Times New Roman" w:eastAsia="Times New Roman" w:hAnsi="Times New Roman" w:cs="Times New Roman"/>
                <w:color w:val="000000"/>
                <w:sz w:val="20"/>
                <w:szCs w:val="20"/>
                <w:vertAlign w:val="superscript"/>
                <w:lang w:val="id-ID"/>
              </w:rPr>
              <w:t>a</w:t>
            </w:r>
          </w:p>
        </w:tc>
      </w:tr>
      <w:tr w:rsidR="00660F96" w:rsidRPr="00660F96" w:rsidTr="00660F96">
        <w:tc>
          <w:tcPr>
            <w:tcW w:w="0" w:type="auto"/>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c>
          <w:tcPr>
            <w:tcW w:w="1258"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Residual</w:t>
            </w:r>
          </w:p>
        </w:tc>
        <w:tc>
          <w:tcPr>
            <w:tcW w:w="1441"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4633,489</w:t>
            </w:r>
          </w:p>
        </w:tc>
        <w:tc>
          <w:tcPr>
            <w:tcW w:w="99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36</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128,708</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r>
      <w:tr w:rsidR="00660F96" w:rsidRPr="00660F96" w:rsidTr="00660F96">
        <w:tc>
          <w:tcPr>
            <w:tcW w:w="0" w:type="auto"/>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c>
          <w:tcPr>
            <w:tcW w:w="1258"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Total</w:t>
            </w:r>
          </w:p>
        </w:tc>
        <w:tc>
          <w:tcPr>
            <w:tcW w:w="1441"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5500,342</w:t>
            </w:r>
          </w:p>
        </w:tc>
        <w:tc>
          <w:tcPr>
            <w:tcW w:w="99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37</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r>
      <w:tr w:rsidR="00660F96" w:rsidRPr="00660F96" w:rsidTr="00660F96">
        <w:tc>
          <w:tcPr>
            <w:tcW w:w="4418" w:type="dxa"/>
            <w:gridSpan w:val="4"/>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a. Predictors: (Constant), </w:t>
            </w:r>
            <w:r w:rsidRPr="00660F96">
              <w:rPr>
                <w:rFonts w:ascii="Times New Roman" w:eastAsia="Times New Roman" w:hAnsi="Times New Roman" w:cs="Times New Roman"/>
                <w:i/>
                <w:iCs/>
                <w:color w:val="000000"/>
                <w:sz w:val="20"/>
                <w:szCs w:val="20"/>
                <w:lang w:val="id-ID"/>
              </w:rPr>
              <w:t>prior knowledge</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r>
      <w:tr w:rsidR="00660F96" w:rsidRPr="00660F96" w:rsidTr="00660F96">
        <w:tc>
          <w:tcPr>
            <w:tcW w:w="4418" w:type="dxa"/>
            <w:gridSpan w:val="4"/>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b. Dependent Variable: </w:t>
            </w:r>
            <w:r w:rsidRPr="00660F96">
              <w:rPr>
                <w:rFonts w:ascii="Times New Roman" w:eastAsia="Times New Roman" w:hAnsi="Times New Roman" w:cs="Times New Roman"/>
                <w:i/>
                <w:iCs/>
                <w:color w:val="000000"/>
                <w:sz w:val="20"/>
                <w:szCs w:val="20"/>
                <w:lang w:val="id-ID"/>
              </w:rPr>
              <w:t>problem solving</w:t>
            </w:r>
          </w:p>
        </w:tc>
        <w:tc>
          <w:tcPr>
            <w:tcW w:w="138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r>
    </w:tbl>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tbl>
      <w:tblPr>
        <w:tblW w:w="8340" w:type="dxa"/>
        <w:tblCellMar>
          <w:left w:w="0" w:type="dxa"/>
          <w:right w:w="0" w:type="dxa"/>
        </w:tblCellMar>
        <w:tblLook w:val="04A0" w:firstRow="1" w:lastRow="0" w:firstColumn="1" w:lastColumn="0" w:noHBand="0" w:noVBand="1"/>
      </w:tblPr>
      <w:tblGrid>
        <w:gridCol w:w="722"/>
        <w:gridCol w:w="1560"/>
        <w:gridCol w:w="1310"/>
        <w:gridCol w:w="1308"/>
        <w:gridCol w:w="1440"/>
        <w:gridCol w:w="1000"/>
        <w:gridCol w:w="1000"/>
      </w:tblGrid>
      <w:tr w:rsidR="00660F96" w:rsidRPr="00660F96" w:rsidTr="00EE5053">
        <w:tc>
          <w:tcPr>
            <w:tcW w:w="8340" w:type="dxa"/>
            <w:gridSpan w:val="7"/>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b/>
                <w:bCs/>
                <w:color w:val="000000"/>
                <w:sz w:val="24"/>
                <w:szCs w:val="24"/>
                <w:lang w:val="id-ID"/>
              </w:rPr>
              <w:t> </w:t>
            </w:r>
            <w:proofErr w:type="spellStart"/>
            <w:r w:rsidR="00EE5053" w:rsidRPr="00EE5053">
              <w:rPr>
                <w:rFonts w:ascii="Times New Roman" w:eastAsia="Times New Roman" w:hAnsi="Times New Roman" w:cs="Times New Roman"/>
                <w:b/>
                <w:bCs/>
                <w:color w:val="000000"/>
                <w:sz w:val="20"/>
                <w:szCs w:val="20"/>
              </w:rPr>
              <w:t>Tabel</w:t>
            </w:r>
            <w:proofErr w:type="spellEnd"/>
            <w:r w:rsidR="00EE5053" w:rsidRPr="00EE5053">
              <w:rPr>
                <w:rFonts w:ascii="Times New Roman" w:eastAsia="Times New Roman" w:hAnsi="Times New Roman" w:cs="Times New Roman"/>
                <w:b/>
                <w:bCs/>
                <w:color w:val="000000"/>
                <w:sz w:val="20"/>
                <w:szCs w:val="20"/>
              </w:rPr>
              <w:t xml:space="preserve"> 2</w:t>
            </w:r>
            <w:r w:rsidR="00EE5053">
              <w:rPr>
                <w:rFonts w:ascii="Times New Roman" w:eastAsia="Times New Roman" w:hAnsi="Times New Roman" w:cs="Times New Roman"/>
                <w:b/>
                <w:bCs/>
                <w:color w:val="000000"/>
                <w:sz w:val="24"/>
                <w:szCs w:val="24"/>
              </w:rPr>
              <w:t xml:space="preserve"> </w:t>
            </w:r>
            <w:r w:rsidRPr="00660F96">
              <w:rPr>
                <w:rFonts w:ascii="Times New Roman" w:eastAsia="Times New Roman" w:hAnsi="Times New Roman" w:cs="Times New Roman"/>
                <w:b/>
                <w:bCs/>
                <w:color w:val="000000"/>
                <w:sz w:val="20"/>
                <w:szCs w:val="20"/>
                <w:lang w:val="id-ID"/>
              </w:rPr>
              <w:t>Coefficients </w:t>
            </w:r>
            <w:r w:rsidRPr="00660F96">
              <w:rPr>
                <w:rFonts w:ascii="Times New Roman" w:eastAsia="Times New Roman" w:hAnsi="Times New Roman" w:cs="Times New Roman"/>
                <w:b/>
                <w:bCs/>
                <w:color w:val="000000"/>
                <w:sz w:val="20"/>
                <w:szCs w:val="20"/>
                <w:vertAlign w:val="superscript"/>
                <w:lang w:val="id-ID"/>
              </w:rPr>
              <w:t>a</w:t>
            </w:r>
          </w:p>
        </w:tc>
      </w:tr>
      <w:tr w:rsidR="00660F96" w:rsidRPr="00660F96" w:rsidTr="00EE5053">
        <w:tc>
          <w:tcPr>
            <w:tcW w:w="2282" w:type="dxa"/>
            <w:gridSpan w:val="2"/>
            <w:vMerge w:val="restart"/>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Model</w:t>
            </w:r>
          </w:p>
        </w:tc>
        <w:tc>
          <w:tcPr>
            <w:tcW w:w="2618" w:type="dxa"/>
            <w:gridSpan w:val="2"/>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Unstandardized Coefficients</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Standardized Coefficients</w:t>
            </w:r>
          </w:p>
        </w:tc>
        <w:tc>
          <w:tcPr>
            <w:tcW w:w="1000" w:type="dxa"/>
            <w:vMerge w:val="restart"/>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t</w:t>
            </w:r>
          </w:p>
        </w:tc>
        <w:tc>
          <w:tcPr>
            <w:tcW w:w="1000" w:type="dxa"/>
            <w:vMerge w:val="restart"/>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Sig.</w:t>
            </w:r>
          </w:p>
        </w:tc>
      </w:tr>
      <w:tr w:rsidR="00660F96" w:rsidRPr="00660F96" w:rsidTr="00660F96">
        <w:tc>
          <w:tcPr>
            <w:tcW w:w="0" w:type="auto"/>
            <w:gridSpan w:val="2"/>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c>
          <w:tcPr>
            <w:tcW w:w="1310"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B</w:t>
            </w:r>
          </w:p>
        </w:tc>
        <w:tc>
          <w:tcPr>
            <w:tcW w:w="1308"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Std. Error</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vAlign w:val="bottom"/>
            <w:hideMark/>
          </w:tcPr>
          <w:p w:rsidR="00660F96" w:rsidRPr="00660F96" w:rsidRDefault="00660F96" w:rsidP="00660F96">
            <w:pPr>
              <w:spacing w:after="0" w:line="240" w:lineRule="auto"/>
              <w:jc w:val="center"/>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Beta</w:t>
            </w:r>
          </w:p>
        </w:tc>
        <w:tc>
          <w:tcPr>
            <w:tcW w:w="0" w:type="auto"/>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c>
          <w:tcPr>
            <w:tcW w:w="0" w:type="auto"/>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r>
      <w:tr w:rsidR="00660F96" w:rsidRPr="00660F96" w:rsidTr="00EE5053">
        <w:tc>
          <w:tcPr>
            <w:tcW w:w="722" w:type="dxa"/>
            <w:vMerge w:val="restart"/>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w:t>
            </w:r>
          </w:p>
        </w:tc>
        <w:tc>
          <w:tcPr>
            <w:tcW w:w="156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(Constant)</w:t>
            </w:r>
          </w:p>
        </w:tc>
        <w:tc>
          <w:tcPr>
            <w:tcW w:w="131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16,835</w:t>
            </w:r>
          </w:p>
        </w:tc>
        <w:tc>
          <w:tcPr>
            <w:tcW w:w="130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15,918</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1,058</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297</w:t>
            </w:r>
          </w:p>
        </w:tc>
      </w:tr>
      <w:tr w:rsidR="00660F96" w:rsidRPr="00660F96" w:rsidTr="00EE5053">
        <w:tc>
          <w:tcPr>
            <w:tcW w:w="0" w:type="auto"/>
            <w:vMerge/>
            <w:tcBorders>
              <w:top w:val="nil"/>
              <w:left w:val="nil"/>
              <w:bottom w:val="single" w:sz="8" w:space="0" w:color="000000"/>
              <w:right w:val="nil"/>
            </w:tcBorders>
            <w:vAlign w:val="center"/>
            <w:hideMark/>
          </w:tcPr>
          <w:p w:rsidR="00660F96" w:rsidRPr="00660F96" w:rsidRDefault="00660F96" w:rsidP="00660F96">
            <w:pPr>
              <w:spacing w:after="0" w:line="240" w:lineRule="auto"/>
              <w:rPr>
                <w:rFonts w:ascii="Calibri" w:eastAsia="Times New Roman" w:hAnsi="Calibri" w:cs="Times New Roman"/>
              </w:rPr>
            </w:pPr>
          </w:p>
        </w:tc>
        <w:tc>
          <w:tcPr>
            <w:tcW w:w="156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i/>
                <w:iCs/>
                <w:color w:val="000000"/>
                <w:sz w:val="20"/>
                <w:szCs w:val="20"/>
                <w:lang w:val="id-ID"/>
              </w:rPr>
              <w:t>Prior knowledge</w:t>
            </w:r>
          </w:p>
        </w:tc>
        <w:tc>
          <w:tcPr>
            <w:tcW w:w="131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.489</w:t>
            </w:r>
          </w:p>
        </w:tc>
        <w:tc>
          <w:tcPr>
            <w:tcW w:w="1308"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.189</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.397</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2,595</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660F96" w:rsidRPr="00660F96" w:rsidRDefault="00660F96" w:rsidP="00660F96">
            <w:pPr>
              <w:spacing w:after="0" w:line="240" w:lineRule="auto"/>
              <w:jc w:val="right"/>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.014</w:t>
            </w:r>
          </w:p>
        </w:tc>
      </w:tr>
      <w:tr w:rsidR="00660F96" w:rsidRPr="00660F96" w:rsidTr="00EE5053">
        <w:tc>
          <w:tcPr>
            <w:tcW w:w="4900" w:type="dxa"/>
            <w:gridSpan w:val="4"/>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color w:val="000000"/>
                <w:sz w:val="20"/>
                <w:szCs w:val="20"/>
                <w:lang w:val="id-ID"/>
              </w:rPr>
              <w:t>a. Dependent Variable: </w:t>
            </w:r>
            <w:r w:rsidRPr="00660F96">
              <w:rPr>
                <w:rFonts w:ascii="Times New Roman" w:eastAsia="Times New Roman" w:hAnsi="Times New Roman" w:cs="Times New Roman"/>
                <w:i/>
                <w:iCs/>
                <w:color w:val="000000"/>
                <w:sz w:val="20"/>
                <w:szCs w:val="20"/>
                <w:lang w:val="id-ID"/>
              </w:rPr>
              <w:t>problem solving</w:t>
            </w:r>
          </w:p>
        </w:tc>
        <w:tc>
          <w:tcPr>
            <w:tcW w:w="144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c>
          <w:tcPr>
            <w:tcW w:w="1000"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660F96" w:rsidRPr="00660F96" w:rsidRDefault="00660F96" w:rsidP="00660F96">
            <w:pPr>
              <w:spacing w:after="0" w:line="240" w:lineRule="auto"/>
              <w:rPr>
                <w:rFonts w:ascii="Calibri" w:eastAsia="Times New Roman" w:hAnsi="Calibri" w:cs="Times New Roman"/>
              </w:rPr>
            </w:pPr>
            <w:r w:rsidRPr="00660F96">
              <w:rPr>
                <w:rFonts w:ascii="Times New Roman" w:eastAsia="Times New Roman" w:hAnsi="Times New Roman" w:cs="Times New Roman"/>
                <w:sz w:val="20"/>
                <w:szCs w:val="20"/>
                <w:lang w:val="id-ID"/>
              </w:rPr>
              <w:t> </w:t>
            </w:r>
          </w:p>
        </w:tc>
      </w:tr>
    </w:tbl>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b/>
          <w:bCs/>
          <w:color w:val="000000"/>
          <w:sz w:val="24"/>
          <w:szCs w:val="24"/>
          <w:lang w:val="id-ID"/>
        </w:rPr>
        <w:t> </w:t>
      </w:r>
    </w:p>
    <w:p w:rsidR="00660F96" w:rsidRPr="00660F96" w:rsidRDefault="00EE5053" w:rsidP="00660F96">
      <w:pPr>
        <w:spacing w:after="0" w:line="240" w:lineRule="auto"/>
        <w:rPr>
          <w:rFonts w:ascii="Calibri" w:eastAsia="Times New Roman" w:hAnsi="Calibri" w:cs="Times New Roman"/>
          <w:color w:val="000000"/>
        </w:rPr>
      </w:pPr>
      <w:r>
        <w:rPr>
          <w:rFonts w:ascii="Times New Roman" w:eastAsia="Times New Roman" w:hAnsi="Times New Roman" w:cs="Times New Roman"/>
          <w:b/>
          <w:bCs/>
          <w:color w:val="000000"/>
          <w:sz w:val="24"/>
          <w:szCs w:val="24"/>
        </w:rPr>
        <w:t xml:space="preserve">4. </w:t>
      </w:r>
      <w:r w:rsidR="00660F96" w:rsidRPr="00660F96">
        <w:rPr>
          <w:rFonts w:ascii="Times New Roman" w:eastAsia="Times New Roman" w:hAnsi="Times New Roman" w:cs="Times New Roman"/>
          <w:b/>
          <w:bCs/>
          <w:color w:val="000000"/>
          <w:sz w:val="24"/>
          <w:szCs w:val="24"/>
          <w:lang w:val="id-ID"/>
        </w:rPr>
        <w:t>DISCUSSION</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color w:val="000000"/>
          <w:lang w:val="id-ID"/>
        </w:rPr>
        <w:t> </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lang w:val="id-ID"/>
        </w:rPr>
        <w: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can be applied comprehensively to improve individual abilities in certain fields.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increases with the use of interactive multimedia [27]; [28]; [29], in line with this study which is described in the table with a significance value of 0.14 which is smaller than 0.05, which means that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contributes to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is an activity that uses </w:t>
      </w:r>
      <w:r w:rsidRPr="00660F96">
        <w:rPr>
          <w:rFonts w:ascii="Times New Roman" w:eastAsia="Times New Roman" w:hAnsi="Times New Roman" w:cs="Times New Roman"/>
          <w:i/>
          <w:iCs/>
          <w:color w:val="000000"/>
          <w:sz w:val="24"/>
          <w:szCs w:val="24"/>
          <w:lang w:val="id-ID"/>
        </w:rPr>
        <w:t>high-order thinking</w:t>
      </w:r>
      <w:r w:rsidRPr="00660F96">
        <w:rPr>
          <w:rFonts w:ascii="Times New Roman" w:eastAsia="Times New Roman" w:hAnsi="Times New Roman" w:cs="Times New Roman"/>
          <w:color w:val="000000"/>
          <w:sz w:val="24"/>
          <w:szCs w:val="24"/>
          <w:lang w:val="id-ID"/>
        </w:rPr>
        <w:t> .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has an influence on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[30]. In this study the contribution of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39.7% as illustrated in table 2.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the knowledge that students have, both subject knowledge, strategy knowledge, and personal knowledge when learning new material.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with instructional strengthening can improve the ability of students [31]; [32].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is the main key in the field of science [22]. Increasing </w:t>
      </w:r>
      <w:r w:rsidRPr="00660F96">
        <w:rPr>
          <w:rFonts w:ascii="Times New Roman" w:eastAsia="Times New Roman" w:hAnsi="Times New Roman" w:cs="Times New Roman"/>
          <w:i/>
          <w:iCs/>
          <w:color w:val="000000"/>
          <w:sz w:val="24"/>
          <w:szCs w:val="24"/>
          <w:lang w:val="id-ID"/>
        </w:rPr>
        <w:t>problem solving is</w:t>
      </w:r>
      <w:r w:rsidRPr="00660F96">
        <w:rPr>
          <w:rFonts w:ascii="Times New Roman" w:eastAsia="Times New Roman" w:hAnsi="Times New Roman" w:cs="Times New Roman"/>
          <w:color w:val="000000"/>
          <w:sz w:val="24"/>
          <w:szCs w:val="24"/>
          <w:lang w:val="id-ID"/>
        </w:rPr>
        <w:t> influenced by an increase in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[26]. Each problem solver must determine basic knowledge (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 while troubleshooting [24]. Table 2 shows the significance of 0.014 which shows that statistically the t test coefficient is smaller than 0.05, which means that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has an effect on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 The results of this study are in line with research [33] which states that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influences the effectiveness of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lang w:val="id-ID"/>
        </w:rPr>
        <w:t> </w:t>
      </w:r>
    </w:p>
    <w:p w:rsidR="00660F96" w:rsidRPr="00660F96" w:rsidRDefault="00EE5053" w:rsidP="00660F96">
      <w:pPr>
        <w:spacing w:after="0" w:line="240" w:lineRule="auto"/>
        <w:jc w:val="both"/>
        <w:rPr>
          <w:rFonts w:ascii="Calibri" w:eastAsia="Times New Roman" w:hAnsi="Calibri" w:cs="Times New Roman"/>
          <w:color w:val="000000"/>
        </w:rPr>
      </w:pPr>
      <w:r>
        <w:rPr>
          <w:rFonts w:ascii="Times New Roman" w:eastAsia="Times New Roman" w:hAnsi="Times New Roman" w:cs="Times New Roman"/>
          <w:b/>
          <w:bCs/>
          <w:color w:val="000000"/>
          <w:sz w:val="24"/>
          <w:szCs w:val="24"/>
        </w:rPr>
        <w:t xml:space="preserve">5. </w:t>
      </w:r>
      <w:r w:rsidR="00660F96" w:rsidRPr="00660F96">
        <w:rPr>
          <w:rFonts w:ascii="Times New Roman" w:eastAsia="Times New Roman" w:hAnsi="Times New Roman" w:cs="Times New Roman"/>
          <w:b/>
          <w:bCs/>
          <w:color w:val="000000"/>
          <w:sz w:val="24"/>
          <w:szCs w:val="24"/>
          <w:lang w:val="id-ID"/>
        </w:rPr>
        <w:t>CONCLUSION</w:t>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There is a significant contribution of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to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in learning using interactive multimedia.   This happens because </w:t>
      </w:r>
      <w:r w:rsidRPr="00660F96">
        <w:rPr>
          <w:rFonts w:ascii="Times New Roman" w:eastAsia="Times New Roman" w:hAnsi="Times New Roman" w:cs="Times New Roman"/>
          <w:i/>
          <w:iCs/>
          <w:color w:val="000000"/>
          <w:sz w:val="24"/>
          <w:szCs w:val="24"/>
          <w:lang w:val="id-ID"/>
        </w:rPr>
        <w:t>prior knowledge</w:t>
      </w:r>
      <w:r w:rsidRPr="00660F96">
        <w:rPr>
          <w:rFonts w:ascii="Times New Roman" w:eastAsia="Times New Roman" w:hAnsi="Times New Roman" w:cs="Times New Roman"/>
          <w:color w:val="000000"/>
          <w:sz w:val="24"/>
          <w:szCs w:val="24"/>
          <w:lang w:val="id-ID"/>
        </w:rPr>
        <w:t> is the basic scheme when taking the next learning process. </w:t>
      </w:r>
      <w:r w:rsidRPr="00660F96">
        <w:rPr>
          <w:rFonts w:ascii="Times New Roman" w:eastAsia="Times New Roman" w:hAnsi="Times New Roman" w:cs="Times New Roman"/>
          <w:i/>
          <w:iCs/>
          <w:color w:val="000000"/>
          <w:sz w:val="24"/>
          <w:szCs w:val="24"/>
          <w:lang w:val="id-ID"/>
        </w:rPr>
        <w:t>Problem solving,</w:t>
      </w:r>
      <w:r w:rsidRPr="00660F96">
        <w:rPr>
          <w:rFonts w:ascii="Times New Roman" w:eastAsia="Times New Roman" w:hAnsi="Times New Roman" w:cs="Times New Roman"/>
          <w:color w:val="000000"/>
          <w:sz w:val="24"/>
          <w:szCs w:val="24"/>
          <w:lang w:val="id-ID"/>
        </w:rPr>
        <w:t> which is a high-level thinking process, in every process requires basic knowledge.</w:t>
      </w:r>
    </w:p>
    <w:p w:rsidR="00EE5053" w:rsidRDefault="00EE5053" w:rsidP="00660F96">
      <w:pPr>
        <w:spacing w:after="0" w:line="240" w:lineRule="auto"/>
        <w:rPr>
          <w:rFonts w:ascii="Times New Roman" w:eastAsia="Times New Roman" w:hAnsi="Times New Roman" w:cs="Times New Roman"/>
          <w:color w:val="000000"/>
          <w:sz w:val="24"/>
          <w:szCs w:val="24"/>
          <w:lang w:val="id-ID"/>
        </w:rPr>
      </w:pPr>
    </w:p>
    <w:p w:rsidR="00660F96" w:rsidRPr="00660F96" w:rsidRDefault="00660F96" w:rsidP="00660F96">
      <w:pPr>
        <w:spacing w:after="0" w:line="240" w:lineRule="auto"/>
        <w:rPr>
          <w:rFonts w:ascii="Times New Roman" w:eastAsia="Times New Roman" w:hAnsi="Times New Roman" w:cs="Times New Roman"/>
          <w:sz w:val="24"/>
          <w:szCs w:val="24"/>
        </w:rPr>
      </w:pPr>
      <w:bookmarkStart w:id="0" w:name="_GoBack"/>
      <w:bookmarkEnd w:id="0"/>
      <w:r w:rsidRPr="00660F96">
        <w:rPr>
          <w:rFonts w:ascii="Times New Roman" w:eastAsia="Times New Roman" w:hAnsi="Times New Roman" w:cs="Times New Roman"/>
          <w:color w:val="000000"/>
          <w:sz w:val="24"/>
          <w:szCs w:val="24"/>
          <w:lang w:val="id-ID"/>
        </w:rPr>
        <w:br w:type="textWrapping" w:clear="all"/>
      </w:r>
    </w:p>
    <w:p w:rsidR="00660F96" w:rsidRPr="00660F96" w:rsidRDefault="00660F96" w:rsidP="00660F96">
      <w:pPr>
        <w:spacing w:after="0" w:line="240" w:lineRule="auto"/>
        <w:jc w:val="both"/>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lastRenderedPageBreak/>
        <w:t> </w:t>
      </w:r>
      <w:bookmarkStart w:id="1" w:name="_heading=h.gjdgxs"/>
      <w:bookmarkEnd w:id="1"/>
      <w:r w:rsidRPr="00660F96">
        <w:rPr>
          <w:rFonts w:ascii="Times New Roman" w:eastAsia="Times New Roman" w:hAnsi="Times New Roman" w:cs="Times New Roman"/>
          <w:b/>
          <w:bCs/>
          <w:color w:val="000000"/>
          <w:sz w:val="24"/>
          <w:szCs w:val="24"/>
          <w:lang w:val="id-ID"/>
        </w:rPr>
        <w:t>REFERENCE</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color w:val="000000"/>
          <w:sz w:val="24"/>
          <w:szCs w:val="24"/>
          <w:lang w:val="id-ID"/>
        </w:rPr>
        <w:t> </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       T. Hailikari, N. Katajavuori, and S. Lindblom-ylanne, "The Relevance of Prior Knowledge in Learning and Instructional Design The Relevance of Prior Knowledge in Learning and Instructional Design," no. July 2014, 2008, doi: 10.5688 / aj7205113.</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       LD Dierking, “Learning in Interactive Environments: Prior Knowledge and New Experience Jeremy Roschelle University of Massachusetts, Dartmouth,” pp. 1–26, 1995.</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[3]       HS Song, AL Kalet, and JL Plass, “Interplay of prior knowledge, self-regulation and motivation in complex multimedia learning environments,” pp. 31–50, 2015, doi: 10.1111 / jcal.12117.</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[4]       T. Liu, Y. Lin, and F. Paas, "Computers &amp; Education Effects of prior knowledge on learning from different compositions of representations in a mobile learning environment," </w:t>
      </w:r>
      <w:r w:rsidRPr="00660F96">
        <w:rPr>
          <w:rFonts w:ascii="Times New Roman" w:eastAsia="Times New Roman" w:hAnsi="Times New Roman" w:cs="Times New Roman"/>
          <w:i/>
          <w:iCs/>
          <w:color w:val="000000"/>
          <w:lang w:val="id-ID"/>
        </w:rPr>
        <w:t>Comput. Educ. </w:t>
      </w:r>
      <w:r w:rsidRPr="00660F96">
        <w:rPr>
          <w:rFonts w:ascii="Times New Roman" w:eastAsia="Times New Roman" w:hAnsi="Times New Roman" w:cs="Times New Roman"/>
          <w:color w:val="000000"/>
          <w:lang w:val="id-ID"/>
        </w:rPr>
        <w:t>, vol. 72, pp. 328–338, 2014, doi: 10.1016 / j.compedu.2013.10.019.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[5]       F. Amadieu, A. Tricot, and C. Mariné, "Interacting with Computers Interaction between prior knowledge and concept-map structure on hypertext comprehension, coherence of reading orders and disorientation," </w:t>
      </w:r>
      <w:r w:rsidRPr="00660F96">
        <w:rPr>
          <w:rFonts w:ascii="Times New Roman" w:eastAsia="Times New Roman" w:hAnsi="Times New Roman" w:cs="Times New Roman"/>
          <w:i/>
          <w:iCs/>
          <w:color w:val="000000"/>
          <w:lang w:val="id-ID"/>
        </w:rPr>
        <w:t>Interact. Comput </w:t>
      </w:r>
      <w:r w:rsidRPr="00660F96">
        <w:rPr>
          <w:rFonts w:ascii="Times New Roman" w:eastAsia="Times New Roman" w:hAnsi="Times New Roman" w:cs="Times New Roman"/>
          <w:color w:val="000000"/>
          <w:lang w:val="id-ID"/>
        </w:rPr>
        <w:t>, pp. 1–10, 2009, doi: 10.1016 / j.intcom.2009.07.001.</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[6]       K. Henderson, "The Effects Of Prior Knowledge Activation On Learner Retention Of New Concepts In Learning Objects," 2007.</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[7]       K. Lederm and I. Fallmann, “Predicting learning success in online learning environments: Self-regulated learning, prior knowledge and repetition,” pp. 79–99.</w:t>
      </w:r>
    </w:p>
    <w:p w:rsidR="00660F96" w:rsidRPr="00660F96" w:rsidRDefault="00660F96" w:rsidP="00660F96">
      <w:pPr>
        <w:spacing w:after="0" w:line="240" w:lineRule="auto"/>
        <w:ind w:left="640" w:hanging="640"/>
        <w:rPr>
          <w:rFonts w:ascii="Calibri" w:eastAsia="Times New Roman" w:hAnsi="Calibri" w:cs="Times New Roman"/>
          <w:color w:val="000000"/>
        </w:rPr>
      </w:pPr>
      <w:bookmarkStart w:id="2" w:name="_heading=h.30j0zll"/>
      <w:bookmarkEnd w:id="2"/>
      <w:r w:rsidRPr="00660F96">
        <w:rPr>
          <w:rFonts w:ascii="Times New Roman" w:eastAsia="Times New Roman" w:hAnsi="Times New Roman" w:cs="Times New Roman"/>
          <w:color w:val="000000"/>
          <w:lang w:val="id-ID"/>
        </w:rPr>
        <w:t>[8]       MK Akinsola, "Effects Of Mnemonic And Prior Knowledge Instructional Strategies On Students' Achievement In Mathematics," vol. 2, no. 7, pp. 675–688.</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[9]       NL Schroeder and AT Cenkci, “Spatial Contiguity and Spatial Split-Attention Effects in Multimedia Learning Environments: a Meta-Analysis,” pp. 679–701, 2018.</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[10]     J. Roschelle, "Beyond Romantic Versus Skeptic: A Microanalysis of Conceptual Change in Kinematics," vol. 20, pp. 1025-1042, 1998.</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[11]     DA Last, AMO Donnell, and AE Kelly, “The Effects of Prior Knowledge and Goal Strength on the Use of Hypertext,” vol. 10, pp. 3–25, 2001.</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[12]     DS Mcnamara </w:t>
      </w:r>
      <w:r w:rsidRPr="00660F96">
        <w:rPr>
          <w:rFonts w:ascii="Times New Roman" w:eastAsia="Times New Roman" w:hAnsi="Times New Roman" w:cs="Times New Roman"/>
          <w:i/>
          <w:iCs/>
          <w:color w:val="000000"/>
          <w:lang w:val="id-ID"/>
        </w:rPr>
        <w:t>et al. </w:t>
      </w:r>
      <w:r w:rsidRPr="00660F96">
        <w:rPr>
          <w:rFonts w:ascii="Times New Roman" w:eastAsia="Times New Roman" w:hAnsi="Times New Roman" w:cs="Times New Roman"/>
          <w:color w:val="000000"/>
          <w:lang w:val="id-ID"/>
        </w:rPr>
        <w:t>, “Are Good Texts Always Better? Interactions of Text Coherence, Background Knowledge, and Levels of Understanding in Learning from Text Linked references are available on JSTOR for this article: Are Good Texts Always Better? Cohere's Interactions of Text, ”vol. 14, no. 1, pp. 1–43, 2020.</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[13]     F. Calisir and Z. Gurel, “Influence of text structure and prior knowledge of the learner on reading comprehension, browsing and perceived control,” vol. 19, pp. 135–145, 2003.</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[14]     F. Amadieu, A. Tricot, and C. Mariné, “Exploratory Study of Relations Between Prior Knowledge, Comprehension, Disorientation and On-Line Processes in Hypertext,” pp. 49–57, 2009.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[15]     "Robertson SI - Problem Solving. Part 1 (2001) .pdf. " .</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[16]     R. Oliver, “Using Situated Learning and Multimedia to Investigate Higher-Order Thinking,” vol. 10, pp. 3–24, 1999.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[17]     R. Zheng, "Recency Effect on Problem Solving in Interactive Multimedia Learning," vol. 9, pp. 107–118, 2006.</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[18]     KA Bingimlas, “Barriers to the Successful Integration of ICT in Teaching and Learning Environments: A Review,” vol. 5, no. 3, pp. 235–245, 2009.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[19]     F. Paas, "Training Strategies for Attaining Transfer of Problem-Solving Skills in Statistics: A Cognitive-Load Approach," no. December, 1992, doi: 10.1037 / 0022-0663.84.4.429.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[20]     R. Zheng, B. Zhou, S. Journal, and R. Zheng, “International Forum of Educational Technology &amp; Society Recency Effect on Problem Solving in Interactive Multimedia Learning Published by: International Forum of Educational Technology &amp; Society Stable URL: https://www.jstor.org/stable/10.2307/jeductech, ”vol. 9, no. 2, pp. 107–118, 2006.</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Baloo Bhaina" w:eastAsia="Times New Roman" w:hAnsi="Baloo Bhaina" w:cs="Times New Roman"/>
          <w:color w:val="000000"/>
          <w:lang w:val="id-ID"/>
        </w:rPr>
        <w:t xml:space="preserve">[21]     RE Mayer, "Multimedia aids to problem-solving transfer </w:t>
      </w:r>
      <w:r w:rsidRPr="00660F96">
        <w:rPr>
          <w:rFonts w:ascii="Kalinga" w:eastAsia="Times New Roman" w:hAnsi="Kalinga" w:cs="Kalinga"/>
          <w:color w:val="000000"/>
          <w:lang w:val="id-ID"/>
        </w:rPr>
        <w:t>ଝ</w:t>
      </w:r>
      <w:r w:rsidRPr="00660F96">
        <w:rPr>
          <w:rFonts w:ascii="Baloo Bhaina" w:eastAsia="Times New Roman" w:hAnsi="Baloo Bhaina" w:cs="Times New Roman"/>
          <w:color w:val="000000"/>
          <w:lang w:val="id-ID"/>
        </w:rPr>
        <w:t>," vol.</w:t>
      </w:r>
      <w:r w:rsidRPr="00660F96">
        <w:rPr>
          <w:rFonts w:ascii="Times New Roman" w:eastAsia="Times New Roman" w:hAnsi="Times New Roman" w:cs="Times New Roman"/>
          <w:color w:val="000000"/>
          <w:lang w:val="id-ID"/>
        </w:rPr>
        <w:t> </w:t>
      </w:r>
      <w:r w:rsidRPr="00660F96">
        <w:rPr>
          <w:rFonts w:ascii="Baloo Bhaina" w:eastAsia="Times New Roman" w:hAnsi="Baloo Bhaina" w:cs="Times New Roman"/>
          <w:color w:val="000000"/>
          <w:lang w:val="id-ID"/>
        </w:rPr>
        <w:t>31, 1999.</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lastRenderedPageBreak/>
        <w:t>[22]     B. Ibrahim and NS Rebello, "Representational task formats and problem solving strategies in kinematics and work," vol. 010126, no. 2012, pp. 1–19, doi: 10.1103 / PhysRevSTPER.8.010126.</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[23]     MG Voskoglou and S. Buckley, “Problem Solving and Computers in a Learning Environment 2. The PS process: A review, ”vol. 36, no. 4, pp. 28–46, 2012.</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[24]     P. Liljedahl and M. Santos-trigo, </w:t>
      </w:r>
      <w:r w:rsidRPr="00660F96">
        <w:rPr>
          <w:rFonts w:ascii="Times New Roman" w:eastAsia="Times New Roman" w:hAnsi="Times New Roman" w:cs="Times New Roman"/>
          <w:i/>
          <w:iCs/>
          <w:color w:val="000000"/>
          <w:lang w:val="id-ID"/>
        </w:rPr>
        <w:t>Problem Solving in Mathematics Education</w:t>
      </w:r>
      <w:r w:rsidRPr="00660F96">
        <w:rPr>
          <w:rFonts w:ascii="Times New Roman" w:eastAsia="Times New Roman" w:hAnsi="Times New Roman" w:cs="Times New Roman"/>
          <w:color w:val="000000"/>
          <w:lang w:val="id-ID"/>
        </w:rPr>
        <w:t> . .</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[25]     CA Ogilvie, "Changes in students' problem-solving strategies in a course that includes context-rich, multifaceted problems," pp. 1–14, 2009, doi: 10.1103 / PhysRevSTPER.5.020102.</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[26]     Z. Yang, "Research on Organization of Mathematics Knowledge in Good Mathematical Cognitive Structure," vol. 14, no. 1, pp. 291–302, 2018, doi: 10.12973 / ejmste / 78242.</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[27]     A. &amp; komarudin mukhadis, "Interactive Multimedia Engine Management System (Ems) To Improve Prior Knowledge And Solving Problems," vol. 26, no. 1, pp. 52–62, 2020.</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[28]     G. McCalla and J. Champaign, “Simulated learners,” </w:t>
      </w:r>
      <w:r w:rsidRPr="00660F96">
        <w:rPr>
          <w:rFonts w:ascii="Times New Roman" w:eastAsia="Times New Roman" w:hAnsi="Times New Roman" w:cs="Times New Roman"/>
          <w:i/>
          <w:iCs/>
          <w:color w:val="000000"/>
          <w:lang w:val="id-ID"/>
        </w:rPr>
        <w:t>IEEE Intell. Syst. </w:t>
      </w:r>
      <w:r w:rsidRPr="00660F96">
        <w:rPr>
          <w:rFonts w:ascii="Times New Roman" w:eastAsia="Times New Roman" w:hAnsi="Times New Roman" w:cs="Times New Roman"/>
          <w:color w:val="000000"/>
          <w:lang w:val="id-ID"/>
        </w:rPr>
        <w:t>, vol. 28, no. 4, pp. 67–71, 2013, doi: 10.1109 / MIS.2013.116.</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[29]     PG Sidney and MW Alibali, “Making Connections in Math: Activating a Prior Knowledge Analogue Matters for Learning,” </w:t>
      </w:r>
      <w:r w:rsidRPr="00660F96">
        <w:rPr>
          <w:rFonts w:ascii="Times New Roman" w:eastAsia="Times New Roman" w:hAnsi="Times New Roman" w:cs="Times New Roman"/>
          <w:i/>
          <w:iCs/>
          <w:color w:val="000000"/>
          <w:lang w:val="id-ID"/>
        </w:rPr>
        <w:t>J. Cogn. Dev. </w:t>
      </w:r>
      <w:r w:rsidRPr="00660F96">
        <w:rPr>
          <w:rFonts w:ascii="Times New Roman" w:eastAsia="Times New Roman" w:hAnsi="Times New Roman" w:cs="Times New Roman"/>
          <w:color w:val="000000"/>
          <w:lang w:val="id-ID"/>
        </w:rPr>
        <w:t>, vol. 16, no. 1, pp. 160–185, 2015, doi: 10.1080 / 15248372.2013.792091.</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[30]     JY Lee, J. Donkers, H. Jarodzka, and JJG van Merriënboer, “How prior knowledge affects problem-solving performance in a medical simulation game: Using game-logs and eye-tracking,” </w:t>
      </w:r>
      <w:r w:rsidRPr="00660F96">
        <w:rPr>
          <w:rFonts w:ascii="Times New Roman" w:eastAsia="Times New Roman" w:hAnsi="Times New Roman" w:cs="Times New Roman"/>
          <w:i/>
          <w:iCs/>
          <w:color w:val="000000"/>
          <w:lang w:val="id-ID"/>
        </w:rPr>
        <w:t>Comput. Human Behav. </w:t>
      </w:r>
      <w:r w:rsidRPr="00660F96">
        <w:rPr>
          <w:rFonts w:ascii="Times New Roman" w:eastAsia="Times New Roman" w:hAnsi="Times New Roman" w:cs="Times New Roman"/>
          <w:color w:val="000000"/>
          <w:lang w:val="id-ID"/>
        </w:rPr>
        <w:t>, vol. 99, no. April, pp. 268–277, 2019, doi: 10.1016 / j.chb.2019.05.035.</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[31]     NI Nkwo, AO Akinbobola, and GA Ikitde, “Effect of Prior Knowledge of Instructional Objectives on Students \ 'Achievement in Selected Difficult Concepts in Nigerian Senior Secondary School Physics.,” </w:t>
      </w:r>
      <w:r w:rsidRPr="00660F96">
        <w:rPr>
          <w:rFonts w:ascii="Times New Roman" w:eastAsia="Times New Roman" w:hAnsi="Times New Roman" w:cs="Times New Roman"/>
          <w:i/>
          <w:iCs/>
          <w:color w:val="000000"/>
          <w:lang w:val="id-ID"/>
        </w:rPr>
        <w:t>African Res. Rev. </w:t>
      </w:r>
      <w:r w:rsidRPr="00660F96">
        <w:rPr>
          <w:rFonts w:ascii="Times New Roman" w:eastAsia="Times New Roman" w:hAnsi="Times New Roman" w:cs="Times New Roman"/>
          <w:color w:val="000000"/>
          <w:lang w:val="id-ID"/>
        </w:rPr>
        <w:t>, vol. 2, no. 1, pp. 241–260, 2008, doi: 10.4314 / afrrev.v2i1.41035.</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[32]     NM Crooks and MW Alibali, "Noticing relevant problem features: Activating prior knowledge affecting problems solving by guiding encoding," </w:t>
      </w:r>
      <w:r w:rsidRPr="00660F96">
        <w:rPr>
          <w:rFonts w:ascii="Times New Roman" w:eastAsia="Times New Roman" w:hAnsi="Times New Roman" w:cs="Times New Roman"/>
          <w:i/>
          <w:iCs/>
          <w:color w:val="000000"/>
          <w:lang w:val="id-ID"/>
        </w:rPr>
        <w:t>Front. Psychol. </w:t>
      </w:r>
      <w:r w:rsidRPr="00660F96">
        <w:rPr>
          <w:rFonts w:ascii="Times New Roman" w:eastAsia="Times New Roman" w:hAnsi="Times New Roman" w:cs="Times New Roman"/>
          <w:color w:val="000000"/>
          <w:lang w:val="id-ID"/>
        </w:rPr>
        <w:t>, vol. 4, no. NOV, pp. 1–10, 2013, doi: 10.3389 / fpsyg.2013.00884.</w:t>
      </w:r>
    </w:p>
    <w:p w:rsidR="00660F96" w:rsidRPr="00660F96" w:rsidRDefault="00660F96" w:rsidP="00660F96">
      <w:pPr>
        <w:spacing w:after="0" w:line="240" w:lineRule="auto"/>
        <w:ind w:left="640" w:hanging="640"/>
        <w:rPr>
          <w:rFonts w:ascii="Calibri" w:eastAsia="Times New Roman" w:hAnsi="Calibri" w:cs="Times New Roman"/>
          <w:color w:val="000000"/>
        </w:rPr>
      </w:pPr>
      <w:r w:rsidRPr="00660F96">
        <w:rPr>
          <w:rFonts w:ascii="Times New Roman" w:eastAsia="Times New Roman" w:hAnsi="Times New Roman" w:cs="Times New Roman"/>
          <w:color w:val="000000"/>
          <w:lang w:val="id-ID"/>
        </w:rPr>
        <w:t>[33]     IG Ionas, D. Cernusca, and HL Collier, "Prior Knowledge Influence on Self-Explanation Effectiveness When Solving Problems: An Exploratory Study in Science Learning," </w:t>
      </w:r>
      <w:r w:rsidRPr="00660F96">
        <w:rPr>
          <w:rFonts w:ascii="Times New Roman" w:eastAsia="Times New Roman" w:hAnsi="Times New Roman" w:cs="Times New Roman"/>
          <w:i/>
          <w:iCs/>
          <w:color w:val="000000"/>
          <w:lang w:val="id-ID"/>
        </w:rPr>
        <w:t>Int. J. Teach. Learn. High. Educ. </w:t>
      </w:r>
      <w:r w:rsidRPr="00660F96">
        <w:rPr>
          <w:rFonts w:ascii="Times New Roman" w:eastAsia="Times New Roman" w:hAnsi="Times New Roman" w:cs="Times New Roman"/>
          <w:color w:val="000000"/>
          <w:lang w:val="id-ID"/>
        </w:rPr>
        <w:t>, vol. 24, no. 3, pp. 349–358, 2012.</w:t>
      </w:r>
    </w:p>
    <w:p w:rsidR="00660F96" w:rsidRPr="00660F96" w:rsidRDefault="00660F96" w:rsidP="00660F96">
      <w:pPr>
        <w:spacing w:after="0" w:line="240" w:lineRule="auto"/>
        <w:rPr>
          <w:rFonts w:ascii="Calibri" w:eastAsia="Times New Roman" w:hAnsi="Calibri" w:cs="Times New Roman"/>
          <w:color w:val="000000"/>
        </w:rPr>
      </w:pPr>
      <w:r w:rsidRPr="00660F96">
        <w:rPr>
          <w:rFonts w:ascii="Times New Roman" w:eastAsia="Times New Roman" w:hAnsi="Times New Roman" w:cs="Times New Roman"/>
          <w:color w:val="000000"/>
          <w:lang w:val="id-ID"/>
        </w:rPr>
        <w:t> </w:t>
      </w:r>
    </w:p>
    <w:p w:rsidR="00A9674E" w:rsidRPr="00660F96" w:rsidRDefault="00A9674E" w:rsidP="00660F96"/>
    <w:sectPr w:rsidR="00A9674E" w:rsidRPr="00660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loo Bhaina">
    <w:altName w:val="Times New Roman"/>
    <w:charset w:val="00"/>
    <w:family w:val="auto"/>
    <w:pitch w:val="default"/>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BA5CFD"/>
    <w:multiLevelType w:val="hybridMultilevel"/>
    <w:tmpl w:val="29B2F2C0"/>
    <w:lvl w:ilvl="0" w:tplc="C82E4608">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96"/>
    <w:rsid w:val="003635BD"/>
    <w:rsid w:val="00660F96"/>
    <w:rsid w:val="00A9674E"/>
    <w:rsid w:val="00E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D40FD-A778-4A2F-AC45-4C1424A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10564">
      <w:bodyDiv w:val="1"/>
      <w:marLeft w:val="0"/>
      <w:marRight w:val="0"/>
      <w:marTop w:val="0"/>
      <w:marBottom w:val="0"/>
      <w:divBdr>
        <w:top w:val="none" w:sz="0" w:space="0" w:color="auto"/>
        <w:left w:val="none" w:sz="0" w:space="0" w:color="auto"/>
        <w:bottom w:val="none" w:sz="0" w:space="0" w:color="auto"/>
        <w:right w:val="none" w:sz="0" w:space="0" w:color="auto"/>
      </w:divBdr>
      <w:divsChild>
        <w:div w:id="2010139530">
          <w:marLeft w:val="0"/>
          <w:marRight w:val="0"/>
          <w:marTop w:val="0"/>
          <w:marBottom w:val="0"/>
          <w:divBdr>
            <w:top w:val="none" w:sz="0" w:space="0" w:color="auto"/>
            <w:left w:val="none" w:sz="0" w:space="0" w:color="auto"/>
            <w:bottom w:val="none" w:sz="0" w:space="0" w:color="auto"/>
            <w:right w:val="none" w:sz="0" w:space="0" w:color="auto"/>
          </w:divBdr>
        </w:div>
        <w:div w:id="61374437">
          <w:marLeft w:val="0"/>
          <w:marRight w:val="0"/>
          <w:marTop w:val="0"/>
          <w:marBottom w:val="0"/>
          <w:divBdr>
            <w:top w:val="none" w:sz="0" w:space="0" w:color="auto"/>
            <w:left w:val="none" w:sz="0" w:space="0" w:color="auto"/>
            <w:bottom w:val="none" w:sz="0" w:space="0" w:color="auto"/>
            <w:right w:val="none" w:sz="0" w:space="0" w:color="auto"/>
          </w:divBdr>
        </w:div>
        <w:div w:id="619383046">
          <w:marLeft w:val="0"/>
          <w:marRight w:val="0"/>
          <w:marTop w:val="0"/>
          <w:marBottom w:val="0"/>
          <w:divBdr>
            <w:top w:val="none" w:sz="0" w:space="0" w:color="auto"/>
            <w:left w:val="none" w:sz="0" w:space="0" w:color="auto"/>
            <w:bottom w:val="none" w:sz="0" w:space="0" w:color="auto"/>
            <w:right w:val="none" w:sz="0" w:space="0" w:color="auto"/>
          </w:divBdr>
        </w:div>
        <w:div w:id="700983722">
          <w:marLeft w:val="0"/>
          <w:marRight w:val="0"/>
          <w:marTop w:val="0"/>
          <w:marBottom w:val="0"/>
          <w:divBdr>
            <w:top w:val="none" w:sz="0" w:space="0" w:color="auto"/>
            <w:left w:val="none" w:sz="0" w:space="0" w:color="auto"/>
            <w:bottom w:val="none" w:sz="0" w:space="0" w:color="auto"/>
            <w:right w:val="none" w:sz="0" w:space="0" w:color="auto"/>
          </w:divBdr>
        </w:div>
        <w:div w:id="1856380925">
          <w:marLeft w:val="0"/>
          <w:marRight w:val="0"/>
          <w:marTop w:val="0"/>
          <w:marBottom w:val="0"/>
          <w:divBdr>
            <w:top w:val="none" w:sz="0" w:space="0" w:color="auto"/>
            <w:left w:val="none" w:sz="0" w:space="0" w:color="auto"/>
            <w:bottom w:val="none" w:sz="0" w:space="0" w:color="auto"/>
            <w:right w:val="none" w:sz="0" w:space="0" w:color="auto"/>
          </w:divBdr>
        </w:div>
        <w:div w:id="762261077">
          <w:marLeft w:val="0"/>
          <w:marRight w:val="0"/>
          <w:marTop w:val="0"/>
          <w:marBottom w:val="0"/>
          <w:divBdr>
            <w:top w:val="none" w:sz="0" w:space="0" w:color="auto"/>
            <w:left w:val="none" w:sz="0" w:space="0" w:color="auto"/>
            <w:bottom w:val="none" w:sz="0" w:space="0" w:color="auto"/>
            <w:right w:val="none" w:sz="0" w:space="0" w:color="auto"/>
          </w:divBdr>
        </w:div>
        <w:div w:id="1633706469">
          <w:marLeft w:val="0"/>
          <w:marRight w:val="0"/>
          <w:marTop w:val="0"/>
          <w:marBottom w:val="0"/>
          <w:divBdr>
            <w:top w:val="none" w:sz="0" w:space="0" w:color="auto"/>
            <w:left w:val="none" w:sz="0" w:space="0" w:color="auto"/>
            <w:bottom w:val="none" w:sz="0" w:space="0" w:color="auto"/>
            <w:right w:val="none" w:sz="0" w:space="0" w:color="auto"/>
          </w:divBdr>
        </w:div>
        <w:div w:id="964966570">
          <w:marLeft w:val="0"/>
          <w:marRight w:val="0"/>
          <w:marTop w:val="0"/>
          <w:marBottom w:val="0"/>
          <w:divBdr>
            <w:top w:val="none" w:sz="0" w:space="0" w:color="auto"/>
            <w:left w:val="none" w:sz="0" w:space="0" w:color="auto"/>
            <w:bottom w:val="none" w:sz="0" w:space="0" w:color="auto"/>
            <w:right w:val="none" w:sz="0" w:space="0" w:color="auto"/>
          </w:divBdr>
        </w:div>
        <w:div w:id="1678728422">
          <w:marLeft w:val="0"/>
          <w:marRight w:val="0"/>
          <w:marTop w:val="0"/>
          <w:marBottom w:val="0"/>
          <w:divBdr>
            <w:top w:val="none" w:sz="0" w:space="0" w:color="auto"/>
            <w:left w:val="none" w:sz="0" w:space="0" w:color="auto"/>
            <w:bottom w:val="none" w:sz="0" w:space="0" w:color="auto"/>
            <w:right w:val="none" w:sz="0" w:space="0" w:color="auto"/>
          </w:divBdr>
        </w:div>
      </w:divsChild>
    </w:div>
    <w:div w:id="607542346">
      <w:bodyDiv w:val="1"/>
      <w:marLeft w:val="0"/>
      <w:marRight w:val="0"/>
      <w:marTop w:val="0"/>
      <w:marBottom w:val="0"/>
      <w:divBdr>
        <w:top w:val="none" w:sz="0" w:space="0" w:color="auto"/>
        <w:left w:val="none" w:sz="0" w:space="0" w:color="auto"/>
        <w:bottom w:val="none" w:sz="0" w:space="0" w:color="auto"/>
        <w:right w:val="none" w:sz="0" w:space="0" w:color="auto"/>
      </w:divBdr>
      <w:divsChild>
        <w:div w:id="1241913254">
          <w:marLeft w:val="0"/>
          <w:marRight w:val="0"/>
          <w:marTop w:val="0"/>
          <w:marBottom w:val="0"/>
          <w:divBdr>
            <w:top w:val="none" w:sz="0" w:space="0" w:color="auto"/>
            <w:left w:val="none" w:sz="0" w:space="0" w:color="auto"/>
            <w:bottom w:val="none" w:sz="0" w:space="0" w:color="auto"/>
            <w:right w:val="none" w:sz="0" w:space="0" w:color="auto"/>
          </w:divBdr>
        </w:div>
        <w:div w:id="1190411561">
          <w:marLeft w:val="0"/>
          <w:marRight w:val="0"/>
          <w:marTop w:val="0"/>
          <w:marBottom w:val="0"/>
          <w:divBdr>
            <w:top w:val="none" w:sz="0" w:space="0" w:color="auto"/>
            <w:left w:val="none" w:sz="0" w:space="0" w:color="auto"/>
            <w:bottom w:val="none" w:sz="0" w:space="0" w:color="auto"/>
            <w:right w:val="none" w:sz="0" w:space="0" w:color="auto"/>
          </w:divBdr>
        </w:div>
        <w:div w:id="1755275423">
          <w:marLeft w:val="0"/>
          <w:marRight w:val="0"/>
          <w:marTop w:val="0"/>
          <w:marBottom w:val="0"/>
          <w:divBdr>
            <w:top w:val="none" w:sz="0" w:space="0" w:color="auto"/>
            <w:left w:val="none" w:sz="0" w:space="0" w:color="auto"/>
            <w:bottom w:val="none" w:sz="0" w:space="0" w:color="auto"/>
            <w:right w:val="none" w:sz="0" w:space="0" w:color="auto"/>
          </w:divBdr>
        </w:div>
        <w:div w:id="1395857891">
          <w:marLeft w:val="0"/>
          <w:marRight w:val="0"/>
          <w:marTop w:val="0"/>
          <w:marBottom w:val="0"/>
          <w:divBdr>
            <w:top w:val="none" w:sz="0" w:space="0" w:color="auto"/>
            <w:left w:val="none" w:sz="0" w:space="0" w:color="auto"/>
            <w:bottom w:val="none" w:sz="0" w:space="0" w:color="auto"/>
            <w:right w:val="none" w:sz="0" w:space="0" w:color="auto"/>
          </w:divBdr>
        </w:div>
        <w:div w:id="808132009">
          <w:marLeft w:val="0"/>
          <w:marRight w:val="0"/>
          <w:marTop w:val="0"/>
          <w:marBottom w:val="0"/>
          <w:divBdr>
            <w:top w:val="none" w:sz="0" w:space="0" w:color="auto"/>
            <w:left w:val="none" w:sz="0" w:space="0" w:color="auto"/>
            <w:bottom w:val="none" w:sz="0" w:space="0" w:color="auto"/>
            <w:right w:val="none" w:sz="0" w:space="0" w:color="auto"/>
          </w:divBdr>
        </w:div>
        <w:div w:id="1866483341">
          <w:marLeft w:val="0"/>
          <w:marRight w:val="0"/>
          <w:marTop w:val="0"/>
          <w:marBottom w:val="0"/>
          <w:divBdr>
            <w:top w:val="none" w:sz="0" w:space="0" w:color="auto"/>
            <w:left w:val="none" w:sz="0" w:space="0" w:color="auto"/>
            <w:bottom w:val="none" w:sz="0" w:space="0" w:color="auto"/>
            <w:right w:val="none" w:sz="0" w:space="0" w:color="auto"/>
          </w:divBdr>
        </w:div>
        <w:div w:id="1127774026">
          <w:marLeft w:val="0"/>
          <w:marRight w:val="0"/>
          <w:marTop w:val="0"/>
          <w:marBottom w:val="0"/>
          <w:divBdr>
            <w:top w:val="none" w:sz="0" w:space="0" w:color="auto"/>
            <w:left w:val="none" w:sz="0" w:space="0" w:color="auto"/>
            <w:bottom w:val="none" w:sz="0" w:space="0" w:color="auto"/>
            <w:right w:val="none" w:sz="0" w:space="0" w:color="auto"/>
          </w:divBdr>
        </w:div>
        <w:div w:id="1988625325">
          <w:marLeft w:val="0"/>
          <w:marRight w:val="0"/>
          <w:marTop w:val="0"/>
          <w:marBottom w:val="0"/>
          <w:divBdr>
            <w:top w:val="none" w:sz="0" w:space="0" w:color="auto"/>
            <w:left w:val="none" w:sz="0" w:space="0" w:color="auto"/>
            <w:bottom w:val="none" w:sz="0" w:space="0" w:color="auto"/>
            <w:right w:val="none" w:sz="0" w:space="0" w:color="auto"/>
          </w:divBdr>
        </w:div>
        <w:div w:id="209531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omarrakha.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3</cp:revision>
  <dcterms:created xsi:type="dcterms:W3CDTF">2020-08-06T09:23:00Z</dcterms:created>
  <dcterms:modified xsi:type="dcterms:W3CDTF">2020-08-06T09:37:00Z</dcterms:modified>
</cp:coreProperties>
</file>