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D164A" w14:textId="19955739" w:rsidR="003A48B2" w:rsidRDefault="00452B47">
      <w:pPr>
        <w:spacing w:after="568"/>
        <w:rPr>
          <w:rFonts w:ascii="Times New Roman" w:eastAsia="Times New Roman" w:hAnsi="Times New Roman" w:cs="Times New Roman"/>
          <w:b/>
          <w:sz w:val="34"/>
          <w:szCs w:val="34"/>
        </w:rPr>
      </w:pPr>
      <w:r>
        <w:rPr>
          <w:rFonts w:ascii="Times New Roman" w:eastAsia="Times New Roman" w:hAnsi="Times New Roman" w:cs="Times New Roman"/>
          <w:b/>
          <w:bCs/>
          <w:sz w:val="34"/>
          <w:szCs w:val="34"/>
          <w:lang w:val="en-US"/>
        </w:rPr>
        <w:t>The i</w:t>
      </w:r>
      <w:r w:rsidR="004A3CA3" w:rsidRPr="004A3CA3">
        <w:rPr>
          <w:rFonts w:ascii="Times New Roman" w:eastAsia="Times New Roman" w:hAnsi="Times New Roman" w:cs="Times New Roman"/>
          <w:b/>
          <w:bCs/>
          <w:sz w:val="34"/>
          <w:szCs w:val="34"/>
          <w:lang w:val="en-US"/>
        </w:rPr>
        <w:t xml:space="preserve">nnovation of </w:t>
      </w:r>
      <w:bookmarkStart w:id="0" w:name="_Hlk47524052"/>
      <w:r w:rsidR="004A3CA3" w:rsidRPr="004A3CA3">
        <w:rPr>
          <w:rFonts w:ascii="Times New Roman" w:eastAsia="Times New Roman" w:hAnsi="Times New Roman" w:cs="Times New Roman"/>
          <w:b/>
          <w:bCs/>
          <w:sz w:val="34"/>
          <w:szCs w:val="34"/>
          <w:lang w:val="en-US"/>
        </w:rPr>
        <w:t>Learning Plan Designer Based Mobile Web</w:t>
      </w:r>
      <w:bookmarkEnd w:id="0"/>
      <w:r w:rsidR="004A3CA3" w:rsidRPr="004A3CA3">
        <w:rPr>
          <w:rFonts w:ascii="Times New Roman" w:eastAsia="Times New Roman" w:hAnsi="Times New Roman" w:cs="Times New Roman"/>
          <w:b/>
          <w:bCs/>
          <w:sz w:val="34"/>
          <w:szCs w:val="34"/>
          <w:lang w:val="en-US"/>
        </w:rPr>
        <w:t xml:space="preserve"> to Improve Quality of Learning Media in </w:t>
      </w:r>
      <w:bookmarkStart w:id="1" w:name="_Hlk47525574"/>
      <w:r w:rsidR="004A3CA3" w:rsidRPr="004A3CA3">
        <w:rPr>
          <w:rFonts w:ascii="Times New Roman" w:eastAsia="Times New Roman" w:hAnsi="Times New Roman" w:cs="Times New Roman"/>
          <w:b/>
          <w:bCs/>
          <w:sz w:val="34"/>
          <w:szCs w:val="34"/>
          <w:lang w:val="en-US"/>
        </w:rPr>
        <w:t xml:space="preserve">Vocational </w:t>
      </w:r>
      <w:r w:rsidR="00C906F2">
        <w:rPr>
          <w:rFonts w:ascii="Times New Roman" w:eastAsia="Times New Roman" w:hAnsi="Times New Roman" w:cs="Times New Roman"/>
          <w:b/>
          <w:bCs/>
          <w:sz w:val="34"/>
          <w:szCs w:val="34"/>
          <w:lang w:val="en-US"/>
        </w:rPr>
        <w:t xml:space="preserve">Technology for </w:t>
      </w:r>
      <w:r w:rsidR="004A3CA3" w:rsidRPr="004A3CA3">
        <w:rPr>
          <w:rFonts w:ascii="Times New Roman" w:eastAsia="Times New Roman" w:hAnsi="Times New Roman" w:cs="Times New Roman"/>
          <w:b/>
          <w:bCs/>
          <w:sz w:val="34"/>
          <w:szCs w:val="34"/>
          <w:lang w:val="en-US"/>
        </w:rPr>
        <w:t>Education</w:t>
      </w:r>
      <w:bookmarkEnd w:id="1"/>
      <w:r w:rsidR="00C906F2">
        <w:rPr>
          <w:rFonts w:ascii="Times New Roman" w:eastAsia="Times New Roman" w:hAnsi="Times New Roman" w:cs="Times New Roman"/>
          <w:b/>
          <w:bCs/>
          <w:sz w:val="34"/>
          <w:szCs w:val="34"/>
          <w:lang w:val="en-US"/>
        </w:rPr>
        <w:t xml:space="preserve"> 4.0</w:t>
      </w:r>
    </w:p>
    <w:p w14:paraId="7EDCEBB9" w14:textId="323992CF" w:rsidR="003A48B2" w:rsidRPr="00BA1276" w:rsidRDefault="004A3CA3">
      <w:pPr>
        <w:spacing w:after="0"/>
        <w:ind w:left="1418"/>
        <w:rPr>
          <w:rFonts w:ascii="Times New Roman" w:eastAsia="Times New Roman" w:hAnsi="Times New Roman" w:cs="Times New Roman"/>
          <w:b/>
        </w:rPr>
      </w:pPr>
      <w:r w:rsidRPr="004A3CA3">
        <w:rPr>
          <w:rFonts w:ascii="Times New Roman" w:eastAsia="Times New Roman" w:hAnsi="Times New Roman" w:cs="Times New Roman"/>
          <w:b/>
        </w:rPr>
        <w:t>Amat Mukhadis</w:t>
      </w:r>
      <w:r w:rsidRPr="004A3CA3">
        <w:rPr>
          <w:rFonts w:ascii="Times New Roman" w:eastAsia="Times New Roman" w:hAnsi="Times New Roman" w:cs="Times New Roman"/>
          <w:b/>
          <w:vertAlign w:val="superscript"/>
        </w:rPr>
        <w:t>1</w:t>
      </w:r>
      <w:r w:rsidRPr="004A3CA3">
        <w:rPr>
          <w:rFonts w:ascii="Times New Roman" w:eastAsia="Times New Roman" w:hAnsi="Times New Roman" w:cs="Times New Roman"/>
          <w:b/>
        </w:rPr>
        <w:t>, Andika Bagus Nur Rahma Putra</w:t>
      </w:r>
      <w:r w:rsidRPr="004A3CA3">
        <w:rPr>
          <w:rFonts w:ascii="Times New Roman" w:eastAsia="Times New Roman" w:hAnsi="Times New Roman" w:cs="Times New Roman"/>
          <w:b/>
          <w:vertAlign w:val="superscript"/>
        </w:rPr>
        <w:t>2</w:t>
      </w:r>
      <w:r w:rsidRPr="004A3CA3">
        <w:rPr>
          <w:rFonts w:ascii="Times New Roman" w:eastAsia="Times New Roman" w:hAnsi="Times New Roman" w:cs="Times New Roman"/>
          <w:b/>
        </w:rPr>
        <w:t xml:space="preserve">, </w:t>
      </w:r>
      <w:r w:rsidR="00483A25" w:rsidRPr="009B7AA5">
        <w:rPr>
          <w:rFonts w:ascii="Times New Roman" w:eastAsia="Times New Roman" w:hAnsi="Times New Roman" w:cs="Times New Roman"/>
          <w:b/>
        </w:rPr>
        <w:t>Tee Tze Kiong</w:t>
      </w:r>
      <w:r w:rsidRPr="004A3CA3">
        <w:rPr>
          <w:rFonts w:ascii="Times New Roman" w:eastAsia="Times New Roman" w:hAnsi="Times New Roman" w:cs="Times New Roman"/>
          <w:b/>
          <w:vertAlign w:val="superscript"/>
        </w:rPr>
        <w:t>3</w:t>
      </w:r>
      <w:r w:rsidRPr="004A3CA3">
        <w:rPr>
          <w:rFonts w:ascii="Times New Roman" w:eastAsia="Times New Roman" w:hAnsi="Times New Roman" w:cs="Times New Roman"/>
          <w:b/>
        </w:rPr>
        <w:t>, Sumarli</w:t>
      </w:r>
      <w:r w:rsidRPr="004A3CA3">
        <w:rPr>
          <w:rFonts w:ascii="Times New Roman" w:eastAsia="Times New Roman" w:hAnsi="Times New Roman" w:cs="Times New Roman"/>
          <w:b/>
          <w:vertAlign w:val="superscript"/>
        </w:rPr>
        <w:t>4</w:t>
      </w:r>
      <w:r w:rsidRPr="004A3CA3">
        <w:rPr>
          <w:rFonts w:ascii="Times New Roman" w:eastAsia="Times New Roman" w:hAnsi="Times New Roman" w:cs="Times New Roman"/>
          <w:b/>
        </w:rPr>
        <w:t xml:space="preserve">, </w:t>
      </w:r>
      <w:r w:rsidR="00483A25" w:rsidRPr="004A3CA3">
        <w:rPr>
          <w:rFonts w:ascii="Times New Roman" w:eastAsia="Times New Roman" w:hAnsi="Times New Roman" w:cs="Times New Roman"/>
          <w:b/>
        </w:rPr>
        <w:t>Eddy Sutadji</w:t>
      </w:r>
      <w:r w:rsidRPr="004A3CA3">
        <w:rPr>
          <w:rFonts w:ascii="Times New Roman" w:eastAsia="Times New Roman" w:hAnsi="Times New Roman" w:cs="Times New Roman"/>
          <w:b/>
          <w:vertAlign w:val="superscript"/>
        </w:rPr>
        <w:t>5</w:t>
      </w:r>
      <w:r w:rsidR="00BA1276">
        <w:rPr>
          <w:rFonts w:ascii="Times New Roman" w:eastAsia="Times New Roman" w:hAnsi="Times New Roman" w:cs="Times New Roman"/>
          <w:b/>
        </w:rPr>
        <w:t>, Poppy Puspitasari</w:t>
      </w:r>
      <w:r w:rsidR="00BA1276" w:rsidRPr="00BA1276">
        <w:rPr>
          <w:rFonts w:ascii="Times New Roman" w:eastAsia="Times New Roman" w:hAnsi="Times New Roman" w:cs="Times New Roman"/>
          <w:b/>
          <w:vertAlign w:val="superscript"/>
        </w:rPr>
        <w:t>6</w:t>
      </w:r>
      <w:r w:rsidR="00BA1276">
        <w:rPr>
          <w:rFonts w:ascii="Times New Roman" w:eastAsia="Times New Roman" w:hAnsi="Times New Roman" w:cs="Times New Roman"/>
          <w:b/>
        </w:rPr>
        <w:t xml:space="preserve">, </w:t>
      </w:r>
      <w:r w:rsidR="00483A25">
        <w:rPr>
          <w:rFonts w:ascii="Times New Roman" w:eastAsia="Times New Roman" w:hAnsi="Times New Roman" w:cs="Times New Roman"/>
          <w:b/>
        </w:rPr>
        <w:t>Andrew Irfani Sembiring</w:t>
      </w:r>
      <w:r w:rsidR="00483A25">
        <w:rPr>
          <w:rFonts w:ascii="Times New Roman" w:eastAsia="Times New Roman" w:hAnsi="Times New Roman" w:cs="Times New Roman"/>
          <w:b/>
          <w:vertAlign w:val="superscript"/>
        </w:rPr>
        <w:t>7</w:t>
      </w:r>
      <w:r w:rsidR="00483A25">
        <w:rPr>
          <w:rFonts w:ascii="Times New Roman" w:eastAsia="Times New Roman" w:hAnsi="Times New Roman" w:cs="Times New Roman"/>
          <w:b/>
        </w:rPr>
        <w:t xml:space="preserve">, </w:t>
      </w:r>
      <w:r w:rsidR="00483A25" w:rsidRPr="004A3CA3">
        <w:rPr>
          <w:rFonts w:ascii="Times New Roman" w:eastAsia="Times New Roman" w:hAnsi="Times New Roman" w:cs="Times New Roman"/>
          <w:b/>
        </w:rPr>
        <w:t>Mahfudi Sahly Subandi</w:t>
      </w:r>
      <w:r w:rsidR="00483A25">
        <w:rPr>
          <w:rFonts w:ascii="Times New Roman" w:eastAsia="Times New Roman" w:hAnsi="Times New Roman" w:cs="Times New Roman"/>
          <w:b/>
          <w:vertAlign w:val="superscript"/>
        </w:rPr>
        <w:t>8</w:t>
      </w:r>
    </w:p>
    <w:p w14:paraId="7C4C060C" w14:textId="77777777" w:rsidR="003A48B2" w:rsidRDefault="003A48B2">
      <w:pPr>
        <w:spacing w:after="0"/>
        <w:ind w:left="1418"/>
        <w:rPr>
          <w:rFonts w:ascii="Times New Roman" w:eastAsia="Times New Roman" w:hAnsi="Times New Roman" w:cs="Times New Roman"/>
          <w:vertAlign w:val="superscript"/>
        </w:rPr>
      </w:pPr>
    </w:p>
    <w:p w14:paraId="0B9105A8" w14:textId="53CF9347" w:rsidR="003A48B2" w:rsidRDefault="0038533F">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E92456">
        <w:rPr>
          <w:rFonts w:ascii="Times New Roman" w:eastAsia="Times New Roman" w:hAnsi="Times New Roman" w:cs="Times New Roman"/>
          <w:vertAlign w:val="superscript"/>
        </w:rPr>
        <w:t>,2,4,5,6</w:t>
      </w:r>
      <w:r w:rsidR="00C4197B">
        <w:rPr>
          <w:rFonts w:ascii="Times New Roman" w:eastAsia="Times New Roman" w:hAnsi="Times New Roman" w:cs="Times New Roman"/>
          <w:vertAlign w:val="superscript"/>
        </w:rPr>
        <w:t>,7,8</w:t>
      </w:r>
      <w:r w:rsidR="00E92456">
        <w:rPr>
          <w:rFonts w:ascii="Times New Roman" w:eastAsia="Times New Roman" w:hAnsi="Times New Roman" w:cs="Times New Roman"/>
          <w:vertAlign w:val="superscript"/>
        </w:rPr>
        <w:t xml:space="preserve"> </w:t>
      </w:r>
      <w:r w:rsidR="00BA1276">
        <w:rPr>
          <w:rFonts w:ascii="Times New Roman" w:eastAsia="Times New Roman" w:hAnsi="Times New Roman" w:cs="Times New Roman"/>
        </w:rPr>
        <w:t>Universitas Negeri Malang, Malang, Indonesia</w:t>
      </w:r>
    </w:p>
    <w:p w14:paraId="5592A4EB" w14:textId="4A9AF942" w:rsidR="003A48B2" w:rsidRDefault="00C4197B">
      <w:pPr>
        <w:spacing w:after="0"/>
        <w:ind w:left="1418"/>
        <w:rPr>
          <w:rFonts w:ascii="Times New Roman" w:eastAsia="Times New Roman" w:hAnsi="Times New Roman" w:cs="Times New Roman"/>
        </w:rPr>
      </w:pPr>
      <w:bookmarkStart w:id="2" w:name="_heading=h.gjdgxs" w:colFirst="0" w:colLast="0"/>
      <w:bookmarkEnd w:id="2"/>
      <w:r>
        <w:rPr>
          <w:rFonts w:ascii="Times New Roman" w:eastAsia="Times New Roman" w:hAnsi="Times New Roman" w:cs="Times New Roman"/>
          <w:vertAlign w:val="superscript"/>
        </w:rPr>
        <w:t>3</w:t>
      </w:r>
      <w:r w:rsidR="00BA1276" w:rsidRPr="00BA1276">
        <w:t xml:space="preserve"> </w:t>
      </w:r>
      <w:r w:rsidR="00BA1276" w:rsidRPr="00BA1276">
        <w:rPr>
          <w:rFonts w:ascii="Times New Roman" w:eastAsia="Times New Roman" w:hAnsi="Times New Roman" w:cs="Times New Roman"/>
        </w:rPr>
        <w:t>Universiti Tun Hussein Onn Malaysia</w:t>
      </w:r>
      <w:r w:rsidR="00BA1276">
        <w:rPr>
          <w:rFonts w:ascii="Times New Roman" w:eastAsia="Times New Roman" w:hAnsi="Times New Roman" w:cs="Times New Roman"/>
        </w:rPr>
        <w:t>, Johor, Malaysia</w:t>
      </w:r>
      <w:r w:rsidR="0038533F">
        <w:rPr>
          <w:rFonts w:ascii="Times New Roman" w:eastAsia="Times New Roman" w:hAnsi="Times New Roman" w:cs="Times New Roman"/>
        </w:rPr>
        <w:t xml:space="preserve"> </w:t>
      </w:r>
    </w:p>
    <w:p w14:paraId="75CDAF9F" w14:textId="77777777" w:rsidR="003A48B2" w:rsidRDefault="003A48B2">
      <w:pPr>
        <w:spacing w:after="0"/>
        <w:ind w:left="1418"/>
        <w:rPr>
          <w:rFonts w:ascii="Times New Roman" w:eastAsia="Times New Roman" w:hAnsi="Times New Roman" w:cs="Times New Roman"/>
        </w:rPr>
      </w:pPr>
    </w:p>
    <w:p w14:paraId="6ED7684F" w14:textId="6FFEF369" w:rsidR="003A48B2" w:rsidRDefault="0038533F">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BA1276">
        <w:rPr>
          <w:rFonts w:ascii="Times New Roman" w:eastAsia="Times New Roman" w:hAnsi="Times New Roman" w:cs="Times New Roman"/>
        </w:rPr>
        <w:t>embrioraja@gmail.com</w:t>
      </w:r>
    </w:p>
    <w:p w14:paraId="58C9A126" w14:textId="7C50D0B4" w:rsidR="003A48B2" w:rsidRDefault="0038533F">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087EB7" w:rsidRPr="00087EB7">
        <w:rPr>
          <w:rFonts w:ascii="Times New Roman" w:eastAsia="Times New Roman" w:hAnsi="Times New Roman" w:cs="Times New Roman"/>
          <w:sz w:val="20"/>
          <w:szCs w:val="20"/>
        </w:rPr>
        <w:t xml:space="preserve">The era of education 4.0 is an era of digitalization and transformation. Learning media must also follow technological developments for the learning process. The problem that often arises is the relatively weak learning media in the form of supporting programs for arranging learning </w:t>
      </w:r>
      <w:r w:rsidR="00087EB7">
        <w:rPr>
          <w:rFonts w:ascii="Times New Roman" w:eastAsia="Times New Roman" w:hAnsi="Times New Roman" w:cs="Times New Roman"/>
          <w:sz w:val="20"/>
          <w:szCs w:val="20"/>
        </w:rPr>
        <w:t>plan</w:t>
      </w:r>
      <w:r w:rsidR="00087EB7" w:rsidRPr="00087EB7">
        <w:rPr>
          <w:rFonts w:ascii="Times New Roman" w:eastAsia="Times New Roman" w:hAnsi="Times New Roman" w:cs="Times New Roman"/>
          <w:sz w:val="20"/>
          <w:szCs w:val="20"/>
        </w:rPr>
        <w:t>.</w:t>
      </w:r>
      <w:r w:rsidR="00087EB7">
        <w:rPr>
          <w:rFonts w:ascii="Times New Roman" w:eastAsia="Times New Roman" w:hAnsi="Times New Roman" w:cs="Times New Roman"/>
          <w:b/>
          <w:sz w:val="20"/>
          <w:szCs w:val="20"/>
        </w:rPr>
        <w:t xml:space="preserve"> </w:t>
      </w:r>
      <w:r w:rsidR="007132C0" w:rsidRPr="007132C0">
        <w:rPr>
          <w:rFonts w:ascii="Times New Roman" w:eastAsia="Times New Roman" w:hAnsi="Times New Roman" w:cs="Times New Roman"/>
          <w:sz w:val="20"/>
          <w:szCs w:val="20"/>
        </w:rPr>
        <w:t>This study aims to: 1) map</w:t>
      </w:r>
      <w:r w:rsidR="00087EB7">
        <w:rPr>
          <w:rFonts w:ascii="Times New Roman" w:eastAsia="Times New Roman" w:hAnsi="Times New Roman" w:cs="Times New Roman"/>
          <w:sz w:val="20"/>
          <w:szCs w:val="20"/>
        </w:rPr>
        <w:t>ping</w:t>
      </w:r>
      <w:r w:rsidR="007132C0" w:rsidRPr="007132C0">
        <w:rPr>
          <w:rFonts w:ascii="Times New Roman" w:eastAsia="Times New Roman" w:hAnsi="Times New Roman" w:cs="Times New Roman"/>
          <w:sz w:val="20"/>
          <w:szCs w:val="20"/>
        </w:rPr>
        <w:t xml:space="preserve"> the components of learning media in the education 4.0 era; 2) testing the level of attractiveness of the Learning Plan Designer Based Mobile Web; and 3) testing the effectiveness level of the Learning Plan Designer Based Mobile Web. This study uses research and development (R&amp;D) methods. In the mapping process, data collection techniques are through questionnaires and documentation. The focus of research is in vocational colleges in East Java. The results of this study include: 1) the components of learning media in the education 4.0 era consisting of easily accessible, ongoing information, easy to use, technology-based, intelligence systems, and educational interactions; 2) Learning Plan Designer Based Mobile Web products developed are feasible and attractive (mean score of 93.5%) based on the validation results of learning software experts and vocational and science education material experts; and 3) the results of the development of the Learning Plan Designer Based Mobile Web product are proven to be effective and can be used as a reference and alternative media for further research</w:t>
      </w:r>
      <w:r>
        <w:rPr>
          <w:rFonts w:ascii="Times New Roman" w:eastAsia="Times New Roman" w:hAnsi="Times New Roman" w:cs="Times New Roman"/>
          <w:sz w:val="20"/>
          <w:szCs w:val="20"/>
        </w:rPr>
        <w:t xml:space="preserve">. </w:t>
      </w:r>
    </w:p>
    <w:p w14:paraId="4A3811C9" w14:textId="77777777" w:rsidR="003A48B2" w:rsidRDefault="0038533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1A1F8786" w14:textId="77777777" w:rsidR="007132C0" w:rsidRDefault="007132C0" w:rsidP="007132C0">
      <w:pPr>
        <w:pStyle w:val="Paragraph"/>
        <w:ind w:firstLine="0"/>
        <w:rPr>
          <w:color w:val="000000"/>
          <w:sz w:val="22"/>
          <w:szCs w:val="22"/>
          <w:lang w:val="en-GB"/>
        </w:rPr>
      </w:pPr>
      <w:r w:rsidRPr="007132C0">
        <w:rPr>
          <w:color w:val="000000"/>
          <w:sz w:val="22"/>
          <w:szCs w:val="22"/>
          <w:lang w:val="en-GB"/>
        </w:rPr>
        <w:t>In the era of education 4.0, the world of education is required to adapt learning media to developing technology. The impact, resulting in the need for learning media to change in a transformative direction that adapts to the prevalence of student needs. The effect of this is very broad across all levels of education, especially vocational education</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10.1007/s10758-017-9310-7","ISSN":"2211-1670","author":[{"dropping-particle":"","family":"Khlaisang","given":"Jintavee","non-dropping-particle":"","parse-names":false,"suffix":""},{"dropping-particle":"","family":"Songkram","given":"Noawanit","non-dropping-particle":"","parse-names":false,"suffix":""}],"container-title":"Technology, Knowledge and Learning","id":"ITEM-1","issue":"1","issued":{"date-parts":[["2019"]]},"page":"41-63","publisher":"Springer Netherlands","title":"Designing a Virtual Learning Environment System for Teaching Twenty-First Century Skills to Higher Education Students in ASEAN","type":"article-journal","volume":"24"},"uris":["http://www.mendeley.com/documents/?uuid=755be8a6-9cf6-4713-9512-b4a028a04097"]},{"id":"ITEM-2","itemData":{"DOI":"10.1177/0735633117752453","author":[{"dropping-particle":"","family":"Chai","given":"Ching Sing","non-dropping-particle":"","parse-names":false,"suffix":""},{"dropping-particle":"","family":"Koh","given":"Joyce Hwee Ling","non-dropping-particle":"","parse-names":false,"suffix":""},{"dropping-particle":"","family":"Teo","given":"Yiong Hwee","non-dropping-particle":"","parse-names":false,"suffix":""}],"container-title":"Journal of Educational Computing Research","id":"ITEM-2","issue":"2","issued":{"date-parts":[["2019"]]},"page":"360–384","title":"Enhancing and Modeling Teachers ’ Design Beliefs and Efficacy of Technological Pedagogical Content Knowledge for 21st Century Quality Learning","type":"article-journal","volume":"57"},"uris":["http://www.mendeley.com/documents/?uuid=31a4dcba-1e78-48db-b689-3efd6e020a17"]},{"id":"ITEM-3","itemData":{"DOI":"10.1177/1745499919829214","author":[{"dropping-particle":"","family":"Kim","given":"Sharon","non-dropping-particle":"","parse-names":false,"suffix":""},{"dropping-particle":"","family":"Raza","given":"Mahjabeen","non-dropping-particle":"","parse-names":false,"suffix":""},{"dropping-particle":"","family":"Seidman","given":"Edward","non-dropping-particle":"","parse-names":false,"suffix":""}],"container-title":"Research in Comparative &amp; International Education","id":"ITEM-3","issue":"1","issued":{"date-parts":[["2019"]]},"page":"99 –117","title":"Improving 21st-century teaching skills : The key to effective 21st- century learners","type":"article-journal","volume":"14"},"uris":["http://www.mendeley.com/documents/?uuid=c0fe5c29-6539-49bc-a853-8a23541bc3ef"]}],"mendeley":{"formattedCitation":"[1–3]","plainTextFormattedCitation":"[1–3]","previouslyFormattedCitation":"[1–3]"},"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[1–3]</w:t>
      </w:r>
      <w:r w:rsidR="00BC13A4">
        <w:rPr>
          <w:color w:val="000000"/>
          <w:sz w:val="22"/>
          <w:szCs w:val="22"/>
          <w:lang w:val="en-GB"/>
        </w:rPr>
        <w:fldChar w:fldCharType="end"/>
      </w:r>
      <w:r w:rsidR="004A3CA3" w:rsidRPr="004A3CA3">
        <w:rPr>
          <w:color w:val="000000"/>
          <w:sz w:val="22"/>
          <w:szCs w:val="22"/>
          <w:lang w:val="en-GB"/>
        </w:rPr>
        <w:t>.</w:t>
      </w:r>
      <w:r>
        <w:rPr>
          <w:color w:val="000000"/>
          <w:sz w:val="22"/>
          <w:szCs w:val="22"/>
          <w:lang w:val="en-GB"/>
        </w:rPr>
        <w:t xml:space="preserve"> </w:t>
      </w:r>
      <w:r w:rsidRPr="007132C0">
        <w:rPr>
          <w:color w:val="000000"/>
          <w:sz w:val="22"/>
          <w:szCs w:val="22"/>
          <w:lang w:val="en-GB"/>
        </w:rPr>
        <w:t>Vocational education has a role in preparing superior human resources to build the nation. This is because the quality of superior vocational education is the main measure in assessing the progress of a country in terms of the quality of its industrial sector</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id":"ITEM-2","itemData":{"author":[{"dropping-particle":"","family":"Mukhadis","given":"Amat","non-dropping-particle":"","parse-names":false,"suffix":""},{"dropping-particle":"","family":"Putra","given":"Andika Bagus Nur Rahma","non-dropping-particle":"","parse-names":false,"suffix":""},{"dropping-particle":"","family":"Nidhom","given":"Ahmad Mursyidun","non-dropping-particle":"","parse-names":false,"suffix":""},{"dropping-particle":"","family":"Dardiri","given":"Ahmad","non-dropping-particle":"","parse-names":false,"suffix":""},{"dropping-particle":"","family":"Suswanto","given":"Hary","non-dropping-particle":"","parse-names":false,"suffix":""}],"container-title":"Journal of Physics: Conference Series","id":"ITEM-2","issued":{"date-parts":[["2018"]]},"page":"1-8","title":"The Relevance of Vocational High School Program With Regional Potency Priority in Indonesia","type":"article-journal","volume":"1028"},"uris":["http://www.mendeley.com/documents/?uuid=9b435846-7fe3-49a0-8c44-0f343653769b"]}],"mendeley":{"formattedCitation":"[4,5]","plainTextFormattedCitation":"[4,5]","previouslyFormattedCitation":"[4,5]"},"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[4,5]</w:t>
      </w:r>
      <w:r w:rsidR="00BC13A4">
        <w:rPr>
          <w:color w:val="000000"/>
          <w:sz w:val="22"/>
          <w:szCs w:val="22"/>
          <w:lang w:val="en-GB"/>
        </w:rPr>
        <w:fldChar w:fldCharType="end"/>
      </w:r>
      <w:r w:rsidR="004A3CA3" w:rsidRPr="004A3CA3">
        <w:rPr>
          <w:color w:val="000000"/>
          <w:sz w:val="22"/>
          <w:szCs w:val="22"/>
          <w:lang w:val="en-GB"/>
        </w:rPr>
        <w:t>.</w:t>
      </w:r>
    </w:p>
    <w:p w14:paraId="677B56F2" w14:textId="77777777" w:rsidR="00922D43" w:rsidRDefault="007132C0" w:rsidP="00922D43">
      <w:pPr>
        <w:pStyle w:val="Paragraph"/>
        <w:ind w:firstLine="0"/>
        <w:rPr>
          <w:color w:val="000000"/>
          <w:sz w:val="22"/>
          <w:szCs w:val="22"/>
          <w:lang w:val="en-GB"/>
        </w:rPr>
      </w:pPr>
      <w:r w:rsidRPr="007132C0">
        <w:rPr>
          <w:color w:val="000000"/>
          <w:sz w:val="22"/>
          <w:szCs w:val="22"/>
          <w:lang w:val="en-GB"/>
        </w:rPr>
        <w:t>Another fact is that there are still many gaps in the vocational world. One of the gaps is that the needs for learning media in the era of Education 4.0 are not properly fulfilled in line with technological developments. The need for learning media should be synchronized with developing technology. Several researchers explained that the level of learning media fulfillment was still low</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{"citationItems":[{"id":"ITEM-1","itemData":{"DOI":"10.11114/ijsss.v7i3.4136","author":[{"dropping-particle":"","family":"Lin","given":"Mei-ling","non-dropping-particle":"","parse-names":false,"suffix":""}],"container-title":"International Journal of Social Science Studies","id":"ITEM-1","issue":"3","issued":{"date-parts":[["2019"]]},"page":"1-15","title":"Challenges and Opportunities for Technical and Vocational Education and Training in the local communities : Education and Labour Market for Young People","type":"article-journal","volume":"7"},"uris":["http://www.mendeley.com/documents/?uuid=2c47783c-c201-4fe2-835b-37819f023102"]},{"id":"ITEM-2","itemData":{"author":[{"dropping-particle":"","family":"Dang","given":"Jie","non-dropping-particle":"","parse-names":false,"suffix":""},{"dropping-particle":"","family":"Wang","given":"Hongbin","non-dropping-particle":"","parse-names":false,"suffix":""},{"dropping-particle":"","family":"Kang","given":"Hui","non-dropping-particle":"","parse-names":false,"suffix":""}],"container-title":"2018 International Workshop on Education Reform and Social Sciences (ERSS 2018)","id":"ITEM-2","issued":{"date-parts":[["2019"]]},"page":"444-448","title":"Analysis on the Current Status and Path of Major Groups Construction in Higher Vocational Colleges","type":"paper-conference","volume":"300"},"uris":["http://www.mendeley.com/documents/?uuid=e9b65a00-e02e-467a-a2e4-1b52af8b82aa"]},{"id":"ITEM-3","itemData":{"author":[{"dropping-particle":"","family":"Woessmann","given":"Ludger","non-dropping-particle":"","parse-names":false,"suffix":""}],"container-title":"Journal for Educational Research Online","id":"ITEM-3","issue":"1","issued":{"date-parts":[["2019"]]},"page":"31-46","title":"Facing the life-cycle trade-off between vocational and general education in apprenticeship systems: An economics-of-education perspective","type":"article-journal","volume":"11"},"uris":["http://www.mendeley.com/documents/?uuid=5812e12a-855e-4bf6-9d9e-3e7529383502"]}],"mendeley":{"formattedCitation":"[6–8]","plainTextFormattedCitation":"[6–8]","previouslyFormattedCitation":"[6–8]"},"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[6–8]</w:t>
      </w:r>
      <w:r w:rsidR="00BC13A4">
        <w:rPr>
          <w:color w:val="000000"/>
          <w:sz w:val="22"/>
          <w:szCs w:val="22"/>
          <w:lang w:val="en-GB"/>
        </w:rPr>
        <w:fldChar w:fldCharType="end"/>
      </w:r>
      <w:r w:rsidR="004A3CA3" w:rsidRPr="004A3CA3">
        <w:rPr>
          <w:color w:val="000000"/>
          <w:sz w:val="22"/>
          <w:szCs w:val="22"/>
          <w:lang w:val="en-GB"/>
        </w:rPr>
        <w:t xml:space="preserve">. </w:t>
      </w:r>
      <w:r w:rsidRPr="007132C0">
        <w:rPr>
          <w:color w:val="000000"/>
          <w:sz w:val="22"/>
          <w:szCs w:val="22"/>
          <w:lang w:val="en-GB"/>
        </w:rPr>
        <w:t xml:space="preserve">This raises the root of the problem that actually occurs, namely the unavailability of innovative learning media. The </w:t>
      </w:r>
      <w:r w:rsidRPr="007132C0">
        <w:rPr>
          <w:color w:val="000000"/>
          <w:sz w:val="22"/>
          <w:szCs w:val="22"/>
          <w:lang w:val="en-GB"/>
        </w:rPr>
        <w:lastRenderedPageBreak/>
        <w:t>learning media in the vocational field on campus should prioritize the level of media innovation that is tailored to the needs of students. Based on this, lecturers are required to develop learning media that can stimulate students to think creatively. This can be done by introducing vocational students to renewable learning media innovations</w:t>
      </w:r>
      <w:r w:rsidR="00BC13A4">
        <w:rPr>
          <w:color w:val="000000"/>
          <w:sz w:val="22"/>
          <w:szCs w:val="22"/>
          <w:lang w:val="en-GB"/>
        </w:rPr>
        <w:t xml:space="preserve">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{"citationItems":[{"id":"ITEM-1","itemData":{"DOI":"10.1007/s40815-019-00790-z","ISSN":"21993211","abstract":"Considering the undeniable role of websites in the success of interactions between citizens and governments, evaluating e-government web sites is a worthwhile topic. This research has developed a multi-attribute-decision-making technique rely on Step-Wise Weight Assessment Ratio Analysis and hesitant fuzzy weighted geometric Heronian mean decision-making methods, for evaluating e-government websites. Proposed framework overcome the limitations of previous investigations such as the possibility of aggregation of expert opinions using group decision-making and modeling the hesitancy of the experts (due to the incompleteness of their knowledge or their doubts in evaluating different aspects of the model) through hesitant fuzzy sets. The designed framework was used in Iran to evaluate e-government websites. In this regard, after a careful and systematic review of previous researches, a list of dimensions and evaluation criteria was presented in the form of a comprehensive model. Then, an expert-based process was proposed to localize the model according to the conditions of the case study. The results of the research show that the final rankings of the decision-making method used in the hesitant environment rarely changed for different operators. So as the experts have confirmed, the model used in this study has acceptable stability.","author":[{"dropping-particle":"","family":"Heidary Dahooie","given":"Jalil","non-dropping-particle":"","parse-names":false,"suffix":""},{"dropping-particle":"","family":"Vanaki","given":"Amir Salar","non-dropping-particle":"","parse-names":false,"suffix":""},{"dropping-particle":"","family":"Daneshmoghadam","given":"Sajedeh","non-dropping-particle":"","parse-names":false,"suffix":""},{"dropping-particle":"","family":"Zavadskas","given":"Edmundas Kazimieras","non-dropping-particle":"","parse-names":false,"suffix":""}],"container-title":"International Journal of Fuzzy Systems","id":"ITEM-1","issue":"2","issued":{"date-parts":[["2020"]]},"page":"583-603","publisher":"Springer Berlin Heidelberg","title":"A Framework to Overcome Hesitancy of Decision-Makers in E-Government Web Site Evaluation","type":"article-journal","volume":"22"},"uris":["http://www.mendeley.com/documents/?uuid=a908796a-7fc8-40cc-b52f-6ea1c7cdf20a"]},{"id":"ITEM-2","itemData":{"abstract":"Interest in the role and contribution of ICT development, e-government development, and the quality of a nation's institutions on economic development is profound. While extant research shows that the impact of institutions on national development is different across countries generally, the literature overlooks the role institutional quality plays in either the ICT development-economic development or the e-government-economic development nexuses. Relying on publicly available archival data, this study explores the mediating relationship of institutional quality by using Partial Least Squares Structural Equation Modeling (PLS-SEM). Our results show a signiªcant relationship between ICT development and e-government development; e-government development and institutional quality, e-government development and economic development; and institutional quality on economic development. Also, the contribution of ICT development to economic prosperity can further be strengthened indirectly via the impacts of institutional quality. This study contributes to the theoretical discourse on the impact of ICT development and e-government development on economic development and the mediating effects of institutional quality. It offers implications for practice and policy.","author":[{"dropping-particle":"","family":"Adam","given":"Ibrahim Osman","non-dropping-particle":"","parse-names":false,"suffix":""}],"container-title":"Information Technologies and International Development","id":"ITEM-2","issued":{"date-parts":[["2020"]]},"page":"1-19","title":"ICT Development, E-government Development, and Economic Development: Does Institutional Quality Matter?","type":"article-journal","volume":"16"},"uris":["http://www.mendeley.com/documents/?uuid=6e68f380-8cc6-4ad4-be08-bc0fbe2b4b6f"]}],"mendeley":{"formattedCitation":"[9,10]","plainTextFormattedCitation":"[9,10]","previouslyFormattedCitation":"[9,10]"},"properties":{"noteIndex":0},"schema":"https://github.com/citation-style-language/schema/raw/master/csl-citation.json"}</w:instrText>
      </w:r>
      <w:r w:rsidR="00BC13A4">
        <w:rPr>
          <w:color w:val="000000"/>
          <w:sz w:val="22"/>
          <w:szCs w:val="22"/>
          <w:lang w:val="en-GB"/>
        </w:rPr>
        <w:fldChar w:fldCharType="separate"/>
      </w:r>
      <w:r w:rsidR="00BC13A4" w:rsidRPr="00BC13A4">
        <w:rPr>
          <w:noProof/>
          <w:color w:val="000000"/>
          <w:sz w:val="22"/>
          <w:szCs w:val="22"/>
          <w:lang w:val="en-GB"/>
        </w:rPr>
        <w:t>[9,10]</w:t>
      </w:r>
      <w:r w:rsidR="00BC13A4">
        <w:rPr>
          <w:color w:val="000000"/>
          <w:sz w:val="22"/>
          <w:szCs w:val="22"/>
          <w:lang w:val="en-GB"/>
        </w:rPr>
        <w:fldChar w:fldCharType="end"/>
      </w:r>
      <w:r w:rsidR="004A3CA3" w:rsidRPr="004A3CA3">
        <w:rPr>
          <w:color w:val="000000"/>
          <w:sz w:val="22"/>
          <w:szCs w:val="22"/>
          <w:lang w:val="en-GB"/>
        </w:rPr>
        <w:t>.</w:t>
      </w:r>
    </w:p>
    <w:p w14:paraId="7AD58A4B" w14:textId="082EF716" w:rsidR="00922D43" w:rsidRDefault="00922D43" w:rsidP="00922D43">
      <w:pPr>
        <w:pStyle w:val="Paragraph"/>
        <w:ind w:firstLine="0"/>
        <w:rPr>
          <w:color w:val="000000"/>
          <w:sz w:val="22"/>
          <w:szCs w:val="22"/>
          <w:lang w:val="en-GB"/>
        </w:rPr>
      </w:pPr>
      <w:r w:rsidRPr="00922D43">
        <w:rPr>
          <w:color w:val="000000"/>
          <w:sz w:val="22"/>
          <w:szCs w:val="22"/>
          <w:lang w:val="en-GB"/>
        </w:rPr>
        <w:t xml:space="preserve">One form of learning media that is trending is the learning plan designer based on the mobile web. </w:t>
      </w:r>
      <w:r w:rsidR="00096CC0">
        <w:rPr>
          <w:color w:val="000000"/>
          <w:sz w:val="22"/>
          <w:szCs w:val="22"/>
          <w:lang w:val="en-GB"/>
        </w:rPr>
        <w:t>A l</w:t>
      </w:r>
      <w:r w:rsidRPr="00922D43">
        <w:rPr>
          <w:color w:val="000000"/>
          <w:sz w:val="22"/>
          <w:szCs w:val="22"/>
          <w:lang w:val="en-GB"/>
        </w:rPr>
        <w:t xml:space="preserve">earning plan </w:t>
      </w:r>
      <w:r w:rsidRPr="00073C2A">
        <w:rPr>
          <w:color w:val="000000"/>
          <w:sz w:val="22"/>
          <w:szCs w:val="22"/>
          <w:lang w:val="en-GB"/>
        </w:rPr>
        <w:t xml:space="preserve">designer based on </w:t>
      </w:r>
      <w:r w:rsidR="00073C2A" w:rsidRPr="00073C2A">
        <w:rPr>
          <w:color w:val="000000"/>
          <w:sz w:val="22"/>
          <w:szCs w:val="22"/>
          <w:lang w:val="en-GB"/>
        </w:rPr>
        <w:t xml:space="preserve">the </w:t>
      </w:r>
      <w:r w:rsidRPr="00073C2A">
        <w:rPr>
          <w:color w:val="000000"/>
          <w:sz w:val="22"/>
          <w:szCs w:val="22"/>
          <w:lang w:val="en-GB"/>
        </w:rPr>
        <w:t xml:space="preserve">mobile web is a system and learning media designed based on </w:t>
      </w:r>
      <w:r w:rsidR="00073C2A" w:rsidRPr="00073C2A">
        <w:rPr>
          <w:color w:val="000000"/>
          <w:sz w:val="22"/>
          <w:szCs w:val="22"/>
          <w:lang w:val="en-GB"/>
        </w:rPr>
        <w:t xml:space="preserve">the the </w:t>
      </w:r>
      <w:r w:rsidRPr="00073C2A">
        <w:rPr>
          <w:color w:val="000000"/>
          <w:sz w:val="22"/>
          <w:szCs w:val="22"/>
          <w:lang w:val="en-GB"/>
        </w:rPr>
        <w:t>mobile web. Until now, the mobile</w:t>
      </w:r>
      <w:r w:rsidRPr="00922D43">
        <w:rPr>
          <w:color w:val="000000"/>
          <w:sz w:val="22"/>
          <w:szCs w:val="22"/>
          <w:lang w:val="en-GB"/>
        </w:rPr>
        <w:t xml:space="preserve"> web has become an effective learning medium to improve the quality of learning media, especially in the vocational field. On the mobile web, there are tools that provide a study plan design every week in the form of teaching materials, quizzes</w:t>
      </w:r>
      <w:r w:rsidR="00096CC0">
        <w:rPr>
          <w:color w:val="000000"/>
          <w:sz w:val="22"/>
          <w:szCs w:val="22"/>
          <w:lang w:val="en-GB"/>
        </w:rPr>
        <w:t>,</w:t>
      </w:r>
      <w:r w:rsidRPr="00922D43">
        <w:rPr>
          <w:color w:val="000000"/>
          <w:sz w:val="22"/>
          <w:szCs w:val="22"/>
          <w:lang w:val="en-GB"/>
        </w:rPr>
        <w:t xml:space="preserve"> and exams for each competency being studied. </w:t>
      </w:r>
      <w:r w:rsidR="00BC13A4">
        <w:rPr>
          <w:color w:val="000000"/>
          <w:sz w:val="22"/>
          <w:szCs w:val="22"/>
          <w:lang w:val="en-GB"/>
        </w:rPr>
        <w:fldChar w:fldCharType="begin" w:fldLock="1"/>
      </w:r>
      <w:r w:rsidR="00BC13A4">
        <w:rPr>
          <w:color w:val="000000"/>
          <w:sz w:val="22"/>
          <w:szCs w:val="22"/>
          <w:lang w:val="en-GB"/>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id":"ITEM-2","itemData":{"author":[{"dropping-particle":"","family":"Mukhadis","given":"Amat","non-dropping-particle":"","parse-names":false,"suffix":""},{"dropping-particle":"","family":"Putra","given":"Andika Bagus Nur Rahma","non-dropping-particle":"","parse-names":false,"suffix":""},{"dropping-particle":"","family":"Nidhom","given":"Ahmad Mursyidun","non-dropping-particle":"","parse-names":false,"suffix":""},{"dropping-particle":"","family":"Dardiri","given":"Ahmad","non-dropping-particle":"","parse-names":false,"suffix":""},{"dropping-particle":"","family":"Suswanto","given":"Hary","non-dropping-particle":"","parse-names":false,"suffix":""}],"container-title":"Journal of Physics: Conference Series","id":"ITEM-2","issued":{"date-parts":[["2018"]]},"page":"1-8","title":"The Relevance of Vocational High School Program With Regional Potency Priority in Indonesia","type":"article-journal","volume":"1028"},"uris":["http://www.mendeley.com/documents/?uuid=9b435846-7fe3-49a0-8c44-0f343653769b"]}],"mendeley":{"formattedCitation":"[4,5]","plainTextFormattedCitation":"[4,5]","previouslyFormattedCitation":"[4,5]"},"properties":{"noteIndex":0},"schema":"https://github.com/citation-style-language/schema/raw/master/csl-citation.json"}</w:instrText>
      </w:r>
      <w:r w:rsidR="00BC13A4">
        <w:rPr>
          <w:color w:val="000000"/>
          <w:sz w:val="22"/>
          <w:szCs w:val="22"/>
          <w:lang w:val="en-GB"/>
        </w:rPr>
        <w:fldChar w:fldCharType="separate"/>
      </w:r>
      <w:r w:rsidR="00BC13A4" w:rsidRPr="00BC13A4">
        <w:rPr>
          <w:color w:val="000000"/>
          <w:sz w:val="22"/>
          <w:szCs w:val="22"/>
          <w:lang w:val="en-GB"/>
        </w:rPr>
        <w:t>[4,5]</w:t>
      </w:r>
      <w:r w:rsidR="00BC13A4">
        <w:rPr>
          <w:color w:val="000000"/>
          <w:sz w:val="22"/>
          <w:szCs w:val="22"/>
          <w:lang w:val="en-GB"/>
        </w:rPr>
        <w:fldChar w:fldCharType="end"/>
      </w:r>
      <w:r w:rsidR="004A3CA3" w:rsidRPr="004A3CA3">
        <w:rPr>
          <w:color w:val="000000"/>
          <w:sz w:val="22"/>
          <w:szCs w:val="22"/>
          <w:lang w:val="en-GB"/>
        </w:rPr>
        <w:t>.</w:t>
      </w:r>
      <w:r w:rsidR="00924039">
        <w:rPr>
          <w:color w:val="000000"/>
          <w:sz w:val="22"/>
          <w:szCs w:val="22"/>
          <w:lang w:val="en-GB"/>
        </w:rPr>
        <w:t xml:space="preserve"> </w:t>
      </w:r>
    </w:p>
    <w:p w14:paraId="4EC10641" w14:textId="5D5CFEAF" w:rsidR="004A3CA3" w:rsidRPr="00922D43" w:rsidRDefault="00922D43" w:rsidP="00922D43">
      <w:pPr>
        <w:pStyle w:val="Paragraph"/>
        <w:ind w:firstLine="0"/>
        <w:rPr>
          <w:color w:val="000000"/>
          <w:sz w:val="22"/>
          <w:szCs w:val="22"/>
          <w:lang w:val="en-GB"/>
        </w:rPr>
      </w:pPr>
      <w:r w:rsidRPr="00894B3F">
        <w:rPr>
          <w:color w:val="000000"/>
          <w:sz w:val="22"/>
          <w:szCs w:val="22"/>
          <w:lang w:val="en-GB"/>
        </w:rPr>
        <w:t xml:space="preserve">Mobile web-based learning planning design is basically a manifestation of conventional learning planning that is integrated with technology. In the </w:t>
      </w:r>
      <w:r w:rsidR="00894B3F" w:rsidRPr="00894B3F">
        <w:rPr>
          <w:color w:val="000000"/>
          <w:sz w:val="22"/>
          <w:szCs w:val="22"/>
          <w:lang w:val="en-GB"/>
        </w:rPr>
        <w:t>designer based mobile web learning plan</w:t>
      </w:r>
      <w:r w:rsidRPr="00894B3F">
        <w:rPr>
          <w:color w:val="000000"/>
          <w:sz w:val="22"/>
          <w:szCs w:val="22"/>
          <w:lang w:val="en-GB"/>
        </w:rPr>
        <w:t>, the need for quality learning media that is attractive can be met. In addition, students can access learning media according to their needs. This is certainly very effective in increasing student interaction with lecturers and improving the quality of learning media</w:t>
      </w:r>
      <w:r w:rsidR="00096CC0">
        <w:rPr>
          <w:color w:val="000000"/>
          <w:sz w:val="22"/>
          <w:szCs w:val="22"/>
          <w:lang w:val="en-GB"/>
        </w:rPr>
        <w:t>,</w:t>
      </w:r>
      <w:r w:rsidRPr="00894B3F">
        <w:rPr>
          <w:color w:val="000000"/>
          <w:sz w:val="22"/>
          <w:szCs w:val="22"/>
          <w:lang w:val="en-GB"/>
        </w:rPr>
        <w:t xml:space="preserve"> which will improve students' abilities as learners.</w:t>
      </w:r>
    </w:p>
    <w:p w14:paraId="1A5720C3" w14:textId="77777777" w:rsidR="00860966" w:rsidRDefault="00860966" w:rsidP="004A3CA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614102D3" w14:textId="1B909EC0" w:rsidR="004A3CA3" w:rsidRDefault="00860966" w:rsidP="0086096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860966">
        <w:rPr>
          <w:rFonts w:ascii="Times New Roman" w:eastAsia="Times New Roman" w:hAnsi="Times New Roman" w:cs="Times New Roman"/>
          <w:b/>
          <w:color w:val="000000"/>
        </w:rPr>
        <w:t>Methods</w:t>
      </w:r>
    </w:p>
    <w:p w14:paraId="1626F149" w14:textId="25322E0B" w:rsidR="00860966" w:rsidRDefault="00096CC0" w:rsidP="00B03DB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00B03DBD" w:rsidRPr="00B03DBD">
        <w:rPr>
          <w:rFonts w:ascii="Times New Roman" w:eastAsia="Times New Roman" w:hAnsi="Times New Roman" w:cs="Times New Roman"/>
          <w:color w:val="000000"/>
        </w:rPr>
        <w:t xml:space="preserve">he method used is research and development (R&amp;D). The development stage starts </w:t>
      </w:r>
      <w:r>
        <w:rPr>
          <w:rFonts w:ascii="Times New Roman" w:eastAsia="Times New Roman" w:hAnsi="Times New Roman" w:cs="Times New Roman"/>
          <w:color w:val="000000"/>
        </w:rPr>
        <w:t>with</w:t>
      </w:r>
      <w:r w:rsidR="00B03DBD" w:rsidRPr="00B03DBD">
        <w:rPr>
          <w:rFonts w:ascii="Times New Roman" w:eastAsia="Times New Roman" w:hAnsi="Times New Roman" w:cs="Times New Roman"/>
          <w:color w:val="000000"/>
        </w:rPr>
        <w:t xml:space="preserve"> needs analysis, literature study, product design, product validation, product testing, product revision, and product effectiveness testing. The validation test was carried out by two teams of experts. </w:t>
      </w:r>
      <w:r w:rsidR="00073C2A" w:rsidRPr="00073C2A">
        <w:rPr>
          <w:rFonts w:ascii="Times New Roman" w:eastAsia="Times New Roman" w:hAnsi="Times New Roman" w:cs="Times New Roman"/>
          <w:color w:val="000000"/>
        </w:rPr>
        <w:t>In the testing process</w:t>
      </w:r>
      <w:r w:rsidR="00073C2A">
        <w:rPr>
          <w:rFonts w:ascii="Times New Roman" w:eastAsia="Times New Roman" w:hAnsi="Times New Roman" w:cs="Times New Roman"/>
          <w:color w:val="000000"/>
        </w:rPr>
        <w:t>, t</w:t>
      </w:r>
      <w:r w:rsidR="00B03DBD" w:rsidRPr="00B03DBD">
        <w:rPr>
          <w:rFonts w:ascii="Times New Roman" w:eastAsia="Times New Roman" w:hAnsi="Times New Roman" w:cs="Times New Roman"/>
          <w:color w:val="000000"/>
        </w:rPr>
        <w:t xml:space="preserve">he team consists of a team of instructional media experts and a team of vocational material experts. </w:t>
      </w:r>
      <w:r w:rsidR="00073C2A" w:rsidRPr="00073C2A">
        <w:rPr>
          <w:rFonts w:ascii="Times New Roman" w:eastAsia="Times New Roman" w:hAnsi="Times New Roman" w:cs="Times New Roman"/>
          <w:color w:val="000000"/>
        </w:rPr>
        <w:t>The product revision process is carried out if there is input from the expert team.</w:t>
      </w:r>
      <w:r>
        <w:rPr>
          <w:rFonts w:ascii="Times New Roman" w:eastAsia="Times New Roman" w:hAnsi="Times New Roman" w:cs="Times New Roman"/>
          <w:color w:val="000000"/>
        </w:rPr>
        <w:t>T</w:t>
      </w:r>
      <w:r w:rsidR="00B03DBD" w:rsidRPr="00B03DBD">
        <w:rPr>
          <w:rFonts w:ascii="Times New Roman" w:eastAsia="Times New Roman" w:hAnsi="Times New Roman" w:cs="Times New Roman"/>
          <w:color w:val="000000"/>
        </w:rPr>
        <w:t>he method implemented is presented in Figure 1</w:t>
      </w:r>
      <w:r w:rsidR="00860966" w:rsidRPr="00860966">
        <w:rPr>
          <w:rFonts w:ascii="Times New Roman" w:eastAsia="Times New Roman" w:hAnsi="Times New Roman" w:cs="Times New Roman"/>
          <w:color w:val="000000"/>
        </w:rPr>
        <w:t>.</w:t>
      </w:r>
    </w:p>
    <w:p w14:paraId="0603CEDE" w14:textId="5B6A0F78" w:rsidR="00860966" w:rsidRPr="00860966" w:rsidRDefault="008F3259" w:rsidP="00860966">
      <w:pPr>
        <w:pBdr>
          <w:top w:val="nil"/>
          <w:left w:val="nil"/>
          <w:bottom w:val="nil"/>
          <w:right w:val="nil"/>
          <w:between w:val="nil"/>
        </w:pBdr>
        <w:spacing w:after="240" w:line="240" w:lineRule="auto"/>
        <w:rPr>
          <w:rFonts w:ascii="Times New Roman" w:eastAsia="Times New Roman" w:hAnsi="Times New Roman" w:cs="Times New Roman"/>
          <w:color w:val="000000"/>
          <w:lang w:val="en-US"/>
        </w:rPr>
      </w:pPr>
      <w:r>
        <w:rPr>
          <w:rFonts w:ascii="Times New Roman" w:eastAsia="Times New Roman" w:hAnsi="Times New Roman" w:cs="Times New Roman"/>
          <w:noProof/>
          <w:color w:val="000000"/>
          <w:lang w:val="en-US"/>
        </w:rPr>
        <mc:AlternateContent>
          <mc:Choice Requires="wpg">
            <w:drawing>
              <wp:anchor distT="0" distB="0" distL="114300" distR="114300" simplePos="0" relativeHeight="251683840" behindDoc="0" locked="0" layoutInCell="1" allowOverlap="1" wp14:anchorId="0EE063EF" wp14:editId="75B96C23">
                <wp:simplePos x="0" y="0"/>
                <wp:positionH relativeFrom="column">
                  <wp:posOffset>21921</wp:posOffset>
                </wp:positionH>
                <wp:positionV relativeFrom="paragraph">
                  <wp:posOffset>41634</wp:posOffset>
                </wp:positionV>
                <wp:extent cx="5693227" cy="869674"/>
                <wp:effectExtent l="0" t="0" r="22225" b="26035"/>
                <wp:wrapNone/>
                <wp:docPr id="31" name="Group 31"/>
                <wp:cNvGraphicFramePr/>
                <a:graphic xmlns:a="http://schemas.openxmlformats.org/drawingml/2006/main">
                  <a:graphicData uri="http://schemas.microsoft.com/office/word/2010/wordprocessingGroup">
                    <wpg:wgp>
                      <wpg:cNvGrpSpPr/>
                      <wpg:grpSpPr>
                        <a:xfrm>
                          <a:off x="0" y="0"/>
                          <a:ext cx="5693227" cy="869674"/>
                          <a:chOff x="0" y="0"/>
                          <a:chExt cx="5693227" cy="869674"/>
                        </a:xfrm>
                      </wpg:grpSpPr>
                      <wps:wsp>
                        <wps:cNvPr id="25" name="Rounded Rectangle 25"/>
                        <wps:cNvSpPr>
                          <a:spLocks noChangeArrowheads="1"/>
                        </wps:cNvSpPr>
                        <wps:spPr bwMode="auto">
                          <a:xfrm>
                            <a:off x="0" y="0"/>
                            <a:ext cx="1228725" cy="317027"/>
                          </a:xfrm>
                          <a:prstGeom prst="roundRect">
                            <a:avLst>
                              <a:gd name="adj" fmla="val 16667"/>
                            </a:avLst>
                          </a:prstGeom>
                          <a:solidFill>
                            <a:srgbClr val="FFFFFF"/>
                          </a:solidFill>
                          <a:ln w="9525">
                            <a:solidFill>
                              <a:srgbClr val="000000"/>
                            </a:solidFill>
                            <a:round/>
                            <a:headEnd/>
                            <a:tailEnd/>
                          </a:ln>
                        </wps:spPr>
                        <wps:txbx>
                          <w:txbxContent>
                            <w:p w14:paraId="4ABCBD8D" w14:textId="3057EBAC" w:rsidR="00A25D82" w:rsidRPr="00A74B97" w:rsidRDefault="00A25D82" w:rsidP="00860966">
                              <w:pPr>
                                <w:jc w:val="center"/>
                                <w:rPr>
                                  <w:rFonts w:ascii="Times New Roman" w:hAnsi="Times New Roman" w:cs="Times New Roman"/>
                                  <w:sz w:val="20"/>
                                </w:rPr>
                              </w:pPr>
                              <w:r w:rsidRPr="00702E4D">
                                <w:rPr>
                                  <w:rFonts w:ascii="Times New Roman" w:hAnsi="Times New Roman" w:cs="Times New Roman"/>
                                  <w:sz w:val="20"/>
                                </w:rPr>
                                <w:t>Needs Analysis</w:t>
                              </w:r>
                            </w:p>
                          </w:txbxContent>
                        </wps:txbx>
                        <wps:bodyPr rot="0" vert="horz" wrap="square" lIns="91440" tIns="45720" rIns="91440" bIns="45720" anchor="t" anchorCtr="0" upright="1">
                          <a:noAutofit/>
                        </wps:bodyPr>
                      </wps:wsp>
                      <wps:wsp>
                        <wps:cNvPr id="26" name="Rounded Rectangle 26"/>
                        <wps:cNvSpPr>
                          <a:spLocks noChangeArrowheads="1"/>
                        </wps:cNvSpPr>
                        <wps:spPr bwMode="auto">
                          <a:xfrm>
                            <a:off x="1423284" y="0"/>
                            <a:ext cx="1045845" cy="328043"/>
                          </a:xfrm>
                          <a:prstGeom prst="roundRect">
                            <a:avLst>
                              <a:gd name="adj" fmla="val 16667"/>
                            </a:avLst>
                          </a:prstGeom>
                          <a:solidFill>
                            <a:srgbClr val="FFFFFF"/>
                          </a:solidFill>
                          <a:ln w="9525">
                            <a:solidFill>
                              <a:srgbClr val="000000"/>
                            </a:solidFill>
                            <a:round/>
                            <a:headEnd/>
                            <a:tailEnd/>
                          </a:ln>
                        </wps:spPr>
                        <wps:txbx>
                          <w:txbxContent>
                            <w:p w14:paraId="45A7A048" w14:textId="1EE2A32F" w:rsidR="00A25D82" w:rsidRPr="00A74B97" w:rsidRDefault="00A25D82" w:rsidP="00702E4D">
                              <w:pPr>
                                <w:jc w:val="center"/>
                                <w:rPr>
                                  <w:rFonts w:ascii="Times New Roman" w:hAnsi="Times New Roman" w:cs="Times New Roman"/>
                                  <w:sz w:val="20"/>
                                </w:rPr>
                              </w:pPr>
                              <w:r w:rsidRPr="00702E4D">
                                <w:rPr>
                                  <w:rFonts w:ascii="Times New Roman" w:hAnsi="Times New Roman" w:cs="Times New Roman"/>
                                  <w:sz w:val="20"/>
                                </w:rPr>
                                <w:t>Study literature</w:t>
                              </w:r>
                            </w:p>
                          </w:txbxContent>
                        </wps:txbx>
                        <wps:bodyPr rot="0" vert="horz" wrap="square" lIns="91440" tIns="45720" rIns="91440" bIns="45720" anchor="t" anchorCtr="0" upright="1">
                          <a:noAutofit/>
                        </wps:bodyPr>
                      </wps:wsp>
                      <wps:wsp>
                        <wps:cNvPr id="23" name="Rounded Rectangle 23"/>
                        <wps:cNvSpPr>
                          <a:spLocks noChangeArrowheads="1"/>
                        </wps:cNvSpPr>
                        <wps:spPr bwMode="auto">
                          <a:xfrm>
                            <a:off x="1375576" y="572494"/>
                            <a:ext cx="1211580" cy="297180"/>
                          </a:xfrm>
                          <a:prstGeom prst="roundRect">
                            <a:avLst>
                              <a:gd name="adj" fmla="val 16667"/>
                            </a:avLst>
                          </a:prstGeom>
                          <a:solidFill>
                            <a:srgbClr val="FFFFFF"/>
                          </a:solidFill>
                          <a:ln w="9525">
                            <a:solidFill>
                              <a:srgbClr val="000000"/>
                            </a:solidFill>
                            <a:round/>
                            <a:headEnd/>
                            <a:tailEnd/>
                          </a:ln>
                        </wps:spPr>
                        <wps:txbx>
                          <w:txbxContent>
                            <w:p w14:paraId="28865625" w14:textId="14DDD84D" w:rsidR="00A25D82" w:rsidRPr="00A74B97" w:rsidRDefault="00A25D82"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Validation</w:t>
                              </w:r>
                            </w:p>
                          </w:txbxContent>
                        </wps:txbx>
                        <wps:bodyPr rot="0" vert="horz" wrap="square" lIns="91440" tIns="45720" rIns="91440" bIns="45720" anchor="t" anchorCtr="0" upright="1">
                          <a:noAutofit/>
                        </wps:bodyPr>
                      </wps:wsp>
                      <wps:wsp>
                        <wps:cNvPr id="27" name="Rounded Rectangle 27"/>
                        <wps:cNvSpPr>
                          <a:spLocks noChangeArrowheads="1"/>
                        </wps:cNvSpPr>
                        <wps:spPr bwMode="auto">
                          <a:xfrm>
                            <a:off x="0" y="572494"/>
                            <a:ext cx="1221105" cy="297180"/>
                          </a:xfrm>
                          <a:prstGeom prst="roundRect">
                            <a:avLst>
                              <a:gd name="adj" fmla="val 16667"/>
                            </a:avLst>
                          </a:prstGeom>
                          <a:solidFill>
                            <a:srgbClr val="FFFFFF"/>
                          </a:solidFill>
                          <a:ln w="9525">
                            <a:solidFill>
                              <a:srgbClr val="000000"/>
                            </a:solidFill>
                            <a:round/>
                            <a:headEnd/>
                            <a:tailEnd/>
                          </a:ln>
                        </wps:spPr>
                        <wps:txbx>
                          <w:txbxContent>
                            <w:p w14:paraId="18851C9E" w14:textId="2265BE4E" w:rsidR="00A25D82" w:rsidRPr="00A74B97" w:rsidRDefault="00A25D82" w:rsidP="00702E4D">
                              <w:pPr>
                                <w:jc w:val="center"/>
                                <w:rPr>
                                  <w:rFonts w:ascii="Times New Roman" w:hAnsi="Times New Roman" w:cs="Times New Roman"/>
                                  <w:sz w:val="20"/>
                                </w:rPr>
                              </w:pPr>
                              <w:r w:rsidRPr="00702E4D">
                                <w:rPr>
                                  <w:rFonts w:ascii="Times New Roman" w:hAnsi="Times New Roman" w:cs="Times New Roman"/>
                                  <w:sz w:val="20"/>
                                </w:rPr>
                                <w:t>Product Design</w:t>
                              </w:r>
                            </w:p>
                          </w:txbxContent>
                        </wps:txbx>
                        <wps:bodyPr rot="0" vert="horz" wrap="square" lIns="91440" tIns="45720" rIns="91440" bIns="45720" anchor="t" anchorCtr="0" upright="1">
                          <a:noAutofit/>
                        </wps:bodyPr>
                      </wps:wsp>
                      <wps:wsp>
                        <wps:cNvPr id="21" name="Rounded Rectangle 21"/>
                        <wps:cNvSpPr>
                          <a:spLocks noChangeArrowheads="1"/>
                        </wps:cNvSpPr>
                        <wps:spPr bwMode="auto">
                          <a:xfrm>
                            <a:off x="2663687" y="206734"/>
                            <a:ext cx="865091" cy="297712"/>
                          </a:xfrm>
                          <a:prstGeom prst="roundRect">
                            <a:avLst>
                              <a:gd name="adj" fmla="val 16667"/>
                            </a:avLst>
                          </a:prstGeom>
                          <a:solidFill>
                            <a:srgbClr val="FFFFFF"/>
                          </a:solidFill>
                          <a:ln w="9525">
                            <a:solidFill>
                              <a:srgbClr val="000000"/>
                            </a:solidFill>
                            <a:round/>
                            <a:headEnd/>
                            <a:tailEnd/>
                          </a:ln>
                        </wps:spPr>
                        <wps:txbx>
                          <w:txbxContent>
                            <w:p w14:paraId="0B57207F" w14:textId="1CB9A379" w:rsidR="00A25D82" w:rsidRPr="00A74B97" w:rsidRDefault="00A25D82"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Testing</w:t>
                              </w:r>
                            </w:p>
                          </w:txbxContent>
                        </wps:txbx>
                        <wps:bodyPr rot="0" vert="horz" wrap="square" lIns="91440" tIns="45720" rIns="91440" bIns="45720" anchor="t" anchorCtr="0" upright="1">
                          <a:noAutofit/>
                        </wps:bodyPr>
                      </wps:wsp>
                      <wps:wsp>
                        <wps:cNvPr id="18" name="Rounded Rectangle 18"/>
                        <wps:cNvSpPr>
                          <a:spLocks noChangeArrowheads="1"/>
                        </wps:cNvSpPr>
                        <wps:spPr bwMode="auto">
                          <a:xfrm>
                            <a:off x="3784821" y="23854"/>
                            <a:ext cx="759106" cy="591185"/>
                          </a:xfrm>
                          <a:prstGeom prst="roundRect">
                            <a:avLst>
                              <a:gd name="adj" fmla="val 16667"/>
                            </a:avLst>
                          </a:prstGeom>
                          <a:solidFill>
                            <a:srgbClr val="FFFFFF"/>
                          </a:solidFill>
                          <a:ln w="9525">
                            <a:solidFill>
                              <a:srgbClr val="000000"/>
                            </a:solidFill>
                            <a:round/>
                            <a:headEnd/>
                            <a:tailEnd/>
                          </a:ln>
                        </wps:spPr>
                        <wps:txbx>
                          <w:txbxContent>
                            <w:p w14:paraId="45C0AA6E" w14:textId="409D218B" w:rsidR="00A25D82" w:rsidRPr="00A74B97" w:rsidRDefault="00A25D82"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Revisions</w:t>
                              </w:r>
                            </w:p>
                          </w:txbxContent>
                        </wps:txbx>
                        <wps:bodyPr rot="0" vert="horz" wrap="square" lIns="91440" tIns="45720" rIns="91440" bIns="45720" anchor="t" anchorCtr="0" upright="1">
                          <a:noAutofit/>
                        </wps:bodyPr>
                      </wps:wsp>
                      <wps:wsp>
                        <wps:cNvPr id="16" name="Rounded Rectangle 16"/>
                        <wps:cNvSpPr>
                          <a:spLocks noChangeArrowheads="1"/>
                        </wps:cNvSpPr>
                        <wps:spPr bwMode="auto">
                          <a:xfrm>
                            <a:off x="4746929" y="23854"/>
                            <a:ext cx="946298" cy="581660"/>
                          </a:xfrm>
                          <a:prstGeom prst="roundRect">
                            <a:avLst>
                              <a:gd name="adj" fmla="val 16667"/>
                            </a:avLst>
                          </a:prstGeom>
                          <a:solidFill>
                            <a:srgbClr val="FFFFFF"/>
                          </a:solidFill>
                          <a:ln w="9525">
                            <a:solidFill>
                              <a:srgbClr val="000000"/>
                            </a:solidFill>
                            <a:round/>
                            <a:headEnd/>
                            <a:tailEnd/>
                          </a:ln>
                        </wps:spPr>
                        <wps:txbx>
                          <w:txbxContent>
                            <w:p w14:paraId="44A39126" w14:textId="11FB513D" w:rsidR="00A25D82" w:rsidRPr="00A74B97" w:rsidRDefault="00A25D82" w:rsidP="00702E4D">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Effectiveness Test</w:t>
                              </w:r>
                            </w:p>
                          </w:txbxContent>
                        </wps:txbx>
                        <wps:bodyPr rot="0" vert="horz" wrap="square" lIns="91440" tIns="45720" rIns="91440" bIns="45720" anchor="t" anchorCtr="0" upright="1">
                          <a:noAutofit/>
                        </wps:bodyPr>
                      </wps:wsp>
                      <wps:wsp>
                        <wps:cNvPr id="28" name="Straight Arrow Connector 28"/>
                        <wps:cNvCnPr>
                          <a:cxnSpLocks noChangeShapeType="1"/>
                        </wps:cNvCnPr>
                        <wps:spPr bwMode="auto">
                          <a:xfrm>
                            <a:off x="1224501" y="115956"/>
                            <a:ext cx="196215"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3" name="Straight Arrow Connector 3"/>
                        <wps:cNvCnPr>
                          <a:cxnSpLocks noChangeShapeType="1"/>
                        </wps:cNvCnPr>
                        <wps:spPr bwMode="auto">
                          <a:xfrm>
                            <a:off x="3530379" y="322690"/>
                            <a:ext cx="197485"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4" name="Straight Arrow Connector 4"/>
                        <wps:cNvCnPr>
                          <a:cxnSpLocks noChangeShapeType="1"/>
                        </wps:cNvCnPr>
                        <wps:spPr bwMode="auto">
                          <a:xfrm>
                            <a:off x="4540195" y="322690"/>
                            <a:ext cx="197485"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884459" y="326003"/>
                            <a:ext cx="0" cy="93921"/>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H="1">
                            <a:off x="540689" y="413468"/>
                            <a:ext cx="1339702"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545327" y="421419"/>
                            <a:ext cx="0" cy="148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1232452" y="728207"/>
                            <a:ext cx="1535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2568272" y="731520"/>
                            <a:ext cx="500262"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3065891" y="499276"/>
                            <a:ext cx="0" cy="2255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EE063EF" id="Group 31" o:spid="_x0000_s1026" style="position:absolute;margin-left:1.75pt;margin-top:3.3pt;width:448.3pt;height:68.5pt;z-index:251683840" coordsize="56932,8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CeKgYAAMAtAAAOAAAAZHJzL2Uyb0RvYy54bWzsWltv2zYUfh+w/0DofbVIkboYdYoivWzA&#10;LkXT7Z2RKFurRGqUEjv79Tu8SHYcO3E7xOsA5cERJZIiDz9955yPfPlq09ToVuiuUnIR4BdhgITM&#10;VVHJ5SL4/dO7H9IAdT2XBa+VFIvgTnTBq4vvv3u5bueCqJWqC6ERdCK7+bpdBKu+b+ezWZevRMO7&#10;F6oVEh6WSje8h6JezgrN19B7U89IGMaztdJFq1Uuug7uvnEPgwvbf1mKvP+tLDvRo3oRwNh6+6vt&#10;77X5nV285POl5u2qyv0w+FeMouGVhJeOXb3hPUc3unrQVVPlWnWq7F/kqpmpsqxyYecAs8Hh3mze&#10;a3XT2rks5+tlO5oJTLtnp6/uNv/19oNGVbEIIhwgyRtYI/taBGUwzrpdzqHOe91etR+0v7F0JTPf&#10;Takb8x9mgjbWrHejWcWmRzncZHEWEZIEKIdnaZzFCXV2z1ewOA+a5au3jzecDa+dmdGNg1m3AKFu&#10;a6Xu31npasVbYY3fGQt4KxE2WOmjupGFKNBHwBiXy1ogeGYNZOsbcxnDdO3PKv/cIakuV1BNvNZa&#10;rVeCFzA8a2GYxE4DU+igKbpe/6IKWAx+0yuLrFMsjQlJEzNEY+kIJyFYHYY0GozPW93174VqkLlY&#10;BAAwWZgZ2Ffw25+73qK48FDgxZ8BKpsavolbXiMcx/HQo68MfQ992umquireVXVtC3p5fVlrBE0X&#10;wTv754fT7VarJVovgozBwB/vIrR/h7qw84CZ8rkx7VtZ2OueV7W7hlHWEgwxmNcAu5v3m+uNX7Fr&#10;VdyB1bVyDAGMBhcrpf8O0BrYYRF0f91wLQJU/yRh5TJMqaETW6AsIVDQu0+ud59wmUNXi6APkLu8&#10;7B0F3bS6Wq7gTdjOXKrXsNpl1Zs1MwN0o/IFwLYb9vODPH4E5PEZQY4piUhKA/SQVHBIWUoHqJM0&#10;pNEEdQP741C3NO9ZfcDWhHhrFRI9gngLLPM5ght4blrHUcJYAt8fIB5ohWbeVQ6+FBOMWQpsYxie&#10;ZAmGa7fog38Y2HhieM/wboEH1pqIfjeagaDMxXwHohnr6M8EewD0UcAD4kPP8xPgTwlpXDg/Af5Q&#10;+D4mOQcAP7rGM/A8ieMoTuHzMzQexkm0x/NpzMIMButpPsFkovkTohtrxW3kPEU3LuYDEeYYzeN0&#10;IIozoD5KUpoSgLVBfZSyPdAnLMMhxD4G9HCJU5tQT9nrEyH9KDtMsc1ObIMfSWLhmc/7zwB6mtA4&#10;I9kx0Gc0Jhl8oBb0KSgsU0Bv5ZsnQD+u4AT6HdCTkemves2NtoSs4IgulZQg8ymNoMoW+5fSqZT5&#10;Rl7tCZVW//x014IGeU+ndE2Mjz1JpwRJkrLQUT6krhmzC8fnY0KbxQT78P4J5Hd+SuNcnGpmhUiX&#10;Aw+5rxECjd53UA5EvZ1Urysr24LAtwgaUYC0J2ALw1y5zg4Ihl1/VwvX+UdRgm8FddsNwm5YiFHs&#10;LD47m5lhQE3TpARRdGwUOqXT7HIcauTrmmbCbmKc2nCsbd+oZD82bCqp9KG39pthqKWrP8ikbq7b&#10;YMpYxZTOp0OOosxRMO9KM8+P5YhFYZQ4JocdjTjz+0dbLCcUYhZL5ROW/Wc0YdnG4CBiuxD8KJbH&#10;3AVikufHMmU0xBmAFWLtCcsDmU+8fH8//fAmKIgR+2AefTJySoVxFB7HPtow0YLxSoNO7XeMcZpS&#10;ygZOjcPQUvo2PvBSdxZlkDc6xzz0MHh7r3TXlTT7tXx+MCDY2/qbPPlZPTl+6Mp3ELPvxQ8gBpV1&#10;1f44RFseO0BhceqgQ3FEYxvZbqGDoyiDLfCT/PEEnm83DDTpwRO+E6p40JxEOoyyyBxIAd9HCaY4&#10;M623wPGcg2maunTluAT1NTmJ1/D38xBHblPWYTKs/zLrwOOm2NFQDap8CdwwnGKgDIgI8JaQlIS2&#10;+RZvmEUM7j1X3jDhDY7efLv0Rh6LpuDhlyCNsDgliUdahBmcS7rHbCwMSTx5xP+7MEKeziahypPA&#10;sUHVH3tBVRTGLDVbj8Y5ZhmBwyj3IDScPSGMpTbgmpyjiR2OCoBnk+Qgw7HHhO0RMH+k2ZxD3i1b&#10;CW978PriHwAAAP//AwBQSwMEFAAGAAgAAAAhAMV98qrdAAAABwEAAA8AAABkcnMvZG93bnJldi54&#10;bWxMjsFKw0AURfeC/zA8wZ2dibFBYyalFHVVBFtB3E0zr0lo5k3ITJP0732udHm5h3tPsZpdJ0Yc&#10;QutJQ7JQIJAqb1uqNXzuX+8eQYRoyJrOE2q4YIBVeX1VmNz6iT5w3MVa8AiF3GhoYuxzKUPVoDNh&#10;4Xsk7o5+cCZyHGppBzPxuOvkvVKZdKYlfmhMj5sGq9Pu7DS8TWZap8nLuD0dN5fv/fL9a5ug1rc3&#10;8/oZRMQ5/sHwq8/qULLTwZ/JBtFpSJcMasgyENw+KZWAODD2kGYgy0L+9y9/AAAA//8DAFBLAQIt&#10;ABQABgAIAAAAIQC2gziS/gAAAOEBAAATAAAAAAAAAAAAAAAAAAAAAABbQ29udGVudF9UeXBlc10u&#10;eG1sUEsBAi0AFAAGAAgAAAAhADj9If/WAAAAlAEAAAsAAAAAAAAAAAAAAAAALwEAAF9yZWxzLy5y&#10;ZWxzUEsBAi0AFAAGAAgAAAAhAHN/UJ4qBgAAwC0AAA4AAAAAAAAAAAAAAAAALgIAAGRycy9lMm9E&#10;b2MueG1sUEsBAi0AFAAGAAgAAAAhAMV98qrdAAAABwEAAA8AAAAAAAAAAAAAAAAAhAgAAGRycy9k&#10;b3ducmV2LnhtbFBLBQYAAAAABAAEAPMAAACOCQAAAAA=&#10;">
                <v:roundrect id="Rounded Rectangle 25" o:spid="_x0000_s1027" style="position:absolute;width:12287;height:31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14:paraId="4ABCBD8D" w14:textId="3057EBAC" w:rsidR="00A25D82" w:rsidRPr="00A74B97" w:rsidRDefault="00A25D82" w:rsidP="00860966">
                        <w:pPr>
                          <w:jc w:val="center"/>
                          <w:rPr>
                            <w:rFonts w:ascii="Times New Roman" w:hAnsi="Times New Roman" w:cs="Times New Roman"/>
                            <w:sz w:val="20"/>
                          </w:rPr>
                        </w:pPr>
                        <w:r w:rsidRPr="00702E4D">
                          <w:rPr>
                            <w:rFonts w:ascii="Times New Roman" w:hAnsi="Times New Roman" w:cs="Times New Roman"/>
                            <w:sz w:val="20"/>
                          </w:rPr>
                          <w:t>Needs Analysis</w:t>
                        </w:r>
                      </w:p>
                    </w:txbxContent>
                  </v:textbox>
                </v:roundrect>
                <v:roundrect id="Rounded Rectangle 26" o:spid="_x0000_s1028" style="position:absolute;left:14232;width:10459;height:32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45A7A048" w14:textId="1EE2A32F" w:rsidR="00A25D82" w:rsidRPr="00A74B97" w:rsidRDefault="00A25D82" w:rsidP="00702E4D">
                        <w:pPr>
                          <w:jc w:val="center"/>
                          <w:rPr>
                            <w:rFonts w:ascii="Times New Roman" w:hAnsi="Times New Roman" w:cs="Times New Roman"/>
                            <w:sz w:val="20"/>
                          </w:rPr>
                        </w:pPr>
                        <w:r w:rsidRPr="00702E4D">
                          <w:rPr>
                            <w:rFonts w:ascii="Times New Roman" w:hAnsi="Times New Roman" w:cs="Times New Roman"/>
                            <w:sz w:val="20"/>
                          </w:rPr>
                          <w:t>Study literature</w:t>
                        </w:r>
                      </w:p>
                    </w:txbxContent>
                  </v:textbox>
                </v:roundrect>
                <v:roundrect id="Rounded Rectangle 23" o:spid="_x0000_s1029" style="position:absolute;left:13755;top:5724;width:12116;height:29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14:paraId="28865625" w14:textId="14DDD84D" w:rsidR="00A25D82" w:rsidRPr="00A74B97" w:rsidRDefault="00A25D82"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Validation</w:t>
                        </w:r>
                      </w:p>
                    </w:txbxContent>
                  </v:textbox>
                </v:roundrect>
                <v:roundrect id="Rounded Rectangle 27" o:spid="_x0000_s1030" style="position:absolute;top:5724;width:12211;height:29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14:paraId="18851C9E" w14:textId="2265BE4E" w:rsidR="00A25D82" w:rsidRPr="00A74B97" w:rsidRDefault="00A25D82" w:rsidP="00702E4D">
                        <w:pPr>
                          <w:jc w:val="center"/>
                          <w:rPr>
                            <w:rFonts w:ascii="Times New Roman" w:hAnsi="Times New Roman" w:cs="Times New Roman"/>
                            <w:sz w:val="20"/>
                          </w:rPr>
                        </w:pPr>
                        <w:r w:rsidRPr="00702E4D">
                          <w:rPr>
                            <w:rFonts w:ascii="Times New Roman" w:hAnsi="Times New Roman" w:cs="Times New Roman"/>
                            <w:sz w:val="20"/>
                          </w:rPr>
                          <w:t>Product Design</w:t>
                        </w:r>
                      </w:p>
                    </w:txbxContent>
                  </v:textbox>
                </v:roundrect>
                <v:roundrect id="Rounded Rectangle 21" o:spid="_x0000_s1031" style="position:absolute;left:26636;top:2067;width:8651;height:29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lMwwAAANsAAAAPAAAAZHJzL2Rvd25yZXYueG1sRI9Ba8JA&#10;FITvgv9heYXezK5Ci6auUoSW3orRg8fX7DMJZt/G3U1M++vdQqHHYWa+Ydbb0bZiIB8axxrmmQJB&#10;XDrTcKXheHibLUGEiGywdUwavinAdjOdrDE37sZ7GopYiQThkKOGOsYulzKUNVkMmeuIk3d23mJM&#10;0lfSeLwluG3lQqlnabHhtFBjR7uaykvRWw2lUb3yp+Fz9fUUi5+hv7J8v2r9+DC+voCINMb/8F/7&#10;w2hYzOH3S/oBcnMHAAD//wMAUEsBAi0AFAAGAAgAAAAhANvh9svuAAAAhQEAABMAAAAAAAAAAAAA&#10;AAAAAAAAAFtDb250ZW50X1R5cGVzXS54bWxQSwECLQAUAAYACAAAACEAWvQsW78AAAAVAQAACwAA&#10;AAAAAAAAAAAAAAAfAQAAX3JlbHMvLnJlbHNQSwECLQAUAAYACAAAACEAfXAZTMMAAADbAAAADwAA&#10;AAAAAAAAAAAAAAAHAgAAZHJzL2Rvd25yZXYueG1sUEsFBgAAAAADAAMAtwAAAPcCAAAAAA==&#10;">
                  <v:textbox>
                    <w:txbxContent>
                      <w:p w14:paraId="0B57207F" w14:textId="1CB9A379" w:rsidR="00A25D82" w:rsidRPr="00A74B97" w:rsidRDefault="00A25D82"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Testing</w:t>
                        </w:r>
                      </w:p>
                    </w:txbxContent>
                  </v:textbox>
                </v:roundrect>
                <v:roundrect id="Rounded Rectangle 18" o:spid="_x0000_s1032" style="position:absolute;left:37848;top:238;width:7591;height:59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textbox>
                    <w:txbxContent>
                      <w:p w14:paraId="45C0AA6E" w14:textId="409D218B" w:rsidR="00A25D82" w:rsidRPr="00A74B97" w:rsidRDefault="00A25D82" w:rsidP="00A74B97">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Revisions</w:t>
                        </w:r>
                      </w:p>
                    </w:txbxContent>
                  </v:textbox>
                </v:roundrect>
                <v:roundrect id="Rounded Rectangle 16" o:spid="_x0000_s1033" style="position:absolute;left:47469;top:238;width:9463;height:58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44A39126" w14:textId="11FB513D" w:rsidR="00A25D82" w:rsidRPr="00A74B97" w:rsidRDefault="00A25D82" w:rsidP="00702E4D">
                        <w:pPr>
                          <w:spacing w:after="0" w:line="240" w:lineRule="auto"/>
                          <w:jc w:val="center"/>
                          <w:rPr>
                            <w:rFonts w:ascii="Times New Roman" w:hAnsi="Times New Roman" w:cs="Times New Roman"/>
                            <w:sz w:val="20"/>
                          </w:rPr>
                        </w:pPr>
                        <w:r w:rsidRPr="00702E4D">
                          <w:rPr>
                            <w:rFonts w:ascii="Times New Roman" w:hAnsi="Times New Roman" w:cs="Times New Roman"/>
                            <w:sz w:val="20"/>
                          </w:rPr>
                          <w:t>Product Effectiveness Test</w:t>
                        </w:r>
                      </w:p>
                    </w:txbxContent>
                  </v:textbox>
                </v:roundrect>
                <v:shapetype id="_x0000_t32" coordsize="21600,21600" o:spt="32" o:oned="t" path="m,l21600,21600e" filled="f">
                  <v:path arrowok="t" fillok="f" o:connecttype="none"/>
                  <o:lock v:ext="edit" shapetype="t"/>
                </v:shapetype>
                <v:shape id="Straight Arrow Connector 28" o:spid="_x0000_s1034" type="#_x0000_t32" style="position:absolute;left:12245;top:1159;width:1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edvQAAANsAAAAPAAAAZHJzL2Rvd25yZXYueG1sRE/LisIw&#10;FN0L8w/hDriRMVVkGDqmIoJQl+p8wKW505Q2NyVJH/69WQguD+e9P8y2EyP50DhWsFlnIIgrpxuu&#10;Ffzdz18/IEJE1tg5JgUPCnAoPhZ7zLWb+ErjLdYihXDIUYGJsc+lDJUhi2HteuLE/TtvMSboa6k9&#10;TincdnKbZd/SYsOpwWBPJ0NVexusAjeyuexWNrZyqO5HHMrT5Eullp/z8RdEpDm+xS93qRVs09j0&#10;Jf0AWTwBAAD//wMAUEsBAi0AFAAGAAgAAAAhANvh9svuAAAAhQEAABMAAAAAAAAAAAAAAAAAAAAA&#10;AFtDb250ZW50X1R5cGVzXS54bWxQSwECLQAUAAYACAAAACEAWvQsW78AAAAVAQAACwAAAAAAAAAA&#10;AAAAAAAfAQAAX3JlbHMvLnJlbHNQSwECLQAUAAYACAAAACEAhV6Xnb0AAADbAAAADwAAAAAAAAAA&#10;AAAAAAAHAgAAZHJzL2Rvd25yZXYueG1sUEsFBgAAAAADAAMAtwAAAPECAAAAAA==&#10;" strokecolor="black [3040]">
                  <v:stroke endarrow="block"/>
                </v:shape>
                <v:shape id="Straight Arrow Connector 3" o:spid="_x0000_s1035" type="#_x0000_t32" style="position:absolute;left:35303;top:3226;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SNXvwAAANoAAAAPAAAAZHJzL2Rvd25yZXYueG1sRI/disIw&#10;FITvBd8hHGFvRFNdEalGEWGhe7nqAxyaY1NsTkqS/uzbm4UFL4eZ+YY5nEbbiJ58qB0rWC0zEMSl&#10;0zVXCu63r8UORIjIGhvHpOCXApyO08kBc+0G/qH+GiuRIBxyVGBibHMpQ2nIYli6ljh5D+ctxiR9&#10;JbXHIcFtI9dZtpUWa04LBlu6GCqf184qcD2b783cxqfsytsZu+Iy+EKpj9l43oOINMZ3+L9daAWf&#10;8Hcl3QB5fAEAAP//AwBQSwECLQAUAAYACAAAACEA2+H2y+4AAACFAQAAEwAAAAAAAAAAAAAAAAAA&#10;AAAAW0NvbnRlbnRfVHlwZXNdLnhtbFBLAQItABQABgAIAAAAIQBa9CxbvwAAABUBAAALAAAAAAAA&#10;AAAAAAAAAB8BAABfcmVscy8ucmVsc1BLAQItABQABgAIAAAAIQD59SNXvwAAANoAAAAPAAAAAAAA&#10;AAAAAAAAAAcCAABkcnMvZG93bnJldi54bWxQSwUGAAAAAAMAAwC3AAAA8wIAAAAA&#10;" strokecolor="black [3040]">
                  <v:stroke endarrow="block"/>
                </v:shape>
                <v:shape id="Straight Arrow Connector 4" o:spid="_x0000_s1036" type="#_x0000_t32" style="position:absolute;left:45401;top:3226;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sjvgAAANoAAAAPAAAAZHJzL2Rvd25yZXYueG1sRI/disIw&#10;FITvBd8hHGFvRNNdZJFqFBGEeqnuAxyaY1NsTkqS/uzbG0HwcpiZb5jtfrSN6MmH2rGC72UGgrh0&#10;uuZKwd/ttFiDCBFZY+OYFPxTgP1uOtlirt3AF+qvsRIJwiFHBSbGNpcylIYshqVriZN3d95iTNJX&#10;UnscEtw28ifLfqXFmtOCwZaOhsrHtbMKXM/mvJrb+JBdeTtgVxwHXyj1NRsPGxCRxvgJv9uFVrCC&#10;15V0A+TuCQAA//8DAFBLAQItABQABgAIAAAAIQDb4fbL7gAAAIUBAAATAAAAAAAAAAAAAAAAAAAA&#10;AABbQ29udGVudF9UeXBlc10ueG1sUEsBAi0AFAAGAAgAAAAhAFr0LFu/AAAAFQEAAAsAAAAAAAAA&#10;AAAAAAAAHwEAAF9yZWxzLy5yZWxzUEsBAi0AFAAGAAgAAAAhAHYcuyO+AAAA2gAAAA8AAAAAAAAA&#10;AAAAAAAABwIAAGRycy9kb3ducmV2LnhtbFBLBQYAAAAAAwADALcAAADyAgAAAAA=&#10;" strokecolor="black [3040]">
                  <v:stroke endarrow="block"/>
                </v:shape>
                <v:line id="Straight Connector 12" o:spid="_x0000_s1037" style="position:absolute;visibility:visible;mso-wrap-style:square" from="18844,3260" to="18844,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13" o:spid="_x0000_s1038" style="position:absolute;flip:x;visibility:visible;mso-wrap-style:square" from="5406,4134" to="1880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nYwAAAANsAAAAPAAAAZHJzL2Rvd25yZXYueG1sRE9Li8Iw&#10;EL4v+B/CCN7WVIV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WOi52MAAAADbAAAADwAAAAAA&#10;AAAAAAAAAAAHAgAAZHJzL2Rvd25yZXYueG1sUEsFBgAAAAADAAMAtwAAAPQCAAAAAA==&#10;" strokecolor="black [3040]"/>
                <v:shape id="Straight Arrow Connector 15" o:spid="_x0000_s1039" type="#_x0000_t32" style="position:absolute;left:5453;top:4214;width:0;height:1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Straight Arrow Connector 17" o:spid="_x0000_s1040" type="#_x0000_t32" style="position:absolute;left:12324;top:7282;width:1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line id="Straight Connector 22" o:spid="_x0000_s1041" style="position:absolute;visibility:visible;mso-wrap-style:square" from="25682,7315" to="30685,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nwtwwAAANsAAAAPAAAAZHJzL2Rvd25yZXYueG1sRI/NasMw&#10;EITvhbyD2EJviRyXhNaNHEJpaEhOzc99sba2sbVyJCVR3z4qFHocZuYbZrGMphdXcr61rGA6yUAQ&#10;V1a3XCs4HtbjFxA+IGvsLZOCH/KwLEcPCyy0vfEXXfehFgnCvkAFTQhDIaWvGjLoJ3YgTt63dQZD&#10;kq6W2uEtwU0v8yybS4Mtp4UGB3pvqOr2F5Mo09PZyM/uFU9bt3Mfz/M4i2elnh7j6g1EoBj+w3/t&#10;jVaQ5/D7Jf0AWd4BAAD//wMAUEsBAi0AFAAGAAgAAAAhANvh9svuAAAAhQEAABMAAAAAAAAAAAAA&#10;AAAAAAAAAFtDb250ZW50X1R5cGVzXS54bWxQSwECLQAUAAYACAAAACEAWvQsW78AAAAVAQAACwAA&#10;AAAAAAAAAAAAAAAfAQAAX3JlbHMvLnJlbHNQSwECLQAUAAYACAAAACEAs/Z8LcMAAADbAAAADwAA&#10;AAAAAAAAAAAAAAAHAgAAZHJzL2Rvd25yZXYueG1sUEsFBgAAAAADAAMAtwAAAPcCAAAAAA==&#10;" strokecolor="black [3040]"/>
                <v:shape id="Straight Arrow Connector 24" o:spid="_x0000_s1042" type="#_x0000_t32" style="position:absolute;left:30658;top:4992;width:0;height:22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T1wgAAANsAAAAPAAAAZHJzL2Rvd25yZXYueG1sRI9Bi8Iw&#10;FITvgv8hPMGbpo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ARQkT1wgAAANsAAAAPAAAA&#10;AAAAAAAAAAAAAAcCAABkcnMvZG93bnJldi54bWxQSwUGAAAAAAMAAwC3AAAA9gIAAAAA&#10;" strokecolor="black [3040]">
                  <v:stroke endarrow="block"/>
                </v:shape>
              </v:group>
            </w:pict>
          </mc:Fallback>
        </mc:AlternateContent>
      </w:r>
    </w:p>
    <w:p w14:paraId="5B23DAF0" w14:textId="7E166949" w:rsidR="00860966" w:rsidRPr="00860966" w:rsidRDefault="00860966" w:rsidP="00860966">
      <w:pPr>
        <w:pBdr>
          <w:top w:val="nil"/>
          <w:left w:val="nil"/>
          <w:bottom w:val="nil"/>
          <w:right w:val="nil"/>
          <w:between w:val="nil"/>
        </w:pBdr>
        <w:spacing w:after="240" w:line="240" w:lineRule="auto"/>
        <w:rPr>
          <w:rFonts w:ascii="Times New Roman" w:eastAsia="Times New Roman" w:hAnsi="Times New Roman" w:cs="Times New Roman"/>
          <w:color w:val="000000"/>
          <w:lang w:val="en-US"/>
        </w:rPr>
      </w:pPr>
    </w:p>
    <w:p w14:paraId="0992FD30" w14:textId="3C66555A" w:rsidR="00860966" w:rsidRPr="00860966" w:rsidRDefault="00860966" w:rsidP="00860966">
      <w:pPr>
        <w:pBdr>
          <w:top w:val="nil"/>
          <w:left w:val="nil"/>
          <w:bottom w:val="nil"/>
          <w:right w:val="nil"/>
          <w:between w:val="nil"/>
        </w:pBdr>
        <w:spacing w:after="240" w:line="240" w:lineRule="auto"/>
        <w:rPr>
          <w:rFonts w:ascii="Times New Roman" w:eastAsia="Times New Roman" w:hAnsi="Times New Roman" w:cs="Times New Roman"/>
          <w:color w:val="000000"/>
          <w:lang w:val="en-US"/>
        </w:rPr>
      </w:pPr>
    </w:p>
    <w:p w14:paraId="1EEFF9A2" w14:textId="0E4C54EC" w:rsidR="00860966" w:rsidRPr="00860966" w:rsidRDefault="008F3259" w:rsidP="002B31D2">
      <w:pPr>
        <w:pBdr>
          <w:top w:val="nil"/>
          <w:left w:val="nil"/>
          <w:bottom w:val="nil"/>
          <w:right w:val="nil"/>
          <w:between w:val="nil"/>
        </w:pBd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color w:val="000000"/>
        </w:rPr>
        <w:t xml:space="preserve">Figure 1. </w:t>
      </w:r>
      <w:r w:rsidR="00B03DBD" w:rsidRPr="00B03DBD">
        <w:rPr>
          <w:rFonts w:ascii="Times New Roman" w:eastAsia="Times New Roman" w:hAnsi="Times New Roman" w:cs="Times New Roman"/>
          <w:color w:val="000000"/>
        </w:rPr>
        <w:t>Research methods</w:t>
      </w:r>
    </w:p>
    <w:p w14:paraId="569A649E" w14:textId="1069F966" w:rsidR="00860966" w:rsidRDefault="00860966" w:rsidP="0086096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860966">
        <w:rPr>
          <w:rFonts w:ascii="Times New Roman" w:eastAsia="Times New Roman" w:hAnsi="Times New Roman" w:cs="Times New Roman"/>
          <w:b/>
          <w:color w:val="000000"/>
        </w:rPr>
        <w:t>Results</w:t>
      </w:r>
    </w:p>
    <w:p w14:paraId="4C916D69" w14:textId="0A42E82E" w:rsidR="00860966" w:rsidRPr="008F3259" w:rsidRDefault="00B03DBD" w:rsidP="00073C2A">
      <w:pPr>
        <w:spacing w:after="0"/>
        <w:jc w:val="both"/>
        <w:rPr>
          <w:rFonts w:ascii="Times New Roman" w:eastAsia="Times New Roman" w:hAnsi="Times New Roman" w:cs="Times New Roman"/>
          <w:color w:val="000000"/>
        </w:rPr>
      </w:pPr>
      <w:r w:rsidRPr="00B03DBD">
        <w:rPr>
          <w:rFonts w:ascii="Times New Roman" w:eastAsia="Times New Roman" w:hAnsi="Times New Roman" w:cs="Times New Roman"/>
          <w:color w:val="000000"/>
        </w:rPr>
        <w:t xml:space="preserve">In this study, we found the findings of need. </w:t>
      </w:r>
      <w:r w:rsidR="00073C2A" w:rsidRPr="00073C2A">
        <w:rPr>
          <w:rFonts w:ascii="Times New Roman" w:eastAsia="Times New Roman" w:hAnsi="Times New Roman" w:cs="Times New Roman"/>
          <w:color w:val="000000"/>
        </w:rPr>
        <w:t>The process for identifying this component is carried out by distributing questionnaires and interviews.</w:t>
      </w:r>
      <w:r w:rsidR="00073C2A">
        <w:rPr>
          <w:rFonts w:ascii="Times New Roman" w:eastAsia="Times New Roman" w:hAnsi="Times New Roman" w:cs="Times New Roman"/>
          <w:color w:val="000000"/>
        </w:rPr>
        <w:t xml:space="preserve"> </w:t>
      </w:r>
      <w:r w:rsidRPr="00B03DBD">
        <w:rPr>
          <w:rFonts w:ascii="Times New Roman" w:eastAsia="Times New Roman" w:hAnsi="Times New Roman" w:cs="Times New Roman"/>
          <w:color w:val="000000"/>
        </w:rPr>
        <w:t>These components include easily accessible, ongoing information, use to use, technology-based, intelligence systems, and educational interactions. The percentage levels of each component are shown in Figure 2.</w:t>
      </w:r>
    </w:p>
    <w:p w14:paraId="7D13D66A" w14:textId="66052BE5" w:rsidR="004B72B8" w:rsidRDefault="004B72B8" w:rsidP="004B7C3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noProof/>
          <w:lang w:val="id-ID" w:eastAsia="id-ID"/>
        </w:rPr>
        <w:drawing>
          <wp:inline distT="0" distB="0" distL="0" distR="0" wp14:anchorId="2685B07D" wp14:editId="5C454FCA">
            <wp:extent cx="4714875" cy="1371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92E6123" w14:textId="40556710" w:rsidR="004B72B8" w:rsidRDefault="004B7C39" w:rsidP="00A90795">
      <w:pPr>
        <w:pStyle w:val="Paragraph"/>
        <w:spacing w:after="240"/>
        <w:jc w:val="center"/>
        <w:rPr>
          <w:color w:val="000000"/>
          <w:lang w:val="en-GB"/>
        </w:rPr>
      </w:pPr>
      <w:r>
        <w:rPr>
          <w:b/>
          <w:color w:val="000000"/>
          <w:sz w:val="22"/>
          <w:szCs w:val="22"/>
        </w:rPr>
        <w:t xml:space="preserve">Figure 1. </w:t>
      </w:r>
      <w:r w:rsidR="00B03DBD" w:rsidRPr="00B03DBD">
        <w:rPr>
          <w:color w:val="000000"/>
          <w:lang w:val="en-GB"/>
        </w:rPr>
        <w:t>Learning Media Components in the Education 4.0 Era</w:t>
      </w:r>
    </w:p>
    <w:p w14:paraId="0088AE91" w14:textId="6836F6C5" w:rsidR="004B72B8" w:rsidRPr="00490279" w:rsidRDefault="00B03DBD" w:rsidP="00B03DBD">
      <w:pPr>
        <w:spacing w:after="0"/>
        <w:jc w:val="both"/>
        <w:rPr>
          <w:rFonts w:ascii="Times New Roman" w:eastAsia="Times New Roman" w:hAnsi="Times New Roman" w:cs="Times New Roman"/>
          <w:color w:val="000000"/>
        </w:rPr>
      </w:pPr>
      <w:r w:rsidRPr="00B03DBD">
        <w:rPr>
          <w:rFonts w:ascii="Times New Roman" w:eastAsia="Times New Roman" w:hAnsi="Times New Roman" w:cs="Times New Roman"/>
          <w:color w:val="000000"/>
        </w:rPr>
        <w:t>In Figure 2</w:t>
      </w:r>
      <w:r w:rsidR="00096CC0">
        <w:rPr>
          <w:rFonts w:ascii="Times New Roman" w:eastAsia="Times New Roman" w:hAnsi="Times New Roman" w:cs="Times New Roman"/>
          <w:color w:val="000000"/>
        </w:rPr>
        <w:t xml:space="preserve"> </w:t>
      </w:r>
      <w:r w:rsidRPr="00B03DBD">
        <w:rPr>
          <w:rFonts w:ascii="Times New Roman" w:eastAsia="Times New Roman" w:hAnsi="Times New Roman" w:cs="Times New Roman"/>
          <w:color w:val="000000"/>
        </w:rPr>
        <w:t xml:space="preserve">shown that there are six components of the need for learning media in the education era 4.0. The percentage of each of these components is easily accessible (86.5%), ongoing information (79.7%), easy to use (82%), technology-based (92.4%), intelligence systems (88.2%), and educational </w:t>
      </w:r>
      <w:r w:rsidRPr="00B03DBD">
        <w:rPr>
          <w:rFonts w:ascii="Times New Roman" w:eastAsia="Times New Roman" w:hAnsi="Times New Roman" w:cs="Times New Roman"/>
          <w:color w:val="000000"/>
        </w:rPr>
        <w:lastRenderedPageBreak/>
        <w:t>interactions (91.2%). Furthermore, the validation results from vocational and science education material experts are shown in Table 1.</w:t>
      </w:r>
    </w:p>
    <w:p w14:paraId="37D7A78B" w14:textId="2D0E7EC0" w:rsidR="004B72B8" w:rsidRPr="00EB74E3" w:rsidRDefault="00490279" w:rsidP="00B03DBD">
      <w:pPr>
        <w:spacing w:after="0"/>
        <w:jc w:val="center"/>
        <w:rPr>
          <w:b/>
          <w:color w:val="000000"/>
          <w:szCs w:val="24"/>
        </w:rPr>
      </w:pPr>
      <w:r>
        <w:rPr>
          <w:rFonts w:ascii="Times New Roman" w:eastAsia="Times New Roman" w:hAnsi="Times New Roman" w:cs="Times New Roman"/>
          <w:b/>
          <w:color w:val="000000"/>
        </w:rPr>
        <w:t>Table 1.</w:t>
      </w:r>
      <w:r>
        <w:rPr>
          <w:rFonts w:ascii="Times New Roman" w:eastAsia="Times New Roman" w:hAnsi="Times New Roman" w:cs="Times New Roman"/>
          <w:color w:val="000000"/>
        </w:rPr>
        <w:t xml:space="preserve"> </w:t>
      </w:r>
      <w:r w:rsidR="00B03DBD" w:rsidRPr="00B03DBD">
        <w:rPr>
          <w:rFonts w:ascii="Times New Roman" w:eastAsia="Times New Roman" w:hAnsi="Times New Roman" w:cs="Times New Roman"/>
          <w:color w:val="000000"/>
        </w:rPr>
        <w:t>The results of expert validation on vocational and science education materials</w:t>
      </w:r>
      <w:r>
        <w:rPr>
          <w:rFonts w:ascii="Times New Roman" w:eastAsia="Times New Roman" w:hAnsi="Times New Roman" w:cs="Times New Roman"/>
          <w:color w:val="000000"/>
        </w:rPr>
        <w:t>.</w:t>
      </w:r>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4929"/>
        <w:gridCol w:w="1272"/>
        <w:gridCol w:w="766"/>
      </w:tblGrid>
      <w:tr w:rsidR="004B72B8" w:rsidRPr="00A90795" w14:paraId="7B916FA8" w14:textId="77777777" w:rsidTr="00A25D82">
        <w:trPr>
          <w:trHeight w:val="20"/>
          <w:jc w:val="center"/>
        </w:trPr>
        <w:tc>
          <w:tcPr>
            <w:tcW w:w="0" w:type="auto"/>
            <w:tcBorders>
              <w:top w:val="single" w:sz="4" w:space="0" w:color="auto"/>
              <w:bottom w:val="single" w:sz="4" w:space="0" w:color="auto"/>
            </w:tcBorders>
            <w:shd w:val="clear" w:color="auto" w:fill="auto"/>
          </w:tcPr>
          <w:p w14:paraId="67434032" w14:textId="77777777" w:rsidR="004B72B8" w:rsidRPr="00A90795" w:rsidRDefault="004B72B8" w:rsidP="00A25D82">
            <w:pPr>
              <w:pStyle w:val="BodyChar"/>
              <w:jc w:val="center"/>
              <w:rPr>
                <w:rFonts w:ascii="Times New Roman" w:hAnsi="Times New Roman"/>
                <w:b/>
                <w:sz w:val="20"/>
                <w:szCs w:val="20"/>
              </w:rPr>
            </w:pPr>
            <w:r w:rsidRPr="00A90795">
              <w:rPr>
                <w:rFonts w:ascii="Times New Roman" w:hAnsi="Times New Roman"/>
                <w:b/>
                <w:sz w:val="20"/>
                <w:szCs w:val="20"/>
              </w:rPr>
              <w:t>No</w:t>
            </w:r>
          </w:p>
        </w:tc>
        <w:tc>
          <w:tcPr>
            <w:tcW w:w="4929" w:type="dxa"/>
            <w:tcBorders>
              <w:top w:val="single" w:sz="4" w:space="0" w:color="auto"/>
              <w:bottom w:val="single" w:sz="4" w:space="0" w:color="auto"/>
            </w:tcBorders>
            <w:shd w:val="clear" w:color="auto" w:fill="auto"/>
          </w:tcPr>
          <w:p w14:paraId="1A02A545" w14:textId="487CB987" w:rsidR="004B72B8" w:rsidRPr="00A90795" w:rsidRDefault="00B03DBD" w:rsidP="00A25D82">
            <w:pPr>
              <w:pStyle w:val="BodyChar"/>
              <w:jc w:val="center"/>
              <w:rPr>
                <w:rFonts w:ascii="Times New Roman" w:hAnsi="Times New Roman"/>
                <w:b/>
                <w:sz w:val="20"/>
                <w:szCs w:val="20"/>
              </w:rPr>
            </w:pPr>
            <w:r w:rsidRPr="00B03DBD">
              <w:rPr>
                <w:rFonts w:ascii="Times New Roman" w:hAnsi="Times New Roman"/>
                <w:b/>
                <w:sz w:val="20"/>
                <w:szCs w:val="20"/>
              </w:rPr>
              <w:t>Indicator Items</w:t>
            </w:r>
          </w:p>
        </w:tc>
        <w:tc>
          <w:tcPr>
            <w:tcW w:w="1272" w:type="dxa"/>
            <w:tcBorders>
              <w:top w:val="single" w:sz="4" w:space="0" w:color="auto"/>
              <w:bottom w:val="single" w:sz="4" w:space="0" w:color="auto"/>
            </w:tcBorders>
            <w:shd w:val="clear" w:color="auto" w:fill="auto"/>
          </w:tcPr>
          <w:p w14:paraId="728AF924" w14:textId="5A8BC0D2" w:rsidR="004B72B8" w:rsidRPr="00A90795" w:rsidRDefault="00B03DBD" w:rsidP="00B03DBD">
            <w:pPr>
              <w:pStyle w:val="BodyChar"/>
              <w:jc w:val="center"/>
              <w:rPr>
                <w:rFonts w:ascii="Times New Roman" w:hAnsi="Times New Roman"/>
                <w:b/>
                <w:sz w:val="20"/>
                <w:szCs w:val="20"/>
              </w:rPr>
            </w:pPr>
            <w:r w:rsidRPr="00B03DBD">
              <w:rPr>
                <w:rFonts w:ascii="Times New Roman" w:hAnsi="Times New Roman"/>
                <w:b/>
                <w:sz w:val="20"/>
                <w:szCs w:val="20"/>
              </w:rPr>
              <w:t>Score</w:t>
            </w:r>
          </w:p>
        </w:tc>
        <w:tc>
          <w:tcPr>
            <w:tcW w:w="0" w:type="auto"/>
            <w:tcBorders>
              <w:top w:val="single" w:sz="4" w:space="0" w:color="auto"/>
              <w:bottom w:val="single" w:sz="4" w:space="0" w:color="auto"/>
            </w:tcBorders>
            <w:shd w:val="clear" w:color="auto" w:fill="auto"/>
          </w:tcPr>
          <w:p w14:paraId="5884D94E" w14:textId="77777777" w:rsidR="004B72B8" w:rsidRPr="00A90795" w:rsidRDefault="004B72B8" w:rsidP="00A25D82">
            <w:pPr>
              <w:pStyle w:val="BodyChar"/>
              <w:jc w:val="center"/>
              <w:rPr>
                <w:rFonts w:ascii="Times New Roman" w:hAnsi="Times New Roman"/>
                <w:b/>
                <w:sz w:val="20"/>
                <w:szCs w:val="20"/>
              </w:rPr>
            </w:pPr>
            <w:r w:rsidRPr="00A90795">
              <w:rPr>
                <w:rFonts w:ascii="Times New Roman" w:hAnsi="Times New Roman"/>
                <w:b/>
                <w:sz w:val="20"/>
                <w:szCs w:val="20"/>
              </w:rPr>
              <w:t>%</w:t>
            </w:r>
          </w:p>
        </w:tc>
      </w:tr>
      <w:tr w:rsidR="00B03DBD" w:rsidRPr="00A90795" w14:paraId="60E63D7C" w14:textId="77777777" w:rsidTr="00A25D82">
        <w:trPr>
          <w:trHeight w:val="20"/>
          <w:jc w:val="center"/>
        </w:trPr>
        <w:tc>
          <w:tcPr>
            <w:tcW w:w="0" w:type="auto"/>
            <w:tcBorders>
              <w:top w:val="single" w:sz="4" w:space="0" w:color="auto"/>
            </w:tcBorders>
            <w:shd w:val="clear" w:color="auto" w:fill="auto"/>
          </w:tcPr>
          <w:p w14:paraId="15757692"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w:t>
            </w:r>
          </w:p>
        </w:tc>
        <w:tc>
          <w:tcPr>
            <w:tcW w:w="4929" w:type="dxa"/>
            <w:tcBorders>
              <w:top w:val="single" w:sz="4" w:space="0" w:color="auto"/>
            </w:tcBorders>
            <w:shd w:val="clear" w:color="auto" w:fill="auto"/>
          </w:tcPr>
          <w:p w14:paraId="5652804D" w14:textId="712B007C" w:rsidR="00B03DBD" w:rsidRPr="00A90795" w:rsidRDefault="00B03DBD" w:rsidP="00B03DBD">
            <w:pPr>
              <w:pStyle w:val="BodyChar"/>
              <w:jc w:val="left"/>
              <w:rPr>
                <w:rFonts w:ascii="Times New Roman" w:hAnsi="Times New Roman"/>
                <w:bCs/>
                <w:sz w:val="20"/>
                <w:szCs w:val="20"/>
              </w:rPr>
            </w:pPr>
            <w:r w:rsidRPr="000F5288">
              <w:t>Linkage with target competencies</w:t>
            </w:r>
          </w:p>
        </w:tc>
        <w:tc>
          <w:tcPr>
            <w:tcW w:w="1272" w:type="dxa"/>
            <w:tcBorders>
              <w:top w:val="single" w:sz="4" w:space="0" w:color="auto"/>
            </w:tcBorders>
            <w:shd w:val="clear" w:color="auto" w:fill="auto"/>
            <w:vAlign w:val="center"/>
          </w:tcPr>
          <w:p w14:paraId="3610EBD4"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4.00</w:t>
            </w:r>
          </w:p>
        </w:tc>
        <w:tc>
          <w:tcPr>
            <w:tcW w:w="0" w:type="auto"/>
            <w:tcBorders>
              <w:top w:val="single" w:sz="4" w:space="0" w:color="auto"/>
            </w:tcBorders>
            <w:shd w:val="clear" w:color="auto" w:fill="auto"/>
            <w:vAlign w:val="center"/>
          </w:tcPr>
          <w:p w14:paraId="42340666"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100.00</w:t>
            </w:r>
          </w:p>
        </w:tc>
      </w:tr>
      <w:tr w:rsidR="00B03DBD" w:rsidRPr="00A90795" w14:paraId="73BA2805" w14:textId="77777777" w:rsidTr="00A25D82">
        <w:trPr>
          <w:trHeight w:val="20"/>
          <w:jc w:val="center"/>
        </w:trPr>
        <w:tc>
          <w:tcPr>
            <w:tcW w:w="0" w:type="auto"/>
            <w:shd w:val="clear" w:color="auto" w:fill="auto"/>
          </w:tcPr>
          <w:p w14:paraId="7BD1B45B"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2</w:t>
            </w:r>
          </w:p>
        </w:tc>
        <w:tc>
          <w:tcPr>
            <w:tcW w:w="4929" w:type="dxa"/>
            <w:shd w:val="clear" w:color="auto" w:fill="auto"/>
          </w:tcPr>
          <w:p w14:paraId="3700FFFE" w14:textId="3EFD8F2C" w:rsidR="00B03DBD" w:rsidRPr="00A90795" w:rsidRDefault="00B03DBD" w:rsidP="00B03DBD">
            <w:pPr>
              <w:pStyle w:val="BodyChar"/>
              <w:jc w:val="left"/>
              <w:rPr>
                <w:rFonts w:ascii="Times New Roman" w:hAnsi="Times New Roman"/>
                <w:bCs/>
                <w:sz w:val="20"/>
                <w:szCs w:val="20"/>
              </w:rPr>
            </w:pPr>
            <w:r w:rsidRPr="000F5288">
              <w:t>Presentation material relief</w:t>
            </w:r>
          </w:p>
        </w:tc>
        <w:tc>
          <w:tcPr>
            <w:tcW w:w="1272" w:type="dxa"/>
            <w:shd w:val="clear" w:color="auto" w:fill="auto"/>
            <w:vAlign w:val="center"/>
          </w:tcPr>
          <w:p w14:paraId="3C6993B5"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3.80</w:t>
            </w:r>
          </w:p>
        </w:tc>
        <w:tc>
          <w:tcPr>
            <w:tcW w:w="0" w:type="auto"/>
            <w:shd w:val="clear" w:color="auto" w:fill="auto"/>
            <w:vAlign w:val="center"/>
          </w:tcPr>
          <w:p w14:paraId="395457D4"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95.00</w:t>
            </w:r>
          </w:p>
        </w:tc>
      </w:tr>
      <w:tr w:rsidR="00B03DBD" w:rsidRPr="00A90795" w14:paraId="62082517" w14:textId="77777777" w:rsidTr="00A25D82">
        <w:trPr>
          <w:trHeight w:val="20"/>
          <w:jc w:val="center"/>
        </w:trPr>
        <w:tc>
          <w:tcPr>
            <w:tcW w:w="0" w:type="auto"/>
            <w:shd w:val="clear" w:color="auto" w:fill="auto"/>
          </w:tcPr>
          <w:p w14:paraId="479E3703"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3</w:t>
            </w:r>
          </w:p>
        </w:tc>
        <w:tc>
          <w:tcPr>
            <w:tcW w:w="4929" w:type="dxa"/>
            <w:shd w:val="clear" w:color="auto" w:fill="auto"/>
          </w:tcPr>
          <w:p w14:paraId="1BB136D9" w14:textId="299A07A2" w:rsidR="00B03DBD" w:rsidRPr="00A90795" w:rsidRDefault="00B03DBD" w:rsidP="00B03DBD">
            <w:pPr>
              <w:pStyle w:val="BodyChar"/>
              <w:jc w:val="left"/>
              <w:rPr>
                <w:rFonts w:ascii="Times New Roman" w:hAnsi="Times New Roman"/>
                <w:bCs/>
                <w:sz w:val="20"/>
                <w:szCs w:val="20"/>
              </w:rPr>
            </w:pPr>
            <w:r w:rsidRPr="000F5288">
              <w:t>The question component encourages active thinking</w:t>
            </w:r>
          </w:p>
        </w:tc>
        <w:tc>
          <w:tcPr>
            <w:tcW w:w="1272" w:type="dxa"/>
            <w:shd w:val="clear" w:color="auto" w:fill="auto"/>
            <w:vAlign w:val="center"/>
          </w:tcPr>
          <w:p w14:paraId="7891E49E"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4.00</w:t>
            </w:r>
          </w:p>
        </w:tc>
        <w:tc>
          <w:tcPr>
            <w:tcW w:w="0" w:type="auto"/>
            <w:shd w:val="clear" w:color="auto" w:fill="auto"/>
            <w:vAlign w:val="center"/>
          </w:tcPr>
          <w:p w14:paraId="0FFC6DAC"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100.00</w:t>
            </w:r>
          </w:p>
        </w:tc>
      </w:tr>
      <w:tr w:rsidR="00B03DBD" w:rsidRPr="00A90795" w14:paraId="44EAB3DE" w14:textId="77777777" w:rsidTr="00A25D82">
        <w:trPr>
          <w:trHeight w:val="20"/>
          <w:jc w:val="center"/>
        </w:trPr>
        <w:tc>
          <w:tcPr>
            <w:tcW w:w="0" w:type="auto"/>
            <w:shd w:val="clear" w:color="auto" w:fill="auto"/>
          </w:tcPr>
          <w:p w14:paraId="6D83D9BD"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w:t>
            </w:r>
          </w:p>
        </w:tc>
        <w:tc>
          <w:tcPr>
            <w:tcW w:w="4929" w:type="dxa"/>
            <w:shd w:val="clear" w:color="auto" w:fill="auto"/>
          </w:tcPr>
          <w:p w14:paraId="7645278F" w14:textId="108D845F" w:rsidR="00B03DBD" w:rsidRPr="00A90795" w:rsidRDefault="00B03DBD" w:rsidP="00B03DBD">
            <w:pPr>
              <w:pStyle w:val="BodyChar"/>
              <w:jc w:val="left"/>
              <w:rPr>
                <w:rFonts w:ascii="Times New Roman" w:hAnsi="Times New Roman"/>
                <w:bCs/>
                <w:sz w:val="20"/>
                <w:szCs w:val="20"/>
              </w:rPr>
            </w:pPr>
            <w:r w:rsidRPr="000F5288">
              <w:t>The relationship of each material to the content</w:t>
            </w:r>
          </w:p>
        </w:tc>
        <w:tc>
          <w:tcPr>
            <w:tcW w:w="1272" w:type="dxa"/>
            <w:shd w:val="clear" w:color="auto" w:fill="auto"/>
            <w:vAlign w:val="center"/>
          </w:tcPr>
          <w:p w14:paraId="560B9B8C"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3.50</w:t>
            </w:r>
          </w:p>
        </w:tc>
        <w:tc>
          <w:tcPr>
            <w:tcW w:w="0" w:type="auto"/>
            <w:shd w:val="clear" w:color="auto" w:fill="auto"/>
            <w:vAlign w:val="center"/>
          </w:tcPr>
          <w:p w14:paraId="165B3AC7"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87.50</w:t>
            </w:r>
          </w:p>
        </w:tc>
      </w:tr>
      <w:tr w:rsidR="00B03DBD" w:rsidRPr="00A90795" w14:paraId="2CB1244D" w14:textId="77777777" w:rsidTr="00A25D82">
        <w:trPr>
          <w:trHeight w:val="20"/>
          <w:jc w:val="center"/>
        </w:trPr>
        <w:tc>
          <w:tcPr>
            <w:tcW w:w="0" w:type="auto"/>
            <w:shd w:val="clear" w:color="auto" w:fill="auto"/>
          </w:tcPr>
          <w:p w14:paraId="7B0321BD"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5</w:t>
            </w:r>
          </w:p>
        </w:tc>
        <w:tc>
          <w:tcPr>
            <w:tcW w:w="4929" w:type="dxa"/>
            <w:shd w:val="clear" w:color="auto" w:fill="auto"/>
          </w:tcPr>
          <w:p w14:paraId="4232448C" w14:textId="6742E6E2" w:rsidR="00B03DBD" w:rsidRPr="00A90795" w:rsidRDefault="00B03DBD" w:rsidP="00B03DBD">
            <w:pPr>
              <w:pStyle w:val="BodyChar"/>
              <w:jc w:val="left"/>
              <w:rPr>
                <w:rFonts w:ascii="Times New Roman" w:hAnsi="Times New Roman"/>
                <w:bCs/>
                <w:sz w:val="20"/>
                <w:szCs w:val="20"/>
              </w:rPr>
            </w:pPr>
            <w:r w:rsidRPr="000F5288">
              <w:t>The strength of the material stimulates the user</w:t>
            </w:r>
          </w:p>
        </w:tc>
        <w:tc>
          <w:tcPr>
            <w:tcW w:w="1272" w:type="dxa"/>
            <w:shd w:val="clear" w:color="auto" w:fill="auto"/>
            <w:vAlign w:val="center"/>
          </w:tcPr>
          <w:p w14:paraId="1D7C967D"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4.00</w:t>
            </w:r>
          </w:p>
        </w:tc>
        <w:tc>
          <w:tcPr>
            <w:tcW w:w="0" w:type="auto"/>
            <w:shd w:val="clear" w:color="auto" w:fill="auto"/>
            <w:vAlign w:val="center"/>
          </w:tcPr>
          <w:p w14:paraId="4FA5F4E7" w14:textId="77777777" w:rsidR="00B03DBD" w:rsidRPr="00A90795" w:rsidRDefault="00B03DBD" w:rsidP="00B03DBD">
            <w:pPr>
              <w:pStyle w:val="BodyChar"/>
              <w:jc w:val="center"/>
              <w:rPr>
                <w:rFonts w:ascii="Times New Roman" w:hAnsi="Times New Roman"/>
                <w:bCs/>
                <w:sz w:val="20"/>
                <w:szCs w:val="20"/>
              </w:rPr>
            </w:pPr>
            <w:r w:rsidRPr="00A90795">
              <w:rPr>
                <w:rFonts w:ascii="Times New Roman" w:hAnsi="Times New Roman"/>
                <w:bCs/>
                <w:sz w:val="20"/>
                <w:szCs w:val="20"/>
              </w:rPr>
              <w:t>100.00</w:t>
            </w:r>
          </w:p>
        </w:tc>
      </w:tr>
    </w:tbl>
    <w:p w14:paraId="04340D82" w14:textId="3199FE03" w:rsidR="004B72B8" w:rsidRPr="00EB74E3" w:rsidRDefault="005E54A2" w:rsidP="007E23AA">
      <w:pPr>
        <w:spacing w:before="240" w:after="0"/>
        <w:jc w:val="both"/>
        <w:rPr>
          <w:szCs w:val="24"/>
        </w:rPr>
      </w:pPr>
      <w:r w:rsidRPr="005E54A2">
        <w:rPr>
          <w:rFonts w:ascii="Times New Roman" w:eastAsia="Times New Roman" w:hAnsi="Times New Roman" w:cs="Times New Roman"/>
          <w:color w:val="000000"/>
        </w:rPr>
        <w:t>Table 1 explain five main indicator items used by material expert validators to analyze the products being developed. Table 2 shows the results of the media expert validation.</w:t>
      </w:r>
    </w:p>
    <w:p w14:paraId="5BF6EE25" w14:textId="4FB6C204" w:rsidR="004B72B8" w:rsidRPr="00EB74E3" w:rsidRDefault="00490279" w:rsidP="00490279">
      <w:pPr>
        <w:spacing w:after="0"/>
        <w:jc w:val="center"/>
        <w:rPr>
          <w:color w:val="000000"/>
          <w:szCs w:val="24"/>
        </w:rPr>
      </w:pPr>
      <w:r>
        <w:rPr>
          <w:rFonts w:ascii="Times New Roman" w:eastAsia="Times New Roman" w:hAnsi="Times New Roman" w:cs="Times New Roman"/>
          <w:b/>
          <w:color w:val="000000"/>
        </w:rPr>
        <w:t xml:space="preserve">Table </w:t>
      </w:r>
      <w:r w:rsidR="007172F5">
        <w:rPr>
          <w:rFonts w:ascii="Times New Roman" w:eastAsia="Times New Roman" w:hAnsi="Times New Roman" w:cs="Times New Roman"/>
          <w:b/>
          <w:color w:val="000000"/>
        </w:rPr>
        <w:t>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7E23AA" w:rsidRPr="007E23AA">
        <w:rPr>
          <w:rFonts w:ascii="Times New Roman" w:eastAsia="Times New Roman" w:hAnsi="Times New Roman" w:cs="Times New Roman"/>
          <w:color w:val="000000"/>
        </w:rPr>
        <w:t>The results of expert validation of learning software.</w:t>
      </w:r>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5003"/>
        <w:gridCol w:w="1278"/>
        <w:gridCol w:w="766"/>
      </w:tblGrid>
      <w:tr w:rsidR="007E23AA" w:rsidRPr="00A90795" w14:paraId="55CB2099" w14:textId="77777777" w:rsidTr="00A25D82">
        <w:trPr>
          <w:trHeight w:val="20"/>
          <w:jc w:val="center"/>
        </w:trPr>
        <w:tc>
          <w:tcPr>
            <w:tcW w:w="0" w:type="auto"/>
            <w:tcBorders>
              <w:top w:val="single" w:sz="4" w:space="0" w:color="auto"/>
              <w:bottom w:val="single" w:sz="4" w:space="0" w:color="auto"/>
            </w:tcBorders>
            <w:shd w:val="clear" w:color="auto" w:fill="auto"/>
          </w:tcPr>
          <w:p w14:paraId="2B1AEAF1" w14:textId="77777777" w:rsidR="007E23AA" w:rsidRPr="00A90795" w:rsidRDefault="007E23AA" w:rsidP="007E23AA">
            <w:pPr>
              <w:pStyle w:val="BodyChar"/>
              <w:jc w:val="center"/>
              <w:rPr>
                <w:rFonts w:ascii="Times New Roman" w:hAnsi="Times New Roman"/>
                <w:b/>
                <w:sz w:val="20"/>
                <w:szCs w:val="20"/>
              </w:rPr>
            </w:pPr>
            <w:r w:rsidRPr="00A90795">
              <w:rPr>
                <w:rFonts w:ascii="Times New Roman" w:hAnsi="Times New Roman"/>
                <w:b/>
                <w:sz w:val="20"/>
                <w:szCs w:val="20"/>
              </w:rPr>
              <w:t>No</w:t>
            </w:r>
          </w:p>
        </w:tc>
        <w:tc>
          <w:tcPr>
            <w:tcW w:w="5003" w:type="dxa"/>
            <w:tcBorders>
              <w:top w:val="single" w:sz="4" w:space="0" w:color="auto"/>
              <w:bottom w:val="single" w:sz="4" w:space="0" w:color="auto"/>
            </w:tcBorders>
            <w:shd w:val="clear" w:color="auto" w:fill="auto"/>
          </w:tcPr>
          <w:p w14:paraId="42B3EFCD" w14:textId="4F1357C8" w:rsidR="007E23AA" w:rsidRPr="00A90795" w:rsidRDefault="007E23AA" w:rsidP="007E23AA">
            <w:pPr>
              <w:pStyle w:val="BodyChar"/>
              <w:jc w:val="center"/>
              <w:rPr>
                <w:rFonts w:ascii="Times New Roman" w:hAnsi="Times New Roman"/>
                <w:b/>
                <w:sz w:val="20"/>
                <w:szCs w:val="20"/>
              </w:rPr>
            </w:pPr>
            <w:r w:rsidRPr="00B03DBD">
              <w:rPr>
                <w:rFonts w:ascii="Times New Roman" w:hAnsi="Times New Roman"/>
                <w:b/>
                <w:sz w:val="20"/>
                <w:szCs w:val="20"/>
              </w:rPr>
              <w:t>Indicator Items</w:t>
            </w:r>
          </w:p>
        </w:tc>
        <w:tc>
          <w:tcPr>
            <w:tcW w:w="1278" w:type="dxa"/>
            <w:tcBorders>
              <w:top w:val="single" w:sz="4" w:space="0" w:color="auto"/>
              <w:bottom w:val="single" w:sz="4" w:space="0" w:color="auto"/>
            </w:tcBorders>
            <w:shd w:val="clear" w:color="auto" w:fill="auto"/>
          </w:tcPr>
          <w:p w14:paraId="0C03538F" w14:textId="1BFF4A68" w:rsidR="007E23AA" w:rsidRPr="00A90795" w:rsidRDefault="007E23AA" w:rsidP="007E23AA">
            <w:pPr>
              <w:pStyle w:val="BodyChar"/>
              <w:jc w:val="center"/>
              <w:rPr>
                <w:rFonts w:ascii="Times New Roman" w:hAnsi="Times New Roman"/>
                <w:b/>
                <w:sz w:val="20"/>
                <w:szCs w:val="20"/>
              </w:rPr>
            </w:pPr>
            <w:r w:rsidRPr="00B03DBD">
              <w:rPr>
                <w:rFonts w:ascii="Times New Roman" w:hAnsi="Times New Roman"/>
                <w:b/>
                <w:sz w:val="20"/>
                <w:szCs w:val="20"/>
              </w:rPr>
              <w:t>Score</w:t>
            </w:r>
          </w:p>
        </w:tc>
        <w:tc>
          <w:tcPr>
            <w:tcW w:w="0" w:type="auto"/>
            <w:tcBorders>
              <w:top w:val="single" w:sz="4" w:space="0" w:color="auto"/>
              <w:bottom w:val="single" w:sz="4" w:space="0" w:color="auto"/>
            </w:tcBorders>
            <w:shd w:val="clear" w:color="auto" w:fill="auto"/>
          </w:tcPr>
          <w:p w14:paraId="76A93E62" w14:textId="77777777" w:rsidR="007E23AA" w:rsidRPr="00A90795" w:rsidRDefault="007E23AA" w:rsidP="007E23AA">
            <w:pPr>
              <w:pStyle w:val="BodyChar"/>
              <w:jc w:val="center"/>
              <w:rPr>
                <w:rFonts w:ascii="Times New Roman" w:hAnsi="Times New Roman"/>
                <w:b/>
                <w:sz w:val="20"/>
                <w:szCs w:val="20"/>
              </w:rPr>
            </w:pPr>
            <w:r w:rsidRPr="00A90795">
              <w:rPr>
                <w:rFonts w:ascii="Times New Roman" w:hAnsi="Times New Roman"/>
                <w:b/>
                <w:sz w:val="20"/>
                <w:szCs w:val="20"/>
              </w:rPr>
              <w:t>%</w:t>
            </w:r>
          </w:p>
        </w:tc>
      </w:tr>
      <w:tr w:rsidR="007E23AA" w:rsidRPr="00A90795" w14:paraId="3987C9D8" w14:textId="77777777" w:rsidTr="00A25D82">
        <w:trPr>
          <w:trHeight w:val="20"/>
          <w:jc w:val="center"/>
        </w:trPr>
        <w:tc>
          <w:tcPr>
            <w:tcW w:w="0" w:type="auto"/>
            <w:tcBorders>
              <w:top w:val="single" w:sz="4" w:space="0" w:color="auto"/>
            </w:tcBorders>
            <w:shd w:val="clear" w:color="auto" w:fill="auto"/>
          </w:tcPr>
          <w:p w14:paraId="6CAE761B"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1</w:t>
            </w:r>
          </w:p>
        </w:tc>
        <w:tc>
          <w:tcPr>
            <w:tcW w:w="5003" w:type="dxa"/>
            <w:tcBorders>
              <w:top w:val="single" w:sz="4" w:space="0" w:color="auto"/>
            </w:tcBorders>
            <w:shd w:val="clear" w:color="auto" w:fill="auto"/>
          </w:tcPr>
          <w:p w14:paraId="7BF5D28E" w14:textId="213FC1D6" w:rsidR="007E23AA" w:rsidRPr="00A90795" w:rsidRDefault="007E23AA" w:rsidP="007E23AA">
            <w:pPr>
              <w:pStyle w:val="BodyChar"/>
              <w:rPr>
                <w:rFonts w:ascii="Times New Roman" w:hAnsi="Times New Roman"/>
                <w:bCs/>
                <w:sz w:val="20"/>
                <w:szCs w:val="20"/>
              </w:rPr>
            </w:pPr>
            <w:r w:rsidRPr="001F6B1C">
              <w:t>Application layout and design</w:t>
            </w:r>
          </w:p>
        </w:tc>
        <w:tc>
          <w:tcPr>
            <w:tcW w:w="1278" w:type="dxa"/>
            <w:tcBorders>
              <w:top w:val="single" w:sz="4" w:space="0" w:color="auto"/>
            </w:tcBorders>
            <w:shd w:val="clear" w:color="auto" w:fill="auto"/>
            <w:vAlign w:val="center"/>
          </w:tcPr>
          <w:p w14:paraId="209B8F65"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4.00</w:t>
            </w:r>
          </w:p>
        </w:tc>
        <w:tc>
          <w:tcPr>
            <w:tcW w:w="0" w:type="auto"/>
            <w:tcBorders>
              <w:top w:val="single" w:sz="4" w:space="0" w:color="auto"/>
            </w:tcBorders>
            <w:shd w:val="clear" w:color="auto" w:fill="auto"/>
            <w:vAlign w:val="center"/>
          </w:tcPr>
          <w:p w14:paraId="0AD8C846"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100.00</w:t>
            </w:r>
          </w:p>
        </w:tc>
      </w:tr>
      <w:tr w:rsidR="007E23AA" w:rsidRPr="00A90795" w14:paraId="60CF9B97" w14:textId="77777777" w:rsidTr="00A25D82">
        <w:trPr>
          <w:trHeight w:val="20"/>
          <w:jc w:val="center"/>
        </w:trPr>
        <w:tc>
          <w:tcPr>
            <w:tcW w:w="0" w:type="auto"/>
            <w:shd w:val="clear" w:color="auto" w:fill="auto"/>
          </w:tcPr>
          <w:p w14:paraId="295747F3"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2</w:t>
            </w:r>
          </w:p>
        </w:tc>
        <w:tc>
          <w:tcPr>
            <w:tcW w:w="5003" w:type="dxa"/>
            <w:shd w:val="clear" w:color="auto" w:fill="auto"/>
          </w:tcPr>
          <w:p w14:paraId="146FFF03" w14:textId="4EA047CB" w:rsidR="007E23AA" w:rsidRPr="00A90795" w:rsidRDefault="007E23AA" w:rsidP="007E23AA">
            <w:pPr>
              <w:pStyle w:val="BodyChar"/>
              <w:rPr>
                <w:rFonts w:ascii="Times New Roman" w:hAnsi="Times New Roman"/>
                <w:bCs/>
                <w:sz w:val="20"/>
                <w:szCs w:val="20"/>
              </w:rPr>
            </w:pPr>
            <w:r w:rsidRPr="001F6B1C">
              <w:t>Application updates</w:t>
            </w:r>
          </w:p>
        </w:tc>
        <w:tc>
          <w:tcPr>
            <w:tcW w:w="1278" w:type="dxa"/>
            <w:shd w:val="clear" w:color="auto" w:fill="auto"/>
            <w:vAlign w:val="center"/>
          </w:tcPr>
          <w:p w14:paraId="2796BF61"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3.50</w:t>
            </w:r>
          </w:p>
        </w:tc>
        <w:tc>
          <w:tcPr>
            <w:tcW w:w="0" w:type="auto"/>
            <w:shd w:val="clear" w:color="auto" w:fill="auto"/>
            <w:vAlign w:val="center"/>
          </w:tcPr>
          <w:p w14:paraId="5D38A2EF"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87.50</w:t>
            </w:r>
          </w:p>
        </w:tc>
      </w:tr>
      <w:tr w:rsidR="007E23AA" w:rsidRPr="00A90795" w14:paraId="42AE97C2" w14:textId="77777777" w:rsidTr="00A25D82">
        <w:trPr>
          <w:trHeight w:val="20"/>
          <w:jc w:val="center"/>
        </w:trPr>
        <w:tc>
          <w:tcPr>
            <w:tcW w:w="0" w:type="auto"/>
            <w:shd w:val="clear" w:color="auto" w:fill="auto"/>
          </w:tcPr>
          <w:p w14:paraId="1790D7DC"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w:t>
            </w:r>
          </w:p>
        </w:tc>
        <w:tc>
          <w:tcPr>
            <w:tcW w:w="5003" w:type="dxa"/>
            <w:shd w:val="clear" w:color="auto" w:fill="auto"/>
          </w:tcPr>
          <w:p w14:paraId="2AB5CAE5" w14:textId="72B1D5C0" w:rsidR="007E23AA" w:rsidRPr="00A90795" w:rsidRDefault="007E23AA" w:rsidP="007E23AA">
            <w:pPr>
              <w:pStyle w:val="BodyChar"/>
              <w:rPr>
                <w:rFonts w:ascii="Times New Roman" w:hAnsi="Times New Roman"/>
                <w:bCs/>
                <w:sz w:val="20"/>
                <w:szCs w:val="20"/>
              </w:rPr>
            </w:pPr>
            <w:r w:rsidRPr="001F6B1C">
              <w:t>Presentation of presentation information</w:t>
            </w:r>
          </w:p>
        </w:tc>
        <w:tc>
          <w:tcPr>
            <w:tcW w:w="1278" w:type="dxa"/>
            <w:shd w:val="clear" w:color="auto" w:fill="auto"/>
            <w:vAlign w:val="center"/>
          </w:tcPr>
          <w:p w14:paraId="1B3580F8"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3.33</w:t>
            </w:r>
          </w:p>
        </w:tc>
        <w:tc>
          <w:tcPr>
            <w:tcW w:w="0" w:type="auto"/>
            <w:shd w:val="clear" w:color="auto" w:fill="auto"/>
            <w:vAlign w:val="center"/>
          </w:tcPr>
          <w:p w14:paraId="6EA17266"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83.33</w:t>
            </w:r>
          </w:p>
        </w:tc>
      </w:tr>
      <w:tr w:rsidR="007E23AA" w:rsidRPr="00A90795" w14:paraId="32FE7672" w14:textId="77777777" w:rsidTr="00A25D82">
        <w:trPr>
          <w:trHeight w:val="20"/>
          <w:jc w:val="center"/>
        </w:trPr>
        <w:tc>
          <w:tcPr>
            <w:tcW w:w="0" w:type="auto"/>
            <w:shd w:val="clear" w:color="auto" w:fill="auto"/>
          </w:tcPr>
          <w:p w14:paraId="3F00CC1D"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4</w:t>
            </w:r>
          </w:p>
        </w:tc>
        <w:tc>
          <w:tcPr>
            <w:tcW w:w="5003" w:type="dxa"/>
            <w:shd w:val="clear" w:color="auto" w:fill="auto"/>
          </w:tcPr>
          <w:p w14:paraId="1CA337D3" w14:textId="6FFBAAB2" w:rsidR="007E23AA" w:rsidRPr="00A90795" w:rsidRDefault="007E23AA" w:rsidP="007E23AA">
            <w:pPr>
              <w:pStyle w:val="BodyChar"/>
              <w:rPr>
                <w:rFonts w:ascii="Times New Roman" w:hAnsi="Times New Roman"/>
                <w:bCs/>
                <w:sz w:val="20"/>
                <w:szCs w:val="20"/>
              </w:rPr>
            </w:pPr>
            <w:r w:rsidRPr="001F6B1C">
              <w:t>Ease of operation by the user</w:t>
            </w:r>
          </w:p>
        </w:tc>
        <w:tc>
          <w:tcPr>
            <w:tcW w:w="1278" w:type="dxa"/>
            <w:shd w:val="clear" w:color="auto" w:fill="auto"/>
            <w:vAlign w:val="center"/>
          </w:tcPr>
          <w:p w14:paraId="3CA15179"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3.50</w:t>
            </w:r>
          </w:p>
        </w:tc>
        <w:tc>
          <w:tcPr>
            <w:tcW w:w="0" w:type="auto"/>
            <w:shd w:val="clear" w:color="auto" w:fill="auto"/>
            <w:vAlign w:val="center"/>
          </w:tcPr>
          <w:p w14:paraId="13BF752A"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87.50</w:t>
            </w:r>
          </w:p>
        </w:tc>
      </w:tr>
      <w:tr w:rsidR="007E23AA" w:rsidRPr="00A90795" w14:paraId="7505DDA6" w14:textId="77777777" w:rsidTr="00A25D82">
        <w:trPr>
          <w:trHeight w:val="20"/>
          <w:jc w:val="center"/>
        </w:trPr>
        <w:tc>
          <w:tcPr>
            <w:tcW w:w="0" w:type="auto"/>
            <w:shd w:val="clear" w:color="auto" w:fill="auto"/>
          </w:tcPr>
          <w:p w14:paraId="6712B101"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5</w:t>
            </w:r>
          </w:p>
        </w:tc>
        <w:tc>
          <w:tcPr>
            <w:tcW w:w="5003" w:type="dxa"/>
            <w:shd w:val="clear" w:color="auto" w:fill="auto"/>
          </w:tcPr>
          <w:p w14:paraId="531D590A" w14:textId="6806D153" w:rsidR="007E23AA" w:rsidRPr="00A90795" w:rsidRDefault="007E23AA" w:rsidP="007E23AA">
            <w:pPr>
              <w:pStyle w:val="BodyChar"/>
              <w:rPr>
                <w:rFonts w:ascii="Times New Roman" w:hAnsi="Times New Roman"/>
                <w:bCs/>
                <w:sz w:val="20"/>
                <w:szCs w:val="20"/>
              </w:rPr>
            </w:pPr>
            <w:r w:rsidRPr="001F6B1C">
              <w:t>Content and content attractiveness</w:t>
            </w:r>
          </w:p>
        </w:tc>
        <w:tc>
          <w:tcPr>
            <w:tcW w:w="1278" w:type="dxa"/>
            <w:shd w:val="clear" w:color="auto" w:fill="auto"/>
            <w:vAlign w:val="center"/>
          </w:tcPr>
          <w:p w14:paraId="27EDC121"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4.00</w:t>
            </w:r>
          </w:p>
        </w:tc>
        <w:tc>
          <w:tcPr>
            <w:tcW w:w="0" w:type="auto"/>
            <w:shd w:val="clear" w:color="auto" w:fill="auto"/>
            <w:vAlign w:val="center"/>
          </w:tcPr>
          <w:p w14:paraId="6716E96D" w14:textId="77777777" w:rsidR="007E23AA" w:rsidRPr="00A90795" w:rsidRDefault="007E23AA" w:rsidP="007E23AA">
            <w:pPr>
              <w:pStyle w:val="BodyChar"/>
              <w:rPr>
                <w:rFonts w:ascii="Times New Roman" w:hAnsi="Times New Roman"/>
                <w:bCs/>
                <w:sz w:val="20"/>
                <w:szCs w:val="20"/>
              </w:rPr>
            </w:pPr>
            <w:r w:rsidRPr="00A90795">
              <w:rPr>
                <w:rFonts w:ascii="Times New Roman" w:hAnsi="Times New Roman"/>
                <w:bCs/>
                <w:sz w:val="20"/>
                <w:szCs w:val="20"/>
              </w:rPr>
              <w:t>100.00</w:t>
            </w:r>
          </w:p>
        </w:tc>
      </w:tr>
    </w:tbl>
    <w:p w14:paraId="14651433" w14:textId="77777777" w:rsidR="00490279" w:rsidRDefault="00490279" w:rsidP="00490279">
      <w:pPr>
        <w:spacing w:after="0"/>
        <w:jc w:val="both"/>
        <w:rPr>
          <w:rFonts w:ascii="Times New Roman" w:eastAsia="Times New Roman" w:hAnsi="Times New Roman" w:cs="Times New Roman"/>
          <w:color w:val="000000"/>
        </w:rPr>
      </w:pPr>
    </w:p>
    <w:p w14:paraId="7D152E73" w14:textId="1484F353" w:rsidR="004B72B8" w:rsidRPr="00490279" w:rsidRDefault="007E23AA" w:rsidP="007E23AA">
      <w:pPr>
        <w:spacing w:after="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Based on Table 2, it can be interpreted that there are five main components of expert validation of learning software experts. If examined more deeply, of the five indicators tested, there are two indicators that get a maximum score of 4.00 (100%). The results of the analysis of student</w:t>
      </w:r>
      <w:r w:rsidR="00096CC0">
        <w:rPr>
          <w:rFonts w:ascii="Times New Roman" w:eastAsia="Times New Roman" w:hAnsi="Times New Roman" w:cs="Times New Roman"/>
          <w:color w:val="000000"/>
        </w:rPr>
        <w:t>'</w:t>
      </w:r>
      <w:r w:rsidRPr="007E23AA">
        <w:rPr>
          <w:rFonts w:ascii="Times New Roman" w:eastAsia="Times New Roman" w:hAnsi="Times New Roman" w:cs="Times New Roman"/>
          <w:color w:val="000000"/>
        </w:rPr>
        <w:t>s initial abilities are shown in Table 3.</w:t>
      </w:r>
    </w:p>
    <w:p w14:paraId="0A98C048" w14:textId="5673E236" w:rsidR="004B72B8" w:rsidRPr="007172F5" w:rsidRDefault="007172F5" w:rsidP="007172F5">
      <w:pPr>
        <w:spacing w:after="0"/>
        <w:jc w:val="center"/>
        <w:rPr>
          <w:color w:val="000000"/>
          <w:szCs w:val="24"/>
        </w:rPr>
      </w:pPr>
      <w:r>
        <w:rPr>
          <w:rFonts w:ascii="Times New Roman" w:eastAsia="Times New Roman" w:hAnsi="Times New Roman" w:cs="Times New Roman"/>
          <w:b/>
          <w:color w:val="000000"/>
        </w:rPr>
        <w:t>Table 3.</w:t>
      </w:r>
      <w:r>
        <w:rPr>
          <w:rFonts w:ascii="Times New Roman" w:eastAsia="Times New Roman" w:hAnsi="Times New Roman" w:cs="Times New Roman"/>
          <w:color w:val="000000"/>
        </w:rPr>
        <w:t xml:space="preserve"> </w:t>
      </w:r>
      <w:r w:rsidR="007E23AA" w:rsidRPr="007E23AA">
        <w:rPr>
          <w:rFonts w:ascii="Times New Roman" w:eastAsia="Times New Roman" w:hAnsi="Times New Roman" w:cs="Times New Roman"/>
          <w:color w:val="000000"/>
        </w:rPr>
        <w:t>Results of Data Processing Initial Ability Test Results</w:t>
      </w:r>
      <w:r>
        <w:rPr>
          <w:rFonts w:ascii="Times New Roman" w:eastAsia="Times New Roman" w:hAnsi="Times New Roman" w:cs="Times New Roman"/>
          <w:color w:val="000000"/>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08"/>
        <w:gridCol w:w="1016"/>
        <w:gridCol w:w="1016"/>
        <w:gridCol w:w="1909"/>
        <w:gridCol w:w="2126"/>
      </w:tblGrid>
      <w:tr w:rsidR="004B72B8" w:rsidRPr="00A90795" w14:paraId="47885A69" w14:textId="77777777" w:rsidTr="007172F5">
        <w:trPr>
          <w:jc w:val="center"/>
        </w:trPr>
        <w:tc>
          <w:tcPr>
            <w:tcW w:w="6975" w:type="dxa"/>
            <w:gridSpan w:val="5"/>
            <w:shd w:val="clear" w:color="auto" w:fill="auto"/>
          </w:tcPr>
          <w:p w14:paraId="211541C1"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T-test for Equality of Means</w:t>
            </w:r>
          </w:p>
        </w:tc>
      </w:tr>
      <w:tr w:rsidR="004B72B8" w:rsidRPr="00A90795" w14:paraId="02116078" w14:textId="77777777" w:rsidTr="007172F5">
        <w:trPr>
          <w:jc w:val="center"/>
        </w:trPr>
        <w:tc>
          <w:tcPr>
            <w:tcW w:w="908" w:type="dxa"/>
            <w:shd w:val="clear" w:color="auto" w:fill="auto"/>
          </w:tcPr>
          <w:p w14:paraId="55014B0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T</w:t>
            </w:r>
          </w:p>
        </w:tc>
        <w:tc>
          <w:tcPr>
            <w:tcW w:w="1016" w:type="dxa"/>
            <w:shd w:val="clear" w:color="auto" w:fill="auto"/>
          </w:tcPr>
          <w:p w14:paraId="2DA93AEB"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Df</w:t>
            </w:r>
          </w:p>
        </w:tc>
        <w:tc>
          <w:tcPr>
            <w:tcW w:w="1016" w:type="dxa"/>
            <w:shd w:val="clear" w:color="auto" w:fill="auto"/>
          </w:tcPr>
          <w:p w14:paraId="50461340"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Sig.</w:t>
            </w:r>
          </w:p>
        </w:tc>
        <w:tc>
          <w:tcPr>
            <w:tcW w:w="1909" w:type="dxa"/>
            <w:shd w:val="clear" w:color="auto" w:fill="auto"/>
          </w:tcPr>
          <w:p w14:paraId="2B5D5BD6"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Mean Difference</w:t>
            </w:r>
          </w:p>
        </w:tc>
        <w:tc>
          <w:tcPr>
            <w:tcW w:w="2126" w:type="dxa"/>
            <w:shd w:val="clear" w:color="auto" w:fill="auto"/>
          </w:tcPr>
          <w:p w14:paraId="3798F590"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Std. Error Difference</w:t>
            </w:r>
          </w:p>
        </w:tc>
      </w:tr>
      <w:tr w:rsidR="004B72B8" w:rsidRPr="00A90795" w14:paraId="71328A9B" w14:textId="77777777" w:rsidTr="007172F5">
        <w:trPr>
          <w:jc w:val="center"/>
        </w:trPr>
        <w:tc>
          <w:tcPr>
            <w:tcW w:w="908" w:type="dxa"/>
            <w:shd w:val="clear" w:color="auto" w:fill="auto"/>
          </w:tcPr>
          <w:p w14:paraId="6FAE962F"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-1.11</w:t>
            </w:r>
          </w:p>
          <w:p w14:paraId="17C48AE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-1.11</w:t>
            </w:r>
          </w:p>
        </w:tc>
        <w:tc>
          <w:tcPr>
            <w:tcW w:w="1016" w:type="dxa"/>
            <w:shd w:val="clear" w:color="auto" w:fill="auto"/>
          </w:tcPr>
          <w:p w14:paraId="6A128E9F"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55</w:t>
            </w:r>
          </w:p>
          <w:p w14:paraId="64F65282"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54.4</w:t>
            </w:r>
          </w:p>
        </w:tc>
        <w:tc>
          <w:tcPr>
            <w:tcW w:w="1016" w:type="dxa"/>
            <w:shd w:val="clear" w:color="auto" w:fill="auto"/>
          </w:tcPr>
          <w:p w14:paraId="58C842E1"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.24</w:t>
            </w:r>
          </w:p>
          <w:p w14:paraId="15BAA308"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.24</w:t>
            </w:r>
          </w:p>
        </w:tc>
        <w:tc>
          <w:tcPr>
            <w:tcW w:w="1909" w:type="dxa"/>
            <w:shd w:val="clear" w:color="auto" w:fill="auto"/>
          </w:tcPr>
          <w:p w14:paraId="340D35F6"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-1.84</w:t>
            </w:r>
          </w:p>
          <w:p w14:paraId="79DBDFDA"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-1.84</w:t>
            </w:r>
          </w:p>
        </w:tc>
        <w:tc>
          <w:tcPr>
            <w:tcW w:w="2126" w:type="dxa"/>
            <w:shd w:val="clear" w:color="auto" w:fill="auto"/>
          </w:tcPr>
          <w:p w14:paraId="0327A4F6"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1.66</w:t>
            </w:r>
          </w:p>
          <w:p w14:paraId="22F02119"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1.66</w:t>
            </w:r>
          </w:p>
        </w:tc>
      </w:tr>
    </w:tbl>
    <w:p w14:paraId="1BFE3F09" w14:textId="081799EB" w:rsidR="007172F5" w:rsidRPr="007172F5" w:rsidRDefault="007E23AA" w:rsidP="00A90795">
      <w:pPr>
        <w:spacing w:before="240" w:after="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 xml:space="preserve">Based on Table 3 shows the results of the initial ability test of the two classes before using the mobile </w:t>
      </w:r>
      <w:r w:rsidR="00F73C0C" w:rsidRPr="007E23AA">
        <w:rPr>
          <w:rFonts w:ascii="Times New Roman" w:eastAsia="Times New Roman" w:hAnsi="Times New Roman" w:cs="Times New Roman"/>
          <w:color w:val="000000"/>
        </w:rPr>
        <w:t>web-based</w:t>
      </w:r>
      <w:r w:rsidRPr="007E23AA">
        <w:rPr>
          <w:rFonts w:ascii="Times New Roman" w:eastAsia="Times New Roman" w:hAnsi="Times New Roman" w:cs="Times New Roman"/>
          <w:color w:val="000000"/>
        </w:rPr>
        <w:t xml:space="preserve"> designer learning plan. The summary of these results </w:t>
      </w:r>
      <w:r w:rsidR="005E54A2">
        <w:rPr>
          <w:rFonts w:ascii="Times New Roman" w:eastAsia="Times New Roman" w:hAnsi="Times New Roman" w:cs="Times New Roman"/>
          <w:color w:val="000000"/>
        </w:rPr>
        <w:t>indicates</w:t>
      </w:r>
      <w:r w:rsidRPr="007E23AA">
        <w:rPr>
          <w:rFonts w:ascii="Times New Roman" w:eastAsia="Times New Roman" w:hAnsi="Times New Roman" w:cs="Times New Roman"/>
          <w:color w:val="000000"/>
        </w:rPr>
        <w:t xml:space="preserve"> a significance value of 0.24. This </w:t>
      </w:r>
      <w:r w:rsidR="00AB7ACD">
        <w:rPr>
          <w:rFonts w:ascii="Times New Roman" w:eastAsia="Times New Roman" w:hAnsi="Times New Roman" w:cs="Times New Roman"/>
          <w:color w:val="000000"/>
        </w:rPr>
        <w:t>indicates</w:t>
      </w:r>
      <w:r w:rsidRPr="007E23AA">
        <w:rPr>
          <w:rFonts w:ascii="Times New Roman" w:eastAsia="Times New Roman" w:hAnsi="Times New Roman" w:cs="Times New Roman"/>
          <w:color w:val="000000"/>
        </w:rPr>
        <w:t xml:space="preserve"> that the initial ability of the two classes is not a significant difference. The final ability test results are shown in Table 4.</w:t>
      </w:r>
    </w:p>
    <w:p w14:paraId="7F41F6C3" w14:textId="554F46E3" w:rsidR="004B72B8" w:rsidRPr="007172F5" w:rsidRDefault="007172F5" w:rsidP="007E23AA">
      <w:pPr>
        <w:spacing w:after="0"/>
        <w:jc w:val="center"/>
        <w:rPr>
          <w:color w:val="000000"/>
          <w:szCs w:val="24"/>
        </w:rPr>
      </w:pPr>
      <w:r>
        <w:rPr>
          <w:rFonts w:ascii="Times New Roman" w:eastAsia="Times New Roman" w:hAnsi="Times New Roman" w:cs="Times New Roman"/>
          <w:b/>
          <w:color w:val="000000"/>
        </w:rPr>
        <w:t>Table 3.</w:t>
      </w:r>
      <w:r>
        <w:rPr>
          <w:rFonts w:ascii="Times New Roman" w:eastAsia="Times New Roman" w:hAnsi="Times New Roman" w:cs="Times New Roman"/>
          <w:color w:val="000000"/>
        </w:rPr>
        <w:t xml:space="preserve"> </w:t>
      </w:r>
      <w:r w:rsidR="007E23AA" w:rsidRPr="007E23AA">
        <w:rPr>
          <w:rFonts w:ascii="Times New Roman" w:eastAsia="Times New Roman" w:hAnsi="Times New Roman" w:cs="Times New Roman"/>
          <w:color w:val="000000"/>
        </w:rPr>
        <w:t>Final Ability Results Data Processing</w:t>
      </w:r>
      <w:r w:rsidR="007E23AA">
        <w:rPr>
          <w:rFonts w:ascii="Times New Roman" w:eastAsia="Times New Roman" w:hAnsi="Times New Roman" w:cs="Times New Roman"/>
          <w:color w:val="000000"/>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10"/>
        <w:gridCol w:w="954"/>
        <w:gridCol w:w="883"/>
        <w:gridCol w:w="1957"/>
        <w:gridCol w:w="2767"/>
      </w:tblGrid>
      <w:tr w:rsidR="004B72B8" w:rsidRPr="00A90795" w14:paraId="66E1401E" w14:textId="77777777" w:rsidTr="007172F5">
        <w:trPr>
          <w:jc w:val="center"/>
        </w:trPr>
        <w:tc>
          <w:tcPr>
            <w:tcW w:w="7371" w:type="dxa"/>
            <w:gridSpan w:val="5"/>
            <w:shd w:val="clear" w:color="auto" w:fill="auto"/>
          </w:tcPr>
          <w:p w14:paraId="20A4A1D6"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T-test for Equality of Means</w:t>
            </w:r>
          </w:p>
        </w:tc>
      </w:tr>
      <w:tr w:rsidR="004B72B8" w:rsidRPr="00A90795" w14:paraId="4E72FB64" w14:textId="77777777" w:rsidTr="007172F5">
        <w:trPr>
          <w:jc w:val="center"/>
        </w:trPr>
        <w:tc>
          <w:tcPr>
            <w:tcW w:w="810" w:type="dxa"/>
            <w:shd w:val="clear" w:color="auto" w:fill="auto"/>
          </w:tcPr>
          <w:p w14:paraId="6A65B3A2"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T</w:t>
            </w:r>
          </w:p>
        </w:tc>
        <w:tc>
          <w:tcPr>
            <w:tcW w:w="954" w:type="dxa"/>
            <w:shd w:val="clear" w:color="auto" w:fill="auto"/>
          </w:tcPr>
          <w:p w14:paraId="5AA94DE7"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Df</w:t>
            </w:r>
          </w:p>
        </w:tc>
        <w:tc>
          <w:tcPr>
            <w:tcW w:w="883" w:type="dxa"/>
            <w:shd w:val="clear" w:color="auto" w:fill="auto"/>
          </w:tcPr>
          <w:p w14:paraId="2C1E8105"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Sig.</w:t>
            </w:r>
          </w:p>
        </w:tc>
        <w:tc>
          <w:tcPr>
            <w:tcW w:w="1957" w:type="dxa"/>
            <w:shd w:val="clear" w:color="auto" w:fill="auto"/>
          </w:tcPr>
          <w:p w14:paraId="29485816"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Mean Difference</w:t>
            </w:r>
          </w:p>
        </w:tc>
        <w:tc>
          <w:tcPr>
            <w:tcW w:w="2767" w:type="dxa"/>
            <w:shd w:val="clear" w:color="auto" w:fill="auto"/>
          </w:tcPr>
          <w:p w14:paraId="57681178" w14:textId="77777777" w:rsidR="004B72B8" w:rsidRPr="00A90795" w:rsidRDefault="004B72B8" w:rsidP="007172F5">
            <w:pPr>
              <w:pStyle w:val="BodyChar"/>
              <w:jc w:val="center"/>
              <w:rPr>
                <w:rFonts w:ascii="Times New Roman" w:hAnsi="Times New Roman"/>
                <w:bCs/>
                <w:sz w:val="20"/>
                <w:szCs w:val="20"/>
              </w:rPr>
            </w:pPr>
            <w:r w:rsidRPr="00A90795">
              <w:rPr>
                <w:rFonts w:ascii="Times New Roman" w:hAnsi="Times New Roman"/>
                <w:bCs/>
                <w:sz w:val="20"/>
                <w:szCs w:val="20"/>
              </w:rPr>
              <w:t>Std. Error Difference</w:t>
            </w:r>
          </w:p>
        </w:tc>
      </w:tr>
      <w:tr w:rsidR="004B72B8" w:rsidRPr="00A90795" w14:paraId="00F41E93" w14:textId="77777777" w:rsidTr="007172F5">
        <w:trPr>
          <w:jc w:val="center"/>
        </w:trPr>
        <w:tc>
          <w:tcPr>
            <w:tcW w:w="810" w:type="dxa"/>
            <w:shd w:val="clear" w:color="auto" w:fill="auto"/>
          </w:tcPr>
          <w:p w14:paraId="2C22FA27"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7.63</w:t>
            </w:r>
          </w:p>
          <w:p w14:paraId="54E3874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7.60</w:t>
            </w:r>
          </w:p>
        </w:tc>
        <w:tc>
          <w:tcPr>
            <w:tcW w:w="954" w:type="dxa"/>
            <w:shd w:val="clear" w:color="auto" w:fill="auto"/>
          </w:tcPr>
          <w:p w14:paraId="37CA8CB5"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55</w:t>
            </w:r>
          </w:p>
          <w:p w14:paraId="7084DFA1"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53.17</w:t>
            </w:r>
          </w:p>
        </w:tc>
        <w:tc>
          <w:tcPr>
            <w:tcW w:w="883" w:type="dxa"/>
            <w:shd w:val="clear" w:color="auto" w:fill="auto"/>
          </w:tcPr>
          <w:p w14:paraId="34842890"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.002</w:t>
            </w:r>
          </w:p>
          <w:p w14:paraId="4D14E691"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.002</w:t>
            </w:r>
          </w:p>
        </w:tc>
        <w:tc>
          <w:tcPr>
            <w:tcW w:w="1957" w:type="dxa"/>
            <w:shd w:val="clear" w:color="auto" w:fill="auto"/>
          </w:tcPr>
          <w:p w14:paraId="35DE22BE"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11.77</w:t>
            </w:r>
          </w:p>
          <w:p w14:paraId="25E7933D"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11.77</w:t>
            </w:r>
          </w:p>
        </w:tc>
        <w:tc>
          <w:tcPr>
            <w:tcW w:w="2767" w:type="dxa"/>
            <w:shd w:val="clear" w:color="auto" w:fill="auto"/>
          </w:tcPr>
          <w:p w14:paraId="40085830"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1.58</w:t>
            </w:r>
          </w:p>
          <w:p w14:paraId="1B2BF8CA" w14:textId="77777777" w:rsidR="004B72B8" w:rsidRPr="00A90795" w:rsidRDefault="004B72B8" w:rsidP="007172F5">
            <w:pPr>
              <w:pStyle w:val="BodyChar"/>
              <w:rPr>
                <w:rFonts w:ascii="Times New Roman" w:hAnsi="Times New Roman"/>
                <w:bCs/>
                <w:sz w:val="20"/>
                <w:szCs w:val="20"/>
              </w:rPr>
            </w:pPr>
            <w:r w:rsidRPr="00A90795">
              <w:rPr>
                <w:rFonts w:ascii="Times New Roman" w:hAnsi="Times New Roman"/>
                <w:bCs/>
                <w:sz w:val="20"/>
                <w:szCs w:val="20"/>
              </w:rPr>
              <w:t>1.58</w:t>
            </w:r>
          </w:p>
        </w:tc>
      </w:tr>
    </w:tbl>
    <w:p w14:paraId="6F71ED65" w14:textId="7EEFF048" w:rsidR="004B72B8" w:rsidRDefault="007E23AA" w:rsidP="007E23AA">
      <w:pPr>
        <w:pBdr>
          <w:top w:val="nil"/>
          <w:left w:val="nil"/>
          <w:bottom w:val="nil"/>
          <w:right w:val="nil"/>
          <w:between w:val="nil"/>
        </w:pBdr>
        <w:spacing w:before="240" w:after="24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 xml:space="preserve">Based on Table 4 shows the results of the final ability test for both classes. The summary of these results shows that the significance value is 0.002. This </w:t>
      </w:r>
      <w:r w:rsidR="005E54A2">
        <w:rPr>
          <w:rFonts w:ascii="Times New Roman" w:eastAsia="Times New Roman" w:hAnsi="Times New Roman" w:cs="Times New Roman"/>
          <w:color w:val="000000"/>
        </w:rPr>
        <w:t>indicates</w:t>
      </w:r>
      <w:r w:rsidRPr="007E23AA">
        <w:rPr>
          <w:rFonts w:ascii="Times New Roman" w:eastAsia="Times New Roman" w:hAnsi="Times New Roman" w:cs="Times New Roman"/>
          <w:color w:val="000000"/>
        </w:rPr>
        <w:t xml:space="preserve"> that there is a significant difference between the control class and the experimental class. In the experimental class, learning uses the product developed</w:t>
      </w:r>
      <w:r w:rsidR="00287D50">
        <w:rPr>
          <w:rFonts w:ascii="Times New Roman" w:eastAsia="Times New Roman" w:hAnsi="Times New Roman" w:cs="Times New Roman"/>
          <w:color w:val="000000"/>
        </w:rPr>
        <w:t>.</w:t>
      </w:r>
    </w:p>
    <w:p w14:paraId="55E1EA2C" w14:textId="56E1891A" w:rsidR="005E54A2" w:rsidRDefault="005E54A2" w:rsidP="007E23AA">
      <w:pPr>
        <w:pBdr>
          <w:top w:val="nil"/>
          <w:left w:val="nil"/>
          <w:bottom w:val="nil"/>
          <w:right w:val="nil"/>
          <w:between w:val="nil"/>
        </w:pBdr>
        <w:spacing w:before="240" w:after="240"/>
        <w:jc w:val="both"/>
        <w:rPr>
          <w:rFonts w:ascii="Times New Roman" w:eastAsia="Times New Roman" w:hAnsi="Times New Roman" w:cs="Times New Roman"/>
          <w:color w:val="000000"/>
        </w:rPr>
      </w:pPr>
    </w:p>
    <w:p w14:paraId="25559299" w14:textId="77777777" w:rsidR="005E54A2" w:rsidRPr="007172F5" w:rsidRDefault="005E54A2" w:rsidP="007E23AA">
      <w:pPr>
        <w:pBdr>
          <w:top w:val="nil"/>
          <w:left w:val="nil"/>
          <w:bottom w:val="nil"/>
          <w:right w:val="nil"/>
          <w:between w:val="nil"/>
        </w:pBdr>
        <w:spacing w:before="240" w:after="240"/>
        <w:jc w:val="both"/>
        <w:rPr>
          <w:rFonts w:ascii="Times New Roman" w:eastAsia="Times New Roman" w:hAnsi="Times New Roman" w:cs="Times New Roman"/>
          <w:color w:val="000000"/>
        </w:rPr>
      </w:pPr>
    </w:p>
    <w:p w14:paraId="7F287FF4" w14:textId="4AF67AE9" w:rsidR="004B72B8" w:rsidRPr="00287D50" w:rsidRDefault="004B72B8" w:rsidP="00287D50">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287D50">
        <w:rPr>
          <w:rFonts w:ascii="Times New Roman" w:eastAsia="Times New Roman" w:hAnsi="Times New Roman" w:cs="Times New Roman"/>
          <w:b/>
          <w:color w:val="000000"/>
        </w:rPr>
        <w:lastRenderedPageBreak/>
        <w:t>Di</w:t>
      </w:r>
      <w:r w:rsidR="00096CC0">
        <w:rPr>
          <w:rFonts w:ascii="Times New Roman" w:eastAsia="Times New Roman" w:hAnsi="Times New Roman" w:cs="Times New Roman"/>
          <w:b/>
          <w:color w:val="000000"/>
        </w:rPr>
        <w:t>s</w:t>
      </w:r>
      <w:r w:rsidRPr="00287D50">
        <w:rPr>
          <w:rFonts w:ascii="Times New Roman" w:eastAsia="Times New Roman" w:hAnsi="Times New Roman" w:cs="Times New Roman"/>
          <w:b/>
          <w:color w:val="000000"/>
        </w:rPr>
        <w:t>cussion</w:t>
      </w:r>
    </w:p>
    <w:p w14:paraId="7D512AA6" w14:textId="07DB89C7" w:rsidR="004B72B8" w:rsidRDefault="007E23AA" w:rsidP="007E23AA">
      <w:pPr>
        <w:spacing w:after="240"/>
        <w:jc w:val="both"/>
        <w:rPr>
          <w:rFonts w:ascii="Times New Roman" w:eastAsia="Times New Roman" w:hAnsi="Times New Roman" w:cs="Times New Roman"/>
          <w:color w:val="000000"/>
        </w:rPr>
      </w:pPr>
      <w:r w:rsidRPr="007E23AA">
        <w:rPr>
          <w:rFonts w:ascii="Times New Roman" w:eastAsia="Times New Roman" w:hAnsi="Times New Roman" w:cs="Times New Roman"/>
          <w:color w:val="000000"/>
        </w:rPr>
        <w:t xml:space="preserve">This research resulted in three </w:t>
      </w:r>
      <w:r w:rsidR="005E54A2" w:rsidRPr="005E54A2">
        <w:rPr>
          <w:rFonts w:ascii="Times New Roman" w:eastAsia="Times New Roman" w:hAnsi="Times New Roman" w:cs="Times New Roman"/>
          <w:color w:val="000000"/>
        </w:rPr>
        <w:t>significant</w:t>
      </w:r>
      <w:r w:rsidRPr="007E23AA">
        <w:rPr>
          <w:rFonts w:ascii="Times New Roman" w:eastAsia="Times New Roman" w:hAnsi="Times New Roman" w:cs="Times New Roman"/>
          <w:color w:val="000000"/>
        </w:rPr>
        <w:t xml:space="preserve"> findings. These findings include: (1) the components of learning media in the education 4.0 era; (2) the level of attractiveness of the developed mobile </w:t>
      </w:r>
      <w:r w:rsidR="00F73C0C" w:rsidRPr="007E23AA">
        <w:rPr>
          <w:rFonts w:ascii="Times New Roman" w:eastAsia="Times New Roman" w:hAnsi="Times New Roman" w:cs="Times New Roman"/>
          <w:color w:val="000000"/>
        </w:rPr>
        <w:t>web-based</w:t>
      </w:r>
      <w:r w:rsidRPr="007E23AA">
        <w:rPr>
          <w:rFonts w:ascii="Times New Roman" w:eastAsia="Times New Roman" w:hAnsi="Times New Roman" w:cs="Times New Roman"/>
          <w:color w:val="000000"/>
        </w:rPr>
        <w:t xml:space="preserve"> designer learning plan product; and (3) the effectiveness level of the mobile web</w:t>
      </w:r>
      <w:r w:rsidR="00096CC0">
        <w:rPr>
          <w:rFonts w:ascii="Times New Roman" w:eastAsia="Times New Roman" w:hAnsi="Times New Roman" w:cs="Times New Roman"/>
          <w:color w:val="000000"/>
        </w:rPr>
        <w:t>-</w:t>
      </w:r>
      <w:r w:rsidRPr="007E23AA">
        <w:rPr>
          <w:rFonts w:ascii="Times New Roman" w:eastAsia="Times New Roman" w:hAnsi="Times New Roman" w:cs="Times New Roman"/>
          <w:color w:val="000000"/>
        </w:rPr>
        <w:t>based designer learning plan product</w:t>
      </w:r>
      <w:r w:rsidR="006568EE" w:rsidRPr="00287D50">
        <w:rPr>
          <w:rFonts w:ascii="Times New Roman" w:eastAsia="Times New Roman" w:hAnsi="Times New Roman" w:cs="Times New Roman"/>
          <w:color w:val="000000"/>
        </w:rPr>
        <w:t xml:space="preserve">. </w:t>
      </w:r>
    </w:p>
    <w:p w14:paraId="2DDE0E81" w14:textId="4E2FD706" w:rsidR="004B72B8" w:rsidRPr="00287D50" w:rsidRDefault="004B72B8" w:rsidP="007E23A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287D50">
        <w:rPr>
          <w:rFonts w:ascii="Times New Roman" w:eastAsia="Times New Roman" w:hAnsi="Times New Roman" w:cs="Times New Roman"/>
          <w:i/>
          <w:color w:val="000000"/>
        </w:rPr>
        <w:t>4.1</w:t>
      </w:r>
      <w:r w:rsidRPr="00287D50">
        <w:rPr>
          <w:rFonts w:ascii="Times New Roman" w:eastAsia="Times New Roman" w:hAnsi="Times New Roman" w:cs="Times New Roman"/>
          <w:i/>
          <w:color w:val="000000"/>
        </w:rPr>
        <w:tab/>
      </w:r>
      <w:r w:rsidR="007E23AA" w:rsidRPr="007E23AA">
        <w:rPr>
          <w:rFonts w:ascii="Times New Roman" w:eastAsia="Times New Roman" w:hAnsi="Times New Roman" w:cs="Times New Roman"/>
          <w:i/>
          <w:color w:val="000000"/>
        </w:rPr>
        <w:t>Components of Learning Media Needs in the Education Era 4.0</w:t>
      </w:r>
    </w:p>
    <w:p w14:paraId="3ADF296E" w14:textId="13D51B39" w:rsidR="004B72B8" w:rsidRPr="00287D50" w:rsidRDefault="001E7EE4" w:rsidP="001E7EE4">
      <w:pPr>
        <w:spacing w:after="0"/>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The main indicator for the learning media needs of the Eduction 4.0 era is Easily Accessible. In this component, lecturers in the vocational field should be in charge of making learning media that are easily accessible to students. Experts explain that the quality of learning media in the vocational field at least makes it easy for students in the learning process so that students' insight in the field of vocational education can increase. Student motivation to learn using mobile web-based learning media is determined by the perceived ease of use</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{"citationItems":[{"id":"ITEM-1","itemData":{"author":[{"dropping-particle":"","family":"Elsawy","given":"Adel M","non-dropping-particle":"","parse-names":false,"suffix":""},{"dropping-particle":"","family":"Ahmed","given":"O S","non-dropping-particle":"","parse-names":false,"suffix":""}],"container-title":"International Journal of Current Engineering and Technology","id":"ITEM-1","issue":"1","issued":{"date-parts":[["2019"]]},"page":"49-54","title":"E-Learning using the Blackboard system in Light of the Quality of Education and Cyber security","type":"article-journal","volume":"9"},"uris":["http://www.mendeley.com/documents/?uuid=3c0edbb5-4a4f-412c-a643-62f11a7ad8e0"]},{"id":"ITEM-2","itemData":{"DOI":"10.1088/1757-899X/482/1/012009","author":[{"dropping-particle":"","family":"Burac","given":"M A P","non-dropping-particle":"","parse-names":false,"suffix":""},{"dropping-particle":"","family":"Fernandez","given":"J M","non-dropping-particle":"","parse-names":false,"suffix":""},{"dropping-particle":"","family":"Cruz","given":"M M A","non-dropping-particle":"","parse-names":false,"suffix":""},{"dropping-particle":"Dela","family":"Cruz","given":"J","non-dropping-particle":"","parse-names":false,"suffix":""}],"container-title":"IOP Conf. Series: Materials Science and Engineering","id":"ITEM-2","issued":{"date-parts":[["2019"]]},"title":"Assessing the impact of e-learning system of higher education institution ’ s instructors and students","type":"paper-conference"},"uris":["http://www.mendeley.com/documents/?uuid=05879fb6-c0b0-4a06-936a-605e59dfb593"]}],"mendeley":{"formattedCitation":"[11,12]","plainTextFormattedCitation":"[11,12]","previouslyFormattedCitation":"[11,12]"},"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[11,12]</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r w:rsidR="00A90795">
        <w:rPr>
          <w:rFonts w:ascii="Times New Roman" w:eastAsia="Times New Roman" w:hAnsi="Times New Roman" w:cs="Times New Roman"/>
          <w:color w:val="000000"/>
        </w:rPr>
        <w:t xml:space="preserve"> </w:t>
      </w:r>
      <w:r w:rsidRPr="001E7EE4">
        <w:rPr>
          <w:rFonts w:ascii="Times New Roman" w:eastAsia="Times New Roman" w:hAnsi="Times New Roman" w:cs="Times New Roman"/>
          <w:color w:val="000000"/>
        </w:rPr>
        <w:t>Learning media in the field of vocational education is a means of realizing students into creative and productive humans to play a central role in industrial development. In this concept, it can be said that the learning media in this era should have different characteristics from the learning media in the previous era. In the era of education 4.0, it is a response to the needs of industry 4.0, where humans and technology are aligned</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{"citationItems":[{"id":"ITEM-1","itemData":{"DOI":"10.3390/app9091840","ISSN":"20763417","abstract":"Architectural and civil engineering (ACE) education is inextricably connected to real-world practice. The application of augmented reality (AR) technology can help to establish a link between virtual and real-world information for students. Studies of applying AR in ACE education have increased annually, and numerous research have indicated that AR possesses immense application potential. To address and analyze pertinent research issues, published studies in the Scopus database were explored, and revealed that problems persist and are worthy of attention, such as the selection of system types and devices, the application of research methods, and appropriate learning strategies and teaching methods. Courses with objective grading standards should be given priority in AR experimental courses for a meticulous investigation of AR influence on students’ learning outcomes and ultimately improvement of classroom quality. Suitable types of AR systems should be selected based on course content, prior to the design and development of the system. It is recommended to develop markerless systems for a larger application range to benefit students with additional convenience. Systems can also be accompanied by functions, such as instant online assessments, synchronized assessments, and exchange capabilities to assist learning what has been taught and develop critical thinking abilities. The combination of AR and building information modeling (BIM) in architectural and civil practice, which has immense application potential, has become an emerging research trend. Collaboration between academics and practice should be enhanced with roles and knowledge of instructors, engineers, designers, and computer experts integrated for an optimal connection between general pedagogy and domain-specific learning. Teaching methods that emphasize “locations”, as well as “roles”, can be adopted in order to create a superior reality learning environment with diversified learning methods. The trends and research have become an integration and collaboration issue that should be performed interactively with pedagogical findings, and resources integrated across roles, fields, and university departments.","author":[{"dropping-particle":"","family":"Diao","given":"Pei Huang","non-dropping-particle":"","parse-names":false,"suffix":""},{"dropping-particle":"","family":"Shih","given":"Naai Jung","non-dropping-particle":"","parse-names":false,"suffix":""}],"container-title":"Applied Sciences (Switzerland)","id":"ITEM-1","issue":"9","issued":{"date-parts":[["2019"]]},"page":"1-19","title":"Trends and research issues of augmented reality studies in architectural and civil engineering education-A review of academic journal publications","type":"article-journal","volume":"9"},"uris":["http://www.mendeley.com/documents/?uuid=66457c16-ad83-4873-b069-358f48b6790b"]},{"id":"ITEM-2","itemData":{"DOI":"10.1177/0735633119854028","ISSN":"15414140","abstract":"Augmented Reality (AR) flashcards have emerged as an important educational resource for language learning. However, there is limited research on its application in early childhood education. This article aims to explore the technology’s value in early childhood education by comparing it with traditional paper flashcards. To that end, a study was conducted in which 98 children, aged between 5 and 6 years, and four teachers, all from a Macau kindergarten, took part. One group of children had animal-related vocabulary using AR flashcards, while another group used traditional flashcards. To measure the effectiveness of the two approaches, the children underwent pre- and posttests on their vocabulary and the teachers were interviewed. For the data analysis, paired-sample t tests and independent-sample t tests were utilized, and the level of effect was measured. The results showed that both AR and traditional flashcards could significantly improve children’s vocabulary learning and that there was no significant difference in effectiveness between the AR and traditional flashcard methods. The teachers indicated that the children enjoyed the AR learning activities, but that there were certain challenges associated with using AR flashcards in a kindergarten setting.","author":[{"dropping-particle":"","family":"Chen","given":"Ruo Wei","non-dropping-particle":"","parse-names":false,"suffix":""},{"dropping-particle":"","family":"Chan","given":"Kan Kan","non-dropping-particle":"","parse-names":false,"suffix":""}],"container-title":"Journal of Educational Computing Research","id":"ITEM-2","issue":"7","issued":{"date-parts":[["2019"]]},"page":"1812–1831","title":"Using Augmented Reality Flashcards to Learn Vocabulary in Early Childhood Education","type":"article-journal","volume":"57"},"uris":["http://www.mendeley.com/documents/?uuid=34b0dc67-c9c5-4680-8da6-60d670875a58"]}],"mendeley":{"formattedCitation":"[13,14]","plainTextFormattedCitation":"[13,14]","previouslyFormattedCitation":"[13,14]"},"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[13,14]</w:t>
      </w:r>
      <w:r w:rsidR="00742A46">
        <w:rPr>
          <w:rFonts w:ascii="Times New Roman" w:eastAsia="Times New Roman" w:hAnsi="Times New Roman" w:cs="Times New Roman"/>
          <w:color w:val="000000"/>
        </w:rPr>
        <w:fldChar w:fldCharType="end"/>
      </w:r>
      <w:r w:rsidR="00C151F5" w:rsidRPr="00287D50">
        <w:rPr>
          <w:rFonts w:ascii="Times New Roman" w:eastAsia="Times New Roman" w:hAnsi="Times New Roman" w:cs="Times New Roman"/>
          <w:color w:val="000000"/>
        </w:rPr>
        <w:t>.</w:t>
      </w:r>
    </w:p>
    <w:p w14:paraId="6F1EE181" w14:textId="2D30C3BA" w:rsidR="00287D50" w:rsidRDefault="001E7EE4" w:rsidP="00AB7ACD">
      <w:pPr>
        <w:spacing w:after="0"/>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 xml:space="preserve">Understanding the quality of learning in the field of vocational education is in line with the availability of learning media that suits your needs. This is important to prepare students for the industrial revolution 4.0 era with the education 4.0 era. The development of learning in the education era 4.0 in the vocational field must be balanced with the application of innovative learning media in accordance with the design of the learning implementation plan. </w:t>
      </w:r>
      <w:r w:rsidR="00AB7ACD" w:rsidRPr="00AB7ACD">
        <w:rPr>
          <w:rFonts w:ascii="Times New Roman" w:eastAsia="Times New Roman" w:hAnsi="Times New Roman" w:cs="Times New Roman"/>
          <w:color w:val="000000"/>
        </w:rPr>
        <w:t>Experts explain that the learning process in the vocational field will be efficient if the learning environment is made similar to field conditions. The field conditions referred to are the replica conditions of the industrial environment in which they will work. Students currently compete in the world of technology so that educational technology must be continuously updated</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{"citationItems":[{"id":"ITEM-1","itemData":{"DOI":"10.1088/1757-899X/482/1/012009","author":[{"dropping-particle":"","family":"Burac","given":"M A P","non-dropping-particle":"","parse-names":false,"suffix":""},{"dropping-particle":"","family":"Fernandez","given":"J M","non-dropping-particle":"","parse-names":false,"suffix":""},{"dropping-particle":"","family":"Cruz","given":"M M A","non-dropping-particle":"","parse-names":false,"suffix":""},{"dropping-particle":"Dela","family":"Cruz","given":"J","non-dropping-particle":"","parse-names":false,"suffix":""}],"container-title":"IOP Conf. Series: Materials Science and Engineering","id":"ITEM-1","issued":{"date-parts":[["2019"]]},"title":"Assessing the impact of e-learning system of higher education institution ’ s instructors and students","type":"paper-conference"},"uris":["http://www.mendeley.com/documents/?uuid=05879fb6-c0b0-4a06-936a-605e59dfb593"]},{"id":"ITEM-2","itemData":{"author":[{"dropping-particle":"","family":"Yeop","given":"Mohd Azli","non-dropping-particle":"","parse-names":false,"suffix":""},{"dropping-particle":"","family":"Yaakob","given":"Mohd Faiz Mohd","non-dropping-particle":"","parse-names":false,"suffix":""},{"dropping-particle":"","family":"Wong","given":"Kung Teck","non-dropping-particle":"","parse-names":false,"suffix":""},{"dropping-particle":"","family":"Don","given":"Yahya","non-dropping-particle":"","parse-names":false,"suffix":""},{"dropping-particle":"","family":"Zain","given":"Farah Mohamad","non-dropping-particle":"","parse-names":false,"suffix":""}],"container-title":"International Journal of Instruction","id":"ITEM-2","issue":"1","issued":{"date-parts":[["2019"]]},"page":"767-782","title":"Implementation of ICT Policy ( Blended Learning Approach ): Investigating factors of Behavioural Intention and Use Behaviour","type":"article-journal","volume":"12"},"uris":["http://www.mendeley.com/documents/?uuid=ec0c437f-316a-4a17-bc10-d84d25707862"]}],"mendeley":{"formattedCitation":"[12,15]","plainTextFormattedCitation":"[12,15]","previouslyFormattedCitation":"[12,15]"},"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[12,15]</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p>
    <w:p w14:paraId="2608741D" w14:textId="40D0EEE8" w:rsidR="004B72B8" w:rsidRPr="00287D50" w:rsidRDefault="001E7EE4" w:rsidP="001E7EE4">
      <w:pPr>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 xml:space="preserve">Fulfilling the quality of learning media in the vocational field should fulfill the principle of delivering continuous information (ongoing information). The availability of continuous access to information is an important indicator of the need for learning media in the education era 4.0 in the vocational field. Learning media innovation focuses on the ease of use (easy to use) by students. This will have an impact on the ability of students to understand </w:t>
      </w:r>
      <w:r w:rsidR="00096CC0">
        <w:rPr>
          <w:rFonts w:ascii="Times New Roman" w:eastAsia="Times New Roman" w:hAnsi="Times New Roman" w:cs="Times New Roman"/>
          <w:color w:val="000000"/>
        </w:rPr>
        <w:t xml:space="preserve">the </w:t>
      </w:r>
      <w:r w:rsidRPr="001E7EE4">
        <w:rPr>
          <w:rFonts w:ascii="Times New Roman" w:eastAsia="Times New Roman" w:hAnsi="Times New Roman" w:cs="Times New Roman"/>
          <w:color w:val="000000"/>
        </w:rPr>
        <w:t>material in relation to the competencies learned. The achievement of the desired competencies will be effective if the availability of learning media is in line with students' understanding abilities with competency demands</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{"citationItems":[{"id":"ITEM-1","itemData":{"DOI":"10.1088/1757-899X/482/1/012009","author":[{"dropping-particle":"","family":"Burac","given":"M A P","non-dropping-particle":"","parse-names":false,"suffix":""},{"dropping-particle":"","family":"Fernandez","given":"J M","non-dropping-particle":"","parse-names":false,"suffix":""},{"dropping-particle":"","family":"Cruz","given":"M M A","non-dropping-particle":"","parse-names":false,"suffix":""},{"dropping-particle":"Dela","family":"Cruz","given":"J","non-dropping-particle":"","parse-names":false,"suffix":""}],"container-title":"IOP Conf. Series: Materials Science and Engineering","id":"ITEM-1","issued":{"date-parts":[["2019"]]},"title":"Assessing the impact of e-learning system of higher education institution ’ s instructors and students","type":"paper-conference"},"uris":["http://www.mendeley.com/documents/?uuid=05879fb6-c0b0-4a06-936a-605e59dfb593"]},{"id":"ITEM-2","itemData":{"DOI":"10.1088/1757-899X/482/1/012008","author":[{"dropping-particle":"","family":"Daniels","given":"MM","non-dropping-particle":"","parse-names":false,"suffix":""},{"dropping-particle":"","family":"Sarte","given":"E","non-dropping-particle":"","parse-names":false,"suffix":""},{"dropping-particle":"Dela","family":"Cruz","given":"J","non-dropping-particle":"","parse-names":false,"suffix":""}],"container-title":"IOP Conf. Series: Materials Science and Engineering","id":"ITEM-2","issued":{"date-parts":[["2019"]]},"page":"1-7","title":"Students ’ perception on e-learning : a basis for the development of e- learning framework in higher education institutions","type":"article-journal","volume":"482"},"uris":["http://www.mendeley.com/documents/?uuid=ef459d47-d1a2-4888-91e5-bf85f87d3c9f"]}],"mendeley":{"formattedCitation":"[12,16]","plainTextFormattedCitation":"[12,16]","previouslyFormattedCitation":"[12,16]"},"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[12,16]</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 xml:space="preserve">. </w:t>
      </w:r>
      <w:r w:rsidRPr="001E7EE4">
        <w:rPr>
          <w:rFonts w:ascii="Times New Roman" w:eastAsia="Times New Roman" w:hAnsi="Times New Roman" w:cs="Times New Roman"/>
          <w:color w:val="000000"/>
        </w:rPr>
        <w:t>The principle that must be considered in using visual media in learning is to emphasize aspects of simplicity, clarity, and ease of reading.</w:t>
      </w:r>
    </w:p>
    <w:p w14:paraId="2D5B4B37" w14:textId="4D5AABD3" w:rsidR="004B72B8" w:rsidRPr="00287D50" w:rsidRDefault="004B72B8" w:rsidP="00287D5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287D50">
        <w:rPr>
          <w:rFonts w:ascii="Times New Roman" w:eastAsia="Times New Roman" w:hAnsi="Times New Roman" w:cs="Times New Roman"/>
          <w:i/>
          <w:color w:val="000000"/>
        </w:rPr>
        <w:t>4.2</w:t>
      </w:r>
      <w:r w:rsidRPr="00287D50">
        <w:rPr>
          <w:rFonts w:ascii="Times New Roman" w:eastAsia="Times New Roman" w:hAnsi="Times New Roman" w:cs="Times New Roman"/>
          <w:i/>
          <w:color w:val="000000"/>
        </w:rPr>
        <w:tab/>
      </w:r>
      <w:r w:rsidR="001E7EE4" w:rsidRPr="001E7EE4">
        <w:rPr>
          <w:rFonts w:ascii="Times New Roman" w:eastAsia="Times New Roman" w:hAnsi="Times New Roman" w:cs="Times New Roman"/>
          <w:i/>
          <w:color w:val="000000"/>
        </w:rPr>
        <w:t>The attractiveness of Learning Plan Designer Based Mobile Web</w:t>
      </w:r>
    </w:p>
    <w:p w14:paraId="5796ED07" w14:textId="77777777" w:rsidR="001E7EE4" w:rsidRPr="001E7EE4"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The product developed is a learning media in the form of a mobile web-based learning plan designer. The material content and media content of this product are designed in accordance with the mapping of the components of the learning media needs in the education era 4.0. Based on the results of the validation of the vocational and science education material experts, the mean score of the material developed has high validity. This shows that the material innovation in the Learning Plan Designer Based Mobile Web product is quite good. In testing by learning software experts, the average score of the product being developed has a high level of attractiveness.</w:t>
      </w:r>
    </w:p>
    <w:p w14:paraId="45F5A599" w14:textId="2FCC414F" w:rsidR="00A90795"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lastRenderedPageBreak/>
        <w:t>Testing the attractiveness of the developed mobile web-based learning plan designer products have fulfilled the role and function of mobile web development demands as a quality learning medium. Learning Plan Designer Based Mobile Web can be translated as an innovative way of learning interaction using technology that makes it easier for learning and learners. Mobile web learning is a learning strategy using mobile technology to introduce and enable learning. The use of mobile web supports learning objectives in various fields without exception in the vocational field because it fulfills an effective and communicative learning system between learners and learners</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{"citationItems":[{"id":"ITEM-1","itemData":{"DOI":"10.1088/1757-899X/483/1/012003","author":[{"dropping-particle":"V","family":"Smirnova","given":"Zh","non-dropping-particle":"","parse-names":false,"suffix":""},{"dropping-particle":"","family":"Vaganova","given":"O I","non-dropping-particle":"","parse-names":false,"suffix":""},{"dropping-particle":"","family":"Loshkareva","given":"D A","non-dropping-particle":"","parse-names":false,"suffix":""},{"dropping-particle":"","family":"A","given":"Konyaeva E","non-dropping-particle":"","parse-names":false,"suffix":""},{"dropping-particle":"","family":"Gladkova","given":"M N","non-dropping-particle":"","parse-names":false,"suffix":""}],"container-title":"IOP Conf. Series: Materials Science and Engineering","id":"ITEM-1","issued":{"date-parts":[["2019"]]},"page":"1-5","title":"Practice-oriented approach implementation in vocational education","type":"paper-conference"},"uris":["http://www.mendeley.com/documents/?uuid=9b1c1a6f-dbef-40e3-b7c5-37837555b7f6"]},{"id":"ITEM-2","itemData":{"author":[{"dropping-particle":"","family":"Haris","given":"Andi","non-dropping-particle":"","parse-names":false,"suffix":""},{"dropping-particle":"","family":"Barliana","given":"Mokhamad Syaom","non-dropping-particle":"","parse-names":false,"suffix":""},{"dropping-particle":"","family":"Saripudin","given":"Didin","non-dropping-particle":"","parse-names":false,"suffix":""},{"dropping-particle":"","family":"Abdullah","given":"Ade Gaffar","non-dropping-particle":"","parse-names":false,"suffix":""}],"container-title":"5th UPI International Conference on Technical and Vocational Education and Training (ICTVET 2018) Effectiveness","id":"ITEM-2","issued":{"date-parts":[["2019"]]},"page":"179-182","title":"Effectiveness of Entrepreneurship Communication Skills in Business Group: Ethno-Andragogy Approach to Technical Vocational Education and Training","type":"paper-conference","volume":"299"},"uris":["http://www.mendeley.com/documents/?uuid=f8ef0390-aa16-48d8-bc05-3f42a7bedcb9"]}],"mendeley":{"formattedCitation":"[17,18]","plainTextFormattedCitation":"[17,18]","previouslyFormattedCitation":"[17,18]"},"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[17,18]</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 xml:space="preserve">. </w:t>
      </w:r>
    </w:p>
    <w:p w14:paraId="7C8D4757" w14:textId="4D973C44" w:rsidR="004B72B8" w:rsidRPr="00287D50" w:rsidRDefault="001E7EE4" w:rsidP="00A90795">
      <w:pPr>
        <w:tabs>
          <w:tab w:val="left" w:pos="0"/>
        </w:tabs>
        <w:spacing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Testing by material experts, the overall score is above 75%. This is in accordance with the principle of developing learning media that the quality of the material being developed is the main benchmark for developing the quality of the learning media being developed. The quality of the material in e-learning has a central role in improving student understanding. The material that has been developed is practically used in learning. The mobile web-based designer learning plan is the most innovative learning media in accordance with the education 4.0 era. These components are more easily synchronized with the learning media. Learning plan designer based on mobile web is actually the form of technology</w:t>
      </w:r>
      <w:r w:rsidR="00096CC0">
        <w:rPr>
          <w:rFonts w:ascii="Times New Roman" w:eastAsia="Times New Roman" w:hAnsi="Times New Roman" w:cs="Times New Roman"/>
          <w:color w:val="000000"/>
        </w:rPr>
        <w:t>-</w:t>
      </w:r>
      <w:r w:rsidRPr="001E7EE4">
        <w:rPr>
          <w:rFonts w:ascii="Times New Roman" w:eastAsia="Times New Roman" w:hAnsi="Times New Roman" w:cs="Times New Roman"/>
          <w:color w:val="000000"/>
        </w:rPr>
        <w:t xml:space="preserve">integrated learning media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{"citationItems":[{"id":"ITEM-1","itemData":{"DOI":"10.1073/pnas.1807201115","author":[{"dropping-particle":"","family":"Skorton","given":"David","non-dropping-particle":"","parse-names":false,"suffix":""}],"container-title":"PNAS Direct Submission","id":"ITEM-1","issue":"6","issued":{"date-parts":[["2019"]]},"page":"1865-1869","title":"Branches from the same tree : The case for integration in higher education","type":"article-journal","volume":"116"},"uris":["http://www.mendeley.com/documents/?uuid=c04b6d34-a53e-45c1-b4b9-ad461e2fc8b3"]},{"id":"ITEM-2","itemData":{"DOI":"10.1177/1745499919829214","author":[{"dropping-particle":"","family":"Kim","given":"Sharon","non-dropping-particle":"","parse-names":false,"suffix":""},{"dropping-particle":"","family":"Raza","given":"Mahjabeen","non-dropping-particle":"","parse-names":false,"suffix":""},{"dropping-particle":"","family":"Seidman","given":"Edward","non-dropping-particle":"","parse-names":false,"suffix":""}],"container-title":"Research in Comparative &amp; International Education","id":"ITEM-2","issue":"1","issued":{"date-parts":[["2019"]]},"page":"99 –117","title":"Improving 21st-century teaching skills : The key to effective 21st- century learners","type":"article-journal","volume":"14"},"uris":["http://www.mendeley.com/documents/?uuid=c0fe5c29-6539-49bc-a853-8a23541bc3ef"]}],"mendeley":{"formattedCitation":"[3,19]","plainTextFormattedCitation":"[3,19]","previouslyFormattedCitation":"[3,19]"},"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[3,19]</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p>
    <w:p w14:paraId="52F6C11A" w14:textId="3A8AD4EF" w:rsidR="004B72B8" w:rsidRPr="00287D50" w:rsidRDefault="004B72B8" w:rsidP="001E7EE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287D50">
        <w:rPr>
          <w:rFonts w:ascii="Times New Roman" w:eastAsia="Times New Roman" w:hAnsi="Times New Roman" w:cs="Times New Roman"/>
          <w:i/>
          <w:color w:val="000000"/>
        </w:rPr>
        <w:t>4.2</w:t>
      </w:r>
      <w:r w:rsidRPr="00287D50">
        <w:rPr>
          <w:rFonts w:ascii="Times New Roman" w:eastAsia="Times New Roman" w:hAnsi="Times New Roman" w:cs="Times New Roman"/>
          <w:i/>
          <w:color w:val="000000"/>
        </w:rPr>
        <w:tab/>
      </w:r>
      <w:r w:rsidR="001E7EE4" w:rsidRPr="001E7EE4">
        <w:rPr>
          <w:rFonts w:ascii="Times New Roman" w:eastAsia="Times New Roman" w:hAnsi="Times New Roman" w:cs="Times New Roman"/>
          <w:i/>
          <w:color w:val="000000"/>
        </w:rPr>
        <w:t>Effectiveness of Learning Plan Designer Based Mobile Web</w:t>
      </w:r>
    </w:p>
    <w:p w14:paraId="6B415F3C" w14:textId="382E1FD4" w:rsidR="001E7EE4"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Improving the quality of learning media can be proven by an increase in student learning outcomes</w:t>
      </w:r>
      <w:r w:rsidR="00096CC0">
        <w:rPr>
          <w:rFonts w:ascii="Times New Roman" w:eastAsia="Times New Roman" w:hAnsi="Times New Roman" w:cs="Times New Roman"/>
          <w:color w:val="000000"/>
        </w:rPr>
        <w:t xml:space="preserve"> s</w:t>
      </w:r>
      <w:r w:rsidRPr="001E7EE4">
        <w:rPr>
          <w:rFonts w:ascii="Times New Roman" w:eastAsia="Times New Roman" w:hAnsi="Times New Roman" w:cs="Times New Roman"/>
          <w:color w:val="000000"/>
        </w:rPr>
        <w:t>o that the increase in the quality of learning becomes real with the function of learning media. The function of technology-based learning media can be mapped into six roles, namely a tool to create effective teaching and learning conditions to support student-learner interaction, an integral part of the learning conditions carried out, laying a concrete foundation of abstract concepts so that student</w:t>
      </w:r>
      <w:r w:rsidR="00096CC0">
        <w:rPr>
          <w:rFonts w:ascii="Times New Roman" w:eastAsia="Times New Roman" w:hAnsi="Times New Roman" w:cs="Times New Roman"/>
          <w:color w:val="000000"/>
        </w:rPr>
        <w:t>'</w:t>
      </w:r>
      <w:r w:rsidRPr="001E7EE4">
        <w:rPr>
          <w:rFonts w:ascii="Times New Roman" w:eastAsia="Times New Roman" w:hAnsi="Times New Roman" w:cs="Times New Roman"/>
          <w:color w:val="000000"/>
        </w:rPr>
        <w:t>s misconceptions can be minimized, improve motivation to learn students, and improve the quality of learning.</w:t>
      </w:r>
    </w:p>
    <w:p w14:paraId="6EF69A70" w14:textId="77777777" w:rsidR="001E7EE4" w:rsidRDefault="001E7EE4" w:rsidP="001E7EE4">
      <w:pPr>
        <w:tabs>
          <w:tab w:val="left" w:pos="0"/>
        </w:tabs>
        <w:spacing w:after="0"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In principle, the design of a learning plan using a mobile web can essentially provide opportunities for learners to prepare the learning process to be carried out. Not only that, learners are also encouraged to become creative managers who realize better learning management</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742A46">
        <w:rPr>
          <w:rFonts w:ascii="Times New Roman" w:eastAsia="Times New Roman" w:hAnsi="Times New Roman" w:cs="Times New Roman"/>
          <w:color w:val="000000"/>
        </w:rPr>
        <w:instrText>ADDIN CSL_CITATION {"citationItems":[{"id":"ITEM-1","itemData":{"author":[{"dropping-particle":"","family":"Putra","given":"Andika Bagus Rahma Nur","non-dropping-particle":"","parse-names":false,"suffix":""},{"dropping-particle":"","family":"Mukhadis","given":"Amat","non-dropping-particle":"","parse-names":false,"suffix":""},{"dropping-particle":"","family":"Soraya","given":"Dila Umnia","non-dropping-particle":"","parse-names":false,"suffix":""},{"dropping-particle":"","family":"Dzakiya","given":"Nurul","non-dropping-particle":"","parse-names":false,"suffix":""}],"container-title":"2nd International Conference on Vocational Education and Training (ICOVET 2018) The","id":"ITEM-1","issued":{"date-parts":[["2019"]]},"page":"266-270","title":"The Innovation of Hybrid Learning through Live 24-Hour Streaming Personal in the Learning Process in Higher Education of Vocational in the Era of Industrial Revolution 4 . 0","type":"paper-conference","volume":"242"},"uris":["http://www.mendeley.com/documents/?uuid=d2f45501-5f1f-4685-9cf2-20671faa4a90"]},{"id":"ITEM-2","itemData":{"author":[{"dropping-particle":"","family":"Mukhadis","given":"Amat","non-dropping-particle":"","parse-names":false,"suffix":""},{"dropping-particle":"","family":"Putra","given":"Andika Bagus Nur Rahma","non-dropping-particle":"","parse-names":false,"suffix":""},{"dropping-particle":"","family":"Nidhom","given":"Ahmad Mursyidun","non-dropping-particle":"","parse-names":false,"suffix":""},{"dropping-particle":"","family":"Dardiri","given":"Ahmad","non-dropping-particle":"","parse-names":false,"suffix":""},{"dropping-particle":"","family":"Suswanto","given":"Hary","non-dropping-particle":"","parse-names":false,"suffix":""}],"container-title":"Journal of Physics: Conference Series","id":"ITEM-2","issued":{"date-parts":[["2018"]]},"page":"1-8","title":"The Relevance of Vocational High School Program With Regional Potency Priority in Indonesia","type":"article-journal","volume":"1028"},"uris":["http://www.mendeley.com/documents/?uuid=9b435846-7fe3-49a0-8c44-0f343653769b"]}],"mendeley":{"formattedCitation":"[5,20]","plainTextFormattedCitation":"[5,20]","previouslyFormattedCitation":"[5,20]"},"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[5,20]</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 xml:space="preserve">. </w:t>
      </w:r>
    </w:p>
    <w:p w14:paraId="04C89C0C" w14:textId="15E0C9DE" w:rsidR="004B72B8" w:rsidRPr="00287D50" w:rsidRDefault="001E7EE4" w:rsidP="001E7EE4">
      <w:pPr>
        <w:tabs>
          <w:tab w:val="left" w:pos="0"/>
        </w:tabs>
        <w:spacing w:line="260" w:lineRule="exact"/>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So it can be said that the achievement of learning objectives will not be effective if the learning media used are not technology-based. Mobile web-based learning can be used effectively to reduce the gap between theory and practice</w:t>
      </w:r>
      <w:r w:rsidR="00096CC0">
        <w:rPr>
          <w:rFonts w:ascii="Times New Roman" w:eastAsia="Times New Roman" w:hAnsi="Times New Roman" w:cs="Times New Roman"/>
          <w:color w:val="000000"/>
        </w:rPr>
        <w:t xml:space="preserve"> s</w:t>
      </w:r>
      <w:r w:rsidRPr="001E7EE4">
        <w:rPr>
          <w:rFonts w:ascii="Times New Roman" w:eastAsia="Times New Roman" w:hAnsi="Times New Roman" w:cs="Times New Roman"/>
          <w:color w:val="000000"/>
        </w:rPr>
        <w:t xml:space="preserve">o that the learning objectives can be fulfilled completely. This is because learning media is central to learning itself. Problems that arise when delivering information on </w:t>
      </w:r>
      <w:r w:rsidR="00096CC0">
        <w:rPr>
          <w:rFonts w:ascii="Times New Roman" w:eastAsia="Times New Roman" w:hAnsi="Times New Roman" w:cs="Times New Roman"/>
          <w:color w:val="000000"/>
        </w:rPr>
        <w:t xml:space="preserve">the </w:t>
      </w:r>
      <w:r w:rsidRPr="001E7EE4">
        <w:rPr>
          <w:rFonts w:ascii="Times New Roman" w:eastAsia="Times New Roman" w:hAnsi="Times New Roman" w:cs="Times New Roman"/>
          <w:color w:val="000000"/>
        </w:rPr>
        <w:t>subject matter can be overcome by using innovative mobile web-based learning media</w:t>
      </w:r>
      <w:r w:rsidR="00742A46">
        <w:rPr>
          <w:rFonts w:ascii="Times New Roman" w:eastAsia="Times New Roman" w:hAnsi="Times New Roman" w:cs="Times New Roman"/>
          <w:color w:val="000000"/>
        </w:rPr>
        <w:t xml:space="preserve"> </w:t>
      </w:r>
      <w:r w:rsidR="00742A46">
        <w:rPr>
          <w:rFonts w:ascii="Times New Roman" w:eastAsia="Times New Roman" w:hAnsi="Times New Roman" w:cs="Times New Roman"/>
          <w:color w:val="000000"/>
        </w:rPr>
        <w:fldChar w:fldCharType="begin" w:fldLock="1"/>
      </w:r>
      <w:r w:rsidR="005C6882">
        <w:rPr>
          <w:rFonts w:ascii="Times New Roman" w:eastAsia="Times New Roman" w:hAnsi="Times New Roman" w:cs="Times New Roman"/>
          <w:color w:val="000000"/>
        </w:rPr>
        <w:instrText>ADDIN CSL_CITATION {"citationItems":[{"id":"ITEM-1","itemData":{"DOI":"10.14742/ajet.3941","author":[{"dropping-particle":"","family":"Narayan","given":"Vickel","non-dropping-particle":"","parse-names":false,"suffix":""},{"dropping-particle":"","family":"Cochrane","given":"Thomas","non-dropping-particle":"","parse-names":false,"suffix":""},{"dropping-particle":"","family":"Herrington","given":"Jan","non-dropping-particle":"","parse-names":false,"suffix":""}],"container-title":"Australasian Journal of Educational Technology","id":"ITEM-1","issue":"3","issued":{"date-parts":[["2019"]]},"page":"86-101","title":"Design principles for heutagogical learning : Implementing student- determined learning with mobile and social media tools","type":"article-journal","volume":"35"},"uris":["http://www.mendeley.com/documents/?uuid=a2d4f745-1fd7-4f61-b7ca-f81b62faabe6"]},{"id":"ITEM-2","itemData":{"author":[{"dropping-particle":"","family":"Praherdhiono","given":"Henry","non-dropping-particle":"","parse-names":false,"suffix":""},{"dropping-particle":"","family":"Adi","given":"Eka Pramono","non-dropping-particle":"","parse-names":false,"suffix":""},{"dropping-particle":"","family":"Prihatmoko","given":"Yulias","non-dropping-particle":"","parse-names":false,"suffix":""}],"container-title":"Advances in Social Science, Education and Humanities Research (ASSEHR),","id":"ITEM-2","issued":{"date-parts":[["2018"]]},"page":"74-79","title":"Strengthening Performance for Teachers in Early Childhood Education with Heutagogy on the Utilization of Digital Learning Media and Sources","type":"article-journal","volume":"244"},"uris":["http://www.mendeley.com/documents/?uuid=9a375af6-8ca0-40ac-92fe-a6de600861ad"]}],"mendeley":{"formattedCitation":"[21,22]","plainTextFormattedCitation":"[21,22]","previouslyFormattedCitation":"[21,22]"},"properties":{"noteIndex":0},"schema":"https://github.com/citation-style-language/schema/raw/master/csl-citation.json"}</w:instrText>
      </w:r>
      <w:r w:rsidR="00742A46">
        <w:rPr>
          <w:rFonts w:ascii="Times New Roman" w:eastAsia="Times New Roman" w:hAnsi="Times New Roman" w:cs="Times New Roman"/>
          <w:color w:val="000000"/>
        </w:rPr>
        <w:fldChar w:fldCharType="separate"/>
      </w:r>
      <w:r w:rsidR="00742A46" w:rsidRPr="00742A46">
        <w:rPr>
          <w:rFonts w:ascii="Times New Roman" w:eastAsia="Times New Roman" w:hAnsi="Times New Roman" w:cs="Times New Roman"/>
          <w:noProof/>
          <w:color w:val="000000"/>
        </w:rPr>
        <w:t>[21,22]</w:t>
      </w:r>
      <w:r w:rsidR="00742A46">
        <w:rPr>
          <w:rFonts w:ascii="Times New Roman" w:eastAsia="Times New Roman" w:hAnsi="Times New Roman" w:cs="Times New Roman"/>
          <w:color w:val="000000"/>
        </w:rPr>
        <w:fldChar w:fldCharType="end"/>
      </w:r>
      <w:r w:rsidR="004B72B8" w:rsidRPr="00287D50">
        <w:rPr>
          <w:rFonts w:ascii="Times New Roman" w:eastAsia="Times New Roman" w:hAnsi="Times New Roman" w:cs="Times New Roman"/>
          <w:color w:val="000000"/>
        </w:rPr>
        <w:t>.</w:t>
      </w:r>
    </w:p>
    <w:p w14:paraId="7217AEBF" w14:textId="77777777" w:rsidR="003A48B2" w:rsidRDefault="0038533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1197D24C" w14:textId="3D5960C8" w:rsidR="003A48B2" w:rsidRDefault="001E7EE4">
      <w:pPr>
        <w:spacing w:after="0"/>
        <w:jc w:val="both"/>
        <w:rPr>
          <w:rFonts w:ascii="Times New Roman" w:eastAsia="Times New Roman" w:hAnsi="Times New Roman" w:cs="Times New Roman"/>
          <w:color w:val="000000"/>
        </w:rPr>
      </w:pPr>
      <w:r w:rsidRPr="001E7EE4">
        <w:rPr>
          <w:rFonts w:ascii="Times New Roman" w:eastAsia="Times New Roman" w:hAnsi="Times New Roman" w:cs="Times New Roman"/>
          <w:color w:val="000000"/>
        </w:rPr>
        <w:t xml:space="preserve">In this study, the conclusions are divided into several components. First, the components of the learning media </w:t>
      </w:r>
      <w:r w:rsidR="00044D9B" w:rsidRPr="001E7EE4">
        <w:rPr>
          <w:rFonts w:ascii="Times New Roman" w:eastAsia="Times New Roman" w:hAnsi="Times New Roman" w:cs="Times New Roman"/>
          <w:color w:val="000000"/>
        </w:rPr>
        <w:t>need</w:t>
      </w:r>
      <w:r w:rsidRPr="001E7EE4">
        <w:rPr>
          <w:rFonts w:ascii="Times New Roman" w:eastAsia="Times New Roman" w:hAnsi="Times New Roman" w:cs="Times New Roman"/>
          <w:color w:val="000000"/>
        </w:rPr>
        <w:t xml:space="preserve"> of the Education 4.0 era include easily accessible, ongoing information, easy to use, technology-based, intelligence systems, and educational interactions. Second, learning plan designer based mobile web technology has a high level of attractiveness and completeness of vocational materials. Third, the technology developed is proven to be able to improve vocational student learning outcomes in the education era 4.0.</w:t>
      </w:r>
    </w:p>
    <w:p w14:paraId="086B594C" w14:textId="77777777" w:rsidR="003A48B2" w:rsidRDefault="003A48B2">
      <w:pPr>
        <w:spacing w:after="0"/>
        <w:rPr>
          <w:rFonts w:ascii="Times New Roman" w:eastAsia="Times New Roman" w:hAnsi="Times New Roman" w:cs="Times New Roman"/>
          <w:color w:val="000000"/>
        </w:rPr>
      </w:pPr>
    </w:p>
    <w:p w14:paraId="194D681E" w14:textId="77777777" w:rsidR="003A48B2" w:rsidRDefault="0038533F">
      <w:pPr>
        <w:spacing w:after="0"/>
        <w:rPr>
          <w:rFonts w:ascii="Times New Roman" w:eastAsia="Times New Roman" w:hAnsi="Times New Roman" w:cs="Times New Roman"/>
          <w:b/>
        </w:rPr>
      </w:pPr>
      <w:r>
        <w:rPr>
          <w:rFonts w:ascii="Times New Roman" w:eastAsia="Times New Roman" w:hAnsi="Times New Roman" w:cs="Times New Roman"/>
          <w:b/>
        </w:rPr>
        <w:t>Acknowledgments</w:t>
      </w:r>
    </w:p>
    <w:p w14:paraId="49A00085" w14:textId="60867C1C" w:rsidR="003A48B2" w:rsidRDefault="0002629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02629A">
        <w:rPr>
          <w:rFonts w:ascii="Times New Roman" w:eastAsia="Times New Roman" w:hAnsi="Times New Roman" w:cs="Times New Roman"/>
          <w:color w:val="000000"/>
        </w:rPr>
        <w:t>Thanks to the Lembaga Penelitian dan Pengabdian Kepada Masyarakat (LP2M) Universitas Negeri Malang. That is because LP2M UM has supported this research with the Research and Community Service Scheme for the PNBP UM Funding Source for 20</w:t>
      </w:r>
      <w:r>
        <w:rPr>
          <w:rFonts w:ascii="Times New Roman" w:eastAsia="Times New Roman" w:hAnsi="Times New Roman" w:cs="Times New Roman"/>
          <w:color w:val="000000"/>
        </w:rPr>
        <w:t>20</w:t>
      </w:r>
      <w:r w:rsidR="0038533F">
        <w:rPr>
          <w:rFonts w:ascii="Times New Roman" w:eastAsia="Times New Roman" w:hAnsi="Times New Roman" w:cs="Times New Roman"/>
          <w:color w:val="000000"/>
        </w:rPr>
        <w:t>.</w:t>
      </w:r>
    </w:p>
    <w:p w14:paraId="1A40BBF2" w14:textId="77777777" w:rsidR="003A48B2" w:rsidRDefault="003A48B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58660849" w14:textId="17549587" w:rsidR="003A48B2" w:rsidRDefault="0038533F" w:rsidP="00C906F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3CE93F7E" w14:textId="7E902FE4"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eastAsia="Times New Roman" w:hAnsi="Times New Roman" w:cs="Times New Roman"/>
          <w:b/>
          <w:color w:val="000000"/>
          <w:sz w:val="20"/>
          <w:szCs w:val="20"/>
        </w:rPr>
        <w:fldChar w:fldCharType="begin" w:fldLock="1"/>
      </w:r>
      <w:r w:rsidRPr="00D827EB">
        <w:rPr>
          <w:rFonts w:ascii="Times New Roman" w:eastAsia="Times New Roman" w:hAnsi="Times New Roman" w:cs="Times New Roman"/>
          <w:b/>
          <w:color w:val="000000"/>
          <w:sz w:val="20"/>
          <w:szCs w:val="20"/>
        </w:rPr>
        <w:instrText xml:space="preserve">ADDIN Mendeley Bibliography CSL_BIBLIOGRAPHY </w:instrText>
      </w:r>
      <w:r w:rsidRPr="00D827EB">
        <w:rPr>
          <w:rFonts w:ascii="Times New Roman" w:eastAsia="Times New Roman" w:hAnsi="Times New Roman" w:cs="Times New Roman"/>
          <w:b/>
          <w:color w:val="000000"/>
          <w:sz w:val="20"/>
          <w:szCs w:val="20"/>
        </w:rPr>
        <w:fldChar w:fldCharType="separate"/>
      </w:r>
      <w:r w:rsidRPr="00D827EB">
        <w:rPr>
          <w:rFonts w:ascii="Times New Roman" w:hAnsi="Times New Roman" w:cs="Times New Roman"/>
          <w:noProof/>
          <w:sz w:val="20"/>
        </w:rPr>
        <w:t>[1]</w:t>
      </w:r>
      <w:r w:rsidRPr="00D827EB">
        <w:rPr>
          <w:rFonts w:ascii="Times New Roman" w:hAnsi="Times New Roman" w:cs="Times New Roman"/>
          <w:noProof/>
          <w:sz w:val="20"/>
        </w:rPr>
        <w:tab/>
        <w:t xml:space="preserve"> Khlaisang J and Songkram N 2019 Designing a Virtual Learning Environment System for Teaching </w:t>
      </w:r>
      <w:r w:rsidRPr="00D827EB">
        <w:rPr>
          <w:rFonts w:ascii="Times New Roman" w:hAnsi="Times New Roman" w:cs="Times New Roman"/>
          <w:noProof/>
          <w:sz w:val="20"/>
        </w:rPr>
        <w:lastRenderedPageBreak/>
        <w:t xml:space="preserve">Twenty-First Century Skills to Higher Education Students in ASEAN </w:t>
      </w:r>
      <w:r w:rsidRPr="00D827EB">
        <w:rPr>
          <w:rFonts w:ascii="Times New Roman" w:hAnsi="Times New Roman" w:cs="Times New Roman"/>
          <w:i/>
          <w:iCs/>
          <w:noProof/>
          <w:sz w:val="20"/>
        </w:rPr>
        <w:t>Technol. Knowl. Learn.</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24</w:t>
      </w:r>
      <w:r w:rsidRPr="00D827EB">
        <w:rPr>
          <w:rFonts w:ascii="Times New Roman" w:hAnsi="Times New Roman" w:cs="Times New Roman"/>
          <w:noProof/>
          <w:sz w:val="20"/>
        </w:rPr>
        <w:t xml:space="preserve"> 41–63</w:t>
      </w:r>
    </w:p>
    <w:p w14:paraId="5B359F79" w14:textId="4D2ECBDC"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[2]</w:t>
      </w:r>
      <w:r w:rsidRPr="00D827EB">
        <w:rPr>
          <w:rFonts w:ascii="Times New Roman" w:hAnsi="Times New Roman" w:cs="Times New Roman"/>
          <w:noProof/>
          <w:sz w:val="20"/>
        </w:rPr>
        <w:tab/>
        <w:t xml:space="preserve"> Chai C S, Koh J H L and Teo Y H 2019 Enhancing and Modeling Teachers</w:t>
      </w:r>
      <w:r w:rsidR="00096CC0">
        <w:rPr>
          <w:rFonts w:ascii="Times New Roman" w:hAnsi="Times New Roman" w:cs="Times New Roman"/>
          <w:noProof/>
          <w:sz w:val="20"/>
        </w:rPr>
        <w:t>'</w:t>
      </w:r>
      <w:r w:rsidRPr="00D827EB">
        <w:rPr>
          <w:rFonts w:ascii="Times New Roman" w:hAnsi="Times New Roman" w:cs="Times New Roman"/>
          <w:noProof/>
          <w:sz w:val="20"/>
        </w:rPr>
        <w:t xml:space="preserve"> Design Beliefs and Efficacy of Technological Pedagogical Content Knowledge for 21st Century Quality Learning </w:t>
      </w:r>
      <w:r w:rsidRPr="00D827EB">
        <w:rPr>
          <w:rFonts w:ascii="Times New Roman" w:hAnsi="Times New Roman" w:cs="Times New Roman"/>
          <w:i/>
          <w:iCs/>
          <w:noProof/>
          <w:sz w:val="20"/>
        </w:rPr>
        <w:t>J. Educ. Comput. Res.</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57</w:t>
      </w:r>
      <w:r w:rsidRPr="00D827EB">
        <w:rPr>
          <w:rFonts w:ascii="Times New Roman" w:hAnsi="Times New Roman" w:cs="Times New Roman"/>
          <w:noProof/>
          <w:sz w:val="20"/>
        </w:rPr>
        <w:t xml:space="preserve"> 360–384</w:t>
      </w:r>
    </w:p>
    <w:p w14:paraId="3333CD4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[3]</w:t>
      </w:r>
      <w:r w:rsidRPr="00D827EB">
        <w:rPr>
          <w:rFonts w:ascii="Times New Roman" w:hAnsi="Times New Roman" w:cs="Times New Roman"/>
          <w:noProof/>
          <w:sz w:val="20"/>
        </w:rPr>
        <w:tab/>
        <w:t xml:space="preserve"> Kim S, Raza M and Seidman E 2019 Improving 21st-century teaching skills : The key to effective 21st- century learners </w:t>
      </w:r>
      <w:r w:rsidRPr="00D827EB">
        <w:rPr>
          <w:rFonts w:ascii="Times New Roman" w:hAnsi="Times New Roman" w:cs="Times New Roman"/>
          <w:i/>
          <w:iCs/>
          <w:noProof/>
          <w:sz w:val="20"/>
        </w:rPr>
        <w:t>Res. Comp. Int. Educ.</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14</w:t>
      </w:r>
      <w:r w:rsidRPr="00D827EB">
        <w:rPr>
          <w:rFonts w:ascii="Times New Roman" w:hAnsi="Times New Roman" w:cs="Times New Roman"/>
          <w:noProof/>
          <w:sz w:val="20"/>
        </w:rPr>
        <w:t xml:space="preserve"> 99 –117</w:t>
      </w:r>
    </w:p>
    <w:p w14:paraId="655630D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[4]</w:t>
      </w:r>
      <w:r w:rsidRPr="00D827EB">
        <w:rPr>
          <w:rFonts w:ascii="Times New Roman" w:hAnsi="Times New Roman" w:cs="Times New Roman"/>
          <w:noProof/>
          <w:sz w:val="20"/>
        </w:rPr>
        <w:tab/>
        <w:t xml:space="preserve"> Putra A B N R, Mukhadis A, Poerwanto E E, Irdianto W and Sembiring A I 2019 Edmodo-Based Makerspace as E-Learning Technology to Improve the Management Project of Vocational Students in the Disruptive Technology Era </w:t>
      </w:r>
      <w:r w:rsidRPr="00D827EB">
        <w:rPr>
          <w:rFonts w:ascii="Times New Roman" w:hAnsi="Times New Roman" w:cs="Times New Roman"/>
          <w:i/>
          <w:iCs/>
          <w:noProof/>
          <w:sz w:val="20"/>
        </w:rPr>
        <w:t>3rd Int. Conf. Sustain. Inf. Eng. Technol. SIET 2018 - Proc.</w:t>
      </w:r>
      <w:r w:rsidRPr="00D827EB">
        <w:rPr>
          <w:rFonts w:ascii="Times New Roman" w:hAnsi="Times New Roman" w:cs="Times New Roman"/>
          <w:noProof/>
          <w:sz w:val="20"/>
        </w:rPr>
        <w:t xml:space="preserve"> 302–7</w:t>
      </w:r>
    </w:p>
    <w:p w14:paraId="369BCBF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[5]</w:t>
      </w:r>
      <w:r w:rsidRPr="00D827EB">
        <w:rPr>
          <w:rFonts w:ascii="Times New Roman" w:hAnsi="Times New Roman" w:cs="Times New Roman"/>
          <w:noProof/>
          <w:sz w:val="20"/>
        </w:rPr>
        <w:tab/>
        <w:t xml:space="preserve"> Mukhadis A, Putra A B N R, Nidhom A M, Dardiri A and Suswanto H 2018 The Relevance of Vocational High School Program With Regional Potency Priority in Indonesia </w:t>
      </w:r>
      <w:r w:rsidRPr="00D827EB">
        <w:rPr>
          <w:rFonts w:ascii="Times New Roman" w:hAnsi="Times New Roman" w:cs="Times New Roman"/>
          <w:i/>
          <w:iCs/>
          <w:noProof/>
          <w:sz w:val="20"/>
        </w:rPr>
        <w:t>J. Phys. Conf. Ser.</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1028</w:t>
      </w:r>
      <w:r w:rsidRPr="00D827EB">
        <w:rPr>
          <w:rFonts w:ascii="Times New Roman" w:hAnsi="Times New Roman" w:cs="Times New Roman"/>
          <w:noProof/>
          <w:sz w:val="20"/>
        </w:rPr>
        <w:t xml:space="preserve"> 1–8</w:t>
      </w:r>
    </w:p>
    <w:p w14:paraId="11EBCCB9"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[6]</w:t>
      </w:r>
      <w:r w:rsidRPr="00D827EB">
        <w:rPr>
          <w:rFonts w:ascii="Times New Roman" w:hAnsi="Times New Roman" w:cs="Times New Roman"/>
          <w:noProof/>
          <w:sz w:val="20"/>
        </w:rPr>
        <w:tab/>
        <w:t xml:space="preserve"> Lin M 2019 Challenges and Opportunities for Technical and Vocational Education and Training in the local communities : Education and Labour Market for Young People </w:t>
      </w:r>
      <w:r w:rsidRPr="00D827EB">
        <w:rPr>
          <w:rFonts w:ascii="Times New Roman" w:hAnsi="Times New Roman" w:cs="Times New Roman"/>
          <w:i/>
          <w:iCs/>
          <w:noProof/>
          <w:sz w:val="20"/>
        </w:rPr>
        <w:t>Int. J. Soc. Sci. Stud.</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7</w:t>
      </w:r>
      <w:r w:rsidRPr="00D827EB">
        <w:rPr>
          <w:rFonts w:ascii="Times New Roman" w:hAnsi="Times New Roman" w:cs="Times New Roman"/>
          <w:noProof/>
          <w:sz w:val="20"/>
        </w:rPr>
        <w:t xml:space="preserve"> 1–15</w:t>
      </w:r>
    </w:p>
    <w:p w14:paraId="1E198577"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[7]</w:t>
      </w:r>
      <w:r w:rsidRPr="00D827EB">
        <w:rPr>
          <w:rFonts w:ascii="Times New Roman" w:hAnsi="Times New Roman" w:cs="Times New Roman"/>
          <w:noProof/>
          <w:sz w:val="20"/>
        </w:rPr>
        <w:tab/>
        <w:t xml:space="preserve"> Dang J, Wang H and Kang H 2019 Analysis on the Current Status and Path of Major Groups Construction in Higher Vocational Colleges </w:t>
      </w:r>
      <w:r w:rsidRPr="00D827EB">
        <w:rPr>
          <w:rFonts w:ascii="Times New Roman" w:hAnsi="Times New Roman" w:cs="Times New Roman"/>
          <w:i/>
          <w:iCs/>
          <w:noProof/>
          <w:sz w:val="20"/>
        </w:rPr>
        <w:t>2018 International Workshop on Education Reform and Social Sciences (ERSS 2018)</w:t>
      </w:r>
      <w:r w:rsidRPr="00D827EB">
        <w:rPr>
          <w:rFonts w:ascii="Times New Roman" w:hAnsi="Times New Roman" w:cs="Times New Roman"/>
          <w:noProof/>
          <w:sz w:val="20"/>
        </w:rPr>
        <w:t xml:space="preserve"> vol 300 pp 444–8</w:t>
      </w:r>
    </w:p>
    <w:p w14:paraId="5421D8CE"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[8]</w:t>
      </w:r>
      <w:r w:rsidRPr="00D827EB">
        <w:rPr>
          <w:rFonts w:ascii="Times New Roman" w:hAnsi="Times New Roman" w:cs="Times New Roman"/>
          <w:noProof/>
          <w:sz w:val="20"/>
        </w:rPr>
        <w:tab/>
        <w:t xml:space="preserve"> Woessmann L 2019 Facing the life-cycle trade-off between vocational and general education in apprenticeship systems: An economics-of-education perspective </w:t>
      </w:r>
      <w:r w:rsidRPr="00D827EB">
        <w:rPr>
          <w:rFonts w:ascii="Times New Roman" w:hAnsi="Times New Roman" w:cs="Times New Roman"/>
          <w:i/>
          <w:iCs/>
          <w:noProof/>
          <w:sz w:val="20"/>
        </w:rPr>
        <w:t>J. Educ. Res. Online</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11</w:t>
      </w:r>
      <w:r w:rsidRPr="00D827EB">
        <w:rPr>
          <w:rFonts w:ascii="Times New Roman" w:hAnsi="Times New Roman" w:cs="Times New Roman"/>
          <w:noProof/>
          <w:sz w:val="20"/>
        </w:rPr>
        <w:t xml:space="preserve"> 31–46</w:t>
      </w:r>
    </w:p>
    <w:p w14:paraId="318747FB"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[9]</w:t>
      </w:r>
      <w:r w:rsidRPr="00D827EB">
        <w:rPr>
          <w:rFonts w:ascii="Times New Roman" w:hAnsi="Times New Roman" w:cs="Times New Roman"/>
          <w:noProof/>
          <w:sz w:val="20"/>
        </w:rPr>
        <w:tab/>
        <w:t xml:space="preserve"> Heidary Dahooie J, Vanaki A S, Daneshmoghadam S and Zavadskas E K 2020 A Framework to Overcome Hesitancy of Decision-Makers in E-Government Web Site Evaluation </w:t>
      </w:r>
      <w:r w:rsidRPr="00D827EB">
        <w:rPr>
          <w:rFonts w:ascii="Times New Roman" w:hAnsi="Times New Roman" w:cs="Times New Roman"/>
          <w:i/>
          <w:iCs/>
          <w:noProof/>
          <w:sz w:val="20"/>
        </w:rPr>
        <w:t>Int. J. Fuzzy Syst.</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22</w:t>
      </w:r>
      <w:r w:rsidRPr="00D827EB">
        <w:rPr>
          <w:rFonts w:ascii="Times New Roman" w:hAnsi="Times New Roman" w:cs="Times New Roman"/>
          <w:noProof/>
          <w:sz w:val="20"/>
        </w:rPr>
        <w:t xml:space="preserve"> 583–603</w:t>
      </w:r>
    </w:p>
    <w:p w14:paraId="2DE1264D"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[10]</w:t>
      </w:r>
      <w:r w:rsidRPr="00D827EB">
        <w:rPr>
          <w:rFonts w:ascii="Times New Roman" w:hAnsi="Times New Roman" w:cs="Times New Roman"/>
          <w:noProof/>
          <w:sz w:val="20"/>
        </w:rPr>
        <w:tab/>
        <w:t xml:space="preserve"> Adam I O 2020 ICT Development, E-government Development, and Economic Development: Does Institutional Quality Matter? </w:t>
      </w:r>
      <w:r w:rsidRPr="00D827EB">
        <w:rPr>
          <w:rFonts w:ascii="Times New Roman" w:hAnsi="Times New Roman" w:cs="Times New Roman"/>
          <w:i/>
          <w:iCs/>
          <w:noProof/>
          <w:sz w:val="20"/>
        </w:rPr>
        <w:t>Inf. Technol. Int. Dev.</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16</w:t>
      </w:r>
      <w:r w:rsidRPr="00D827EB">
        <w:rPr>
          <w:rFonts w:ascii="Times New Roman" w:hAnsi="Times New Roman" w:cs="Times New Roman"/>
          <w:noProof/>
          <w:sz w:val="20"/>
        </w:rPr>
        <w:t xml:space="preserve"> 1–19</w:t>
      </w:r>
    </w:p>
    <w:p w14:paraId="318721B4"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[11]</w:t>
      </w:r>
      <w:r w:rsidRPr="00D827EB">
        <w:rPr>
          <w:rFonts w:ascii="Times New Roman" w:hAnsi="Times New Roman" w:cs="Times New Roman"/>
          <w:noProof/>
          <w:sz w:val="20"/>
        </w:rPr>
        <w:tab/>
        <w:t xml:space="preserve"> Elsawy A M and Ahmed O S 2019 E-Learning using the Blackboard system in Light of the Quality of Education and Cyber security </w:t>
      </w:r>
      <w:r w:rsidRPr="00D827EB">
        <w:rPr>
          <w:rFonts w:ascii="Times New Roman" w:hAnsi="Times New Roman" w:cs="Times New Roman"/>
          <w:i/>
          <w:iCs/>
          <w:noProof/>
          <w:sz w:val="20"/>
        </w:rPr>
        <w:t>Int. J. Curr. Eng. Technol.</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9</w:t>
      </w:r>
      <w:r w:rsidRPr="00D827EB">
        <w:rPr>
          <w:rFonts w:ascii="Times New Roman" w:hAnsi="Times New Roman" w:cs="Times New Roman"/>
          <w:noProof/>
          <w:sz w:val="20"/>
        </w:rPr>
        <w:t xml:space="preserve"> 49–54</w:t>
      </w:r>
    </w:p>
    <w:p w14:paraId="2824C60B" w14:textId="63DE6A16"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[12]</w:t>
      </w:r>
      <w:r w:rsidRPr="00D827EB">
        <w:rPr>
          <w:rFonts w:ascii="Times New Roman" w:hAnsi="Times New Roman" w:cs="Times New Roman"/>
          <w:noProof/>
          <w:sz w:val="20"/>
        </w:rPr>
        <w:tab/>
        <w:t xml:space="preserve"> Burac M A P, Fernandez J M, Cruz M M A and Cruz J Dela 2019 Assessing the impact of e-learning system of higher education institution</w:t>
      </w:r>
      <w:r w:rsidR="00096CC0">
        <w:rPr>
          <w:rFonts w:ascii="Times New Roman" w:hAnsi="Times New Roman" w:cs="Times New Roman"/>
          <w:noProof/>
          <w:sz w:val="20"/>
        </w:rPr>
        <w:t>'</w:t>
      </w:r>
      <w:r w:rsidRPr="00D827EB">
        <w:rPr>
          <w:rFonts w:ascii="Times New Roman" w:hAnsi="Times New Roman" w:cs="Times New Roman"/>
          <w:noProof/>
          <w:sz w:val="20"/>
        </w:rPr>
        <w:t xml:space="preserve"> s instructors and students </w:t>
      </w:r>
      <w:r w:rsidRPr="00D827EB">
        <w:rPr>
          <w:rFonts w:ascii="Times New Roman" w:hAnsi="Times New Roman" w:cs="Times New Roman"/>
          <w:i/>
          <w:iCs/>
          <w:noProof/>
          <w:sz w:val="20"/>
        </w:rPr>
        <w:t>IOP Conf. Series: Materials Science and Engineering</w:t>
      </w:r>
    </w:p>
    <w:p w14:paraId="25CE4AB2"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[13]</w:t>
      </w:r>
      <w:r w:rsidRPr="00D827EB">
        <w:rPr>
          <w:rFonts w:ascii="Times New Roman" w:hAnsi="Times New Roman" w:cs="Times New Roman"/>
          <w:noProof/>
          <w:sz w:val="20"/>
        </w:rPr>
        <w:tab/>
        <w:t xml:space="preserve"> Diao P H and Shih N J 2019 Trends and research issues of augmented reality studies in architectural and civil engineering education-A review of academic journal publications </w:t>
      </w:r>
      <w:r w:rsidRPr="00D827EB">
        <w:rPr>
          <w:rFonts w:ascii="Times New Roman" w:hAnsi="Times New Roman" w:cs="Times New Roman"/>
          <w:i/>
          <w:iCs/>
          <w:noProof/>
          <w:sz w:val="20"/>
        </w:rPr>
        <w:t>Appl. Sci.</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9</w:t>
      </w:r>
      <w:r w:rsidRPr="00D827EB">
        <w:rPr>
          <w:rFonts w:ascii="Times New Roman" w:hAnsi="Times New Roman" w:cs="Times New Roman"/>
          <w:noProof/>
          <w:sz w:val="20"/>
        </w:rPr>
        <w:t xml:space="preserve"> 1–19</w:t>
      </w:r>
    </w:p>
    <w:p w14:paraId="76145911"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[14]</w:t>
      </w:r>
      <w:r w:rsidRPr="00D827EB">
        <w:rPr>
          <w:rFonts w:ascii="Times New Roman" w:hAnsi="Times New Roman" w:cs="Times New Roman"/>
          <w:noProof/>
          <w:sz w:val="20"/>
        </w:rPr>
        <w:tab/>
        <w:t xml:space="preserve"> Chen R W and Chan K K 2019 Using Augmented Reality Flashcards to Learn Vocabulary in Early Childhood Education </w:t>
      </w:r>
      <w:r w:rsidRPr="00D827EB">
        <w:rPr>
          <w:rFonts w:ascii="Times New Roman" w:hAnsi="Times New Roman" w:cs="Times New Roman"/>
          <w:i/>
          <w:iCs/>
          <w:noProof/>
          <w:sz w:val="20"/>
        </w:rPr>
        <w:t>J. Educ. Comput. Res.</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57</w:t>
      </w:r>
      <w:r w:rsidRPr="00D827EB">
        <w:rPr>
          <w:rFonts w:ascii="Times New Roman" w:hAnsi="Times New Roman" w:cs="Times New Roman"/>
          <w:noProof/>
          <w:sz w:val="20"/>
        </w:rPr>
        <w:t xml:space="preserve"> 1812–1831</w:t>
      </w:r>
    </w:p>
    <w:p w14:paraId="05A9C92E"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[15]</w:t>
      </w:r>
      <w:r w:rsidRPr="00D827EB">
        <w:rPr>
          <w:rFonts w:ascii="Times New Roman" w:hAnsi="Times New Roman" w:cs="Times New Roman"/>
          <w:noProof/>
          <w:sz w:val="20"/>
        </w:rPr>
        <w:tab/>
        <w:t xml:space="preserve"> Yeop M A, Yaakob M F M, Wong K T, Don Y and Zain F M 2019 Implementation of ICT Policy ( Blended Learning Approach ): Investigating factors of Behavioural Intention and Use Behaviour </w:t>
      </w:r>
      <w:r w:rsidRPr="00D827EB">
        <w:rPr>
          <w:rFonts w:ascii="Times New Roman" w:hAnsi="Times New Roman" w:cs="Times New Roman"/>
          <w:i/>
          <w:iCs/>
          <w:noProof/>
          <w:sz w:val="20"/>
        </w:rPr>
        <w:t>Int. J. Instr.</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12</w:t>
      </w:r>
      <w:r w:rsidRPr="00D827EB">
        <w:rPr>
          <w:rFonts w:ascii="Times New Roman" w:hAnsi="Times New Roman" w:cs="Times New Roman"/>
          <w:noProof/>
          <w:sz w:val="20"/>
        </w:rPr>
        <w:t xml:space="preserve"> 767–82</w:t>
      </w:r>
    </w:p>
    <w:p w14:paraId="5D97A1AE" w14:textId="0B68312A"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[16]</w:t>
      </w:r>
      <w:r w:rsidRPr="00D827EB">
        <w:rPr>
          <w:rFonts w:ascii="Times New Roman" w:hAnsi="Times New Roman" w:cs="Times New Roman"/>
          <w:noProof/>
          <w:sz w:val="20"/>
        </w:rPr>
        <w:tab/>
        <w:t xml:space="preserve"> Daniels M, Sarte E and Cruz J Dela 2019 Students</w:t>
      </w:r>
      <w:r w:rsidR="00096CC0">
        <w:rPr>
          <w:rFonts w:ascii="Times New Roman" w:hAnsi="Times New Roman" w:cs="Times New Roman"/>
          <w:noProof/>
          <w:sz w:val="20"/>
        </w:rPr>
        <w:t>'</w:t>
      </w:r>
      <w:r w:rsidRPr="00D827EB">
        <w:rPr>
          <w:rFonts w:ascii="Times New Roman" w:hAnsi="Times New Roman" w:cs="Times New Roman"/>
          <w:noProof/>
          <w:sz w:val="20"/>
        </w:rPr>
        <w:t xml:space="preserve"> perception on e-learning : a basis for the development of e- learning framework in higher education institutions </w:t>
      </w:r>
      <w:r w:rsidRPr="00D827EB">
        <w:rPr>
          <w:rFonts w:ascii="Times New Roman" w:hAnsi="Times New Roman" w:cs="Times New Roman"/>
          <w:i/>
          <w:iCs/>
          <w:noProof/>
          <w:sz w:val="20"/>
        </w:rPr>
        <w:t>IOP Conf. Ser. Mater. Sci. Eng.</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482</w:t>
      </w:r>
      <w:r w:rsidRPr="00D827EB">
        <w:rPr>
          <w:rFonts w:ascii="Times New Roman" w:hAnsi="Times New Roman" w:cs="Times New Roman"/>
          <w:noProof/>
          <w:sz w:val="20"/>
        </w:rPr>
        <w:t xml:space="preserve"> 1–7</w:t>
      </w:r>
    </w:p>
    <w:p w14:paraId="1D22845A"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[17]</w:t>
      </w:r>
      <w:r w:rsidRPr="00D827EB">
        <w:rPr>
          <w:rFonts w:ascii="Times New Roman" w:hAnsi="Times New Roman" w:cs="Times New Roman"/>
          <w:noProof/>
          <w:sz w:val="20"/>
        </w:rPr>
        <w:tab/>
        <w:t xml:space="preserve"> Smirnova Z V, Vaganova O I, Loshkareva D A, A K E and Gladkova M N 2019 Practice-oriented approach implementation in vocational education </w:t>
      </w:r>
      <w:r w:rsidRPr="00D827EB">
        <w:rPr>
          <w:rFonts w:ascii="Times New Roman" w:hAnsi="Times New Roman" w:cs="Times New Roman"/>
          <w:i/>
          <w:iCs/>
          <w:noProof/>
          <w:sz w:val="20"/>
        </w:rPr>
        <w:t>IOP Conf. Series: Materials Science and Engineering</w:t>
      </w:r>
      <w:r w:rsidRPr="00D827EB">
        <w:rPr>
          <w:rFonts w:ascii="Times New Roman" w:hAnsi="Times New Roman" w:cs="Times New Roman"/>
          <w:noProof/>
          <w:sz w:val="20"/>
        </w:rPr>
        <w:t xml:space="preserve"> pp 1–5</w:t>
      </w:r>
    </w:p>
    <w:p w14:paraId="503C3900"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[18]</w:t>
      </w:r>
      <w:r w:rsidRPr="00D827EB">
        <w:rPr>
          <w:rFonts w:ascii="Times New Roman" w:hAnsi="Times New Roman" w:cs="Times New Roman"/>
          <w:noProof/>
          <w:sz w:val="20"/>
        </w:rPr>
        <w:tab/>
        <w:t xml:space="preserve"> Haris A, Barliana M S, Saripudin D and Abdullah A G 2019 Effectiveness of Entrepreneurship Communication Skills in Business Group: Ethno-Andragogy Approach to Technical Vocational Education and Training </w:t>
      </w:r>
      <w:r w:rsidRPr="00D827EB">
        <w:rPr>
          <w:rFonts w:ascii="Times New Roman" w:hAnsi="Times New Roman" w:cs="Times New Roman"/>
          <w:i/>
          <w:iCs/>
          <w:noProof/>
          <w:sz w:val="20"/>
        </w:rPr>
        <w:t>5th UPI International Conference on Technical and Vocational Education and Training (ICTVET 2018) Effectiveness</w:t>
      </w:r>
      <w:r w:rsidRPr="00D827EB">
        <w:rPr>
          <w:rFonts w:ascii="Times New Roman" w:hAnsi="Times New Roman" w:cs="Times New Roman"/>
          <w:noProof/>
          <w:sz w:val="20"/>
        </w:rPr>
        <w:t xml:space="preserve"> vol 299 pp 179–82</w:t>
      </w:r>
    </w:p>
    <w:p w14:paraId="316399B4"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[19]</w:t>
      </w:r>
      <w:r w:rsidRPr="00D827EB">
        <w:rPr>
          <w:rFonts w:ascii="Times New Roman" w:hAnsi="Times New Roman" w:cs="Times New Roman"/>
          <w:noProof/>
          <w:sz w:val="20"/>
        </w:rPr>
        <w:tab/>
        <w:t xml:space="preserve"> Skorton D 2019 Branches from the same tree : The case for integration in higher education </w:t>
      </w:r>
      <w:r w:rsidRPr="00D827EB">
        <w:rPr>
          <w:rFonts w:ascii="Times New Roman" w:hAnsi="Times New Roman" w:cs="Times New Roman"/>
          <w:i/>
          <w:iCs/>
          <w:noProof/>
          <w:sz w:val="20"/>
        </w:rPr>
        <w:t>PNAS Direct Submiss.</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116</w:t>
      </w:r>
      <w:r w:rsidRPr="00D827EB">
        <w:rPr>
          <w:rFonts w:ascii="Times New Roman" w:hAnsi="Times New Roman" w:cs="Times New Roman"/>
          <w:noProof/>
          <w:sz w:val="20"/>
        </w:rPr>
        <w:t xml:space="preserve"> 1865–9</w:t>
      </w:r>
    </w:p>
    <w:p w14:paraId="550C6D06"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[20]</w:t>
      </w:r>
      <w:r w:rsidRPr="00D827EB">
        <w:rPr>
          <w:rFonts w:ascii="Times New Roman" w:hAnsi="Times New Roman" w:cs="Times New Roman"/>
          <w:noProof/>
          <w:sz w:val="20"/>
        </w:rPr>
        <w:tab/>
        <w:t xml:space="preserve"> Putra A B R N, Mukhadis A, Soraya D U and Dzakiya N 2019 The Innovation of Hybrid Learning through Live 24-Hour Streaming Personal in the Learning Process in Higher Education of Vocational in the Era of Industrial Revolution 4 . 0 </w:t>
      </w:r>
      <w:r w:rsidRPr="00D827EB">
        <w:rPr>
          <w:rFonts w:ascii="Times New Roman" w:hAnsi="Times New Roman" w:cs="Times New Roman"/>
          <w:i/>
          <w:iCs/>
          <w:noProof/>
          <w:sz w:val="20"/>
        </w:rPr>
        <w:t>2nd International Conference on Vocational Education and Training (ICOVET 2018) The</w:t>
      </w:r>
      <w:r w:rsidRPr="00D827EB">
        <w:rPr>
          <w:rFonts w:ascii="Times New Roman" w:hAnsi="Times New Roman" w:cs="Times New Roman"/>
          <w:noProof/>
          <w:sz w:val="20"/>
        </w:rPr>
        <w:t xml:space="preserve"> vol 242 pp 266–70</w:t>
      </w:r>
    </w:p>
    <w:p w14:paraId="58BF68D4"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D827EB">
        <w:rPr>
          <w:rFonts w:ascii="Times New Roman" w:hAnsi="Times New Roman" w:cs="Times New Roman"/>
          <w:noProof/>
          <w:sz w:val="20"/>
        </w:rPr>
        <w:t>[21]</w:t>
      </w:r>
      <w:r w:rsidRPr="00D827EB">
        <w:rPr>
          <w:rFonts w:ascii="Times New Roman" w:hAnsi="Times New Roman" w:cs="Times New Roman"/>
          <w:noProof/>
          <w:sz w:val="20"/>
        </w:rPr>
        <w:tab/>
        <w:t xml:space="preserve"> Narayan V, Cochrane T and Herrington J 2019 Design principles for heutagogical learning : Implementing student- determined learning with mobile and social media tools </w:t>
      </w:r>
      <w:r w:rsidRPr="00D827EB">
        <w:rPr>
          <w:rFonts w:ascii="Times New Roman" w:hAnsi="Times New Roman" w:cs="Times New Roman"/>
          <w:i/>
          <w:iCs/>
          <w:noProof/>
          <w:sz w:val="20"/>
        </w:rPr>
        <w:t>Australas. J. Educ. Technol.</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35</w:t>
      </w:r>
      <w:r w:rsidRPr="00D827EB">
        <w:rPr>
          <w:rFonts w:ascii="Times New Roman" w:hAnsi="Times New Roman" w:cs="Times New Roman"/>
          <w:noProof/>
          <w:sz w:val="20"/>
        </w:rPr>
        <w:t xml:space="preserve"> 86–101</w:t>
      </w:r>
    </w:p>
    <w:p w14:paraId="42256B33" w14:textId="77777777" w:rsidR="005C6882" w:rsidRPr="00D827EB" w:rsidRDefault="005C6882" w:rsidP="005C6882">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D827EB">
        <w:rPr>
          <w:rFonts w:ascii="Times New Roman" w:hAnsi="Times New Roman" w:cs="Times New Roman"/>
          <w:noProof/>
          <w:sz w:val="20"/>
        </w:rPr>
        <w:t>[22]</w:t>
      </w:r>
      <w:r w:rsidRPr="00D827EB">
        <w:rPr>
          <w:rFonts w:ascii="Times New Roman" w:hAnsi="Times New Roman" w:cs="Times New Roman"/>
          <w:noProof/>
          <w:sz w:val="20"/>
        </w:rPr>
        <w:tab/>
        <w:t xml:space="preserve"> Praherdhiono H, Adi E P and Prihatmoko Y 2018 Strengthening Performance for Teachers in Early Childhood Education with Heutagogy on the Utilization of Digital Learning Media and Sources </w:t>
      </w:r>
      <w:r w:rsidRPr="00D827EB">
        <w:rPr>
          <w:rFonts w:ascii="Times New Roman" w:hAnsi="Times New Roman" w:cs="Times New Roman"/>
          <w:i/>
          <w:iCs/>
          <w:noProof/>
          <w:sz w:val="20"/>
        </w:rPr>
        <w:t>Adv. Soc. Sci. Educ. Humanit. Res. (ASSEHR),</w:t>
      </w:r>
      <w:r w:rsidRPr="00D827EB">
        <w:rPr>
          <w:rFonts w:ascii="Times New Roman" w:hAnsi="Times New Roman" w:cs="Times New Roman"/>
          <w:noProof/>
          <w:sz w:val="20"/>
        </w:rPr>
        <w:t xml:space="preserve"> </w:t>
      </w:r>
      <w:r w:rsidRPr="00D827EB">
        <w:rPr>
          <w:rFonts w:ascii="Times New Roman" w:hAnsi="Times New Roman" w:cs="Times New Roman"/>
          <w:b/>
          <w:bCs/>
          <w:noProof/>
          <w:sz w:val="20"/>
        </w:rPr>
        <w:t>244</w:t>
      </w:r>
      <w:r w:rsidRPr="00D827EB">
        <w:rPr>
          <w:rFonts w:ascii="Times New Roman" w:hAnsi="Times New Roman" w:cs="Times New Roman"/>
          <w:noProof/>
          <w:sz w:val="20"/>
        </w:rPr>
        <w:t xml:space="preserve"> 74–9</w:t>
      </w:r>
    </w:p>
    <w:p w14:paraId="5D58BAF9" w14:textId="42D17642" w:rsidR="003A48B2" w:rsidRPr="00AB7ACD" w:rsidRDefault="005C6882" w:rsidP="00AB7ACD">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D827EB">
        <w:rPr>
          <w:rFonts w:ascii="Times New Roman" w:eastAsia="Times New Roman" w:hAnsi="Times New Roman" w:cs="Times New Roman"/>
          <w:b/>
          <w:color w:val="000000"/>
          <w:sz w:val="20"/>
          <w:szCs w:val="20"/>
        </w:rPr>
        <w:fldChar w:fldCharType="end"/>
      </w:r>
    </w:p>
    <w:sectPr w:rsidR="003A48B2" w:rsidRPr="00AB7ACD">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86B15"/>
    <w:multiLevelType w:val="multilevel"/>
    <w:tmpl w:val="C276A484"/>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EC6FCB"/>
    <w:multiLevelType w:val="multilevel"/>
    <w:tmpl w:val="09EAC8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1NDU2MDY2NzU3tjBR0lEKTi0uzszPAykwrgUALUCG1iwAAAA="/>
  </w:docVars>
  <w:rsids>
    <w:rsidRoot w:val="003A48B2"/>
    <w:rsid w:val="0002629A"/>
    <w:rsid w:val="00044D9B"/>
    <w:rsid w:val="00073C2A"/>
    <w:rsid w:val="00087EB7"/>
    <w:rsid w:val="00096CC0"/>
    <w:rsid w:val="000A3288"/>
    <w:rsid w:val="00136ADF"/>
    <w:rsid w:val="001E7EE4"/>
    <w:rsid w:val="00287D50"/>
    <w:rsid w:val="002B31D2"/>
    <w:rsid w:val="0038533F"/>
    <w:rsid w:val="003A48B2"/>
    <w:rsid w:val="00452B47"/>
    <w:rsid w:val="00483A25"/>
    <w:rsid w:val="00490279"/>
    <w:rsid w:val="004A3CA3"/>
    <w:rsid w:val="004B72B8"/>
    <w:rsid w:val="004B7C39"/>
    <w:rsid w:val="00522470"/>
    <w:rsid w:val="005B586F"/>
    <w:rsid w:val="005C6882"/>
    <w:rsid w:val="005E54A2"/>
    <w:rsid w:val="006568EE"/>
    <w:rsid w:val="00685EEC"/>
    <w:rsid w:val="00702E4D"/>
    <w:rsid w:val="007132C0"/>
    <w:rsid w:val="00713AA7"/>
    <w:rsid w:val="007172F5"/>
    <w:rsid w:val="007408C3"/>
    <w:rsid w:val="00742A46"/>
    <w:rsid w:val="007E23AA"/>
    <w:rsid w:val="00820258"/>
    <w:rsid w:val="00860966"/>
    <w:rsid w:val="00884DE3"/>
    <w:rsid w:val="00894B3F"/>
    <w:rsid w:val="008F3259"/>
    <w:rsid w:val="00922D43"/>
    <w:rsid w:val="00924039"/>
    <w:rsid w:val="00982A69"/>
    <w:rsid w:val="009B7AA5"/>
    <w:rsid w:val="00A25D82"/>
    <w:rsid w:val="00A74B97"/>
    <w:rsid w:val="00A90795"/>
    <w:rsid w:val="00AB7ACD"/>
    <w:rsid w:val="00AF1E3C"/>
    <w:rsid w:val="00B03DBD"/>
    <w:rsid w:val="00BA1276"/>
    <w:rsid w:val="00BC13A4"/>
    <w:rsid w:val="00BC5793"/>
    <w:rsid w:val="00C151F5"/>
    <w:rsid w:val="00C35E11"/>
    <w:rsid w:val="00C4197B"/>
    <w:rsid w:val="00C906F2"/>
    <w:rsid w:val="00D827EB"/>
    <w:rsid w:val="00E92456"/>
    <w:rsid w:val="00F3080A"/>
    <w:rsid w:val="00F7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326B"/>
  <w15:docId w15:val="{C470A5D1-732D-480D-BBD8-3E5A4CE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customStyle="1" w:styleId="Paragraph">
    <w:name w:val="Paragraph"/>
    <w:basedOn w:val="Normal"/>
    <w:rsid w:val="004A3CA3"/>
    <w:pPr>
      <w:spacing w:after="0" w:line="240" w:lineRule="auto"/>
      <w:ind w:firstLine="284"/>
      <w:jc w:val="both"/>
    </w:pPr>
    <w:rPr>
      <w:rFonts w:ascii="Times New Roman" w:eastAsia="Times New Roman" w:hAnsi="Times New Roman" w:cs="Times New Roman"/>
      <w:sz w:val="20"/>
      <w:szCs w:val="20"/>
      <w:lang w:val="en-US"/>
    </w:rPr>
  </w:style>
  <w:style w:type="character" w:customStyle="1" w:styleId="tlid-translation">
    <w:name w:val="tlid-translation"/>
    <w:basedOn w:val="DefaultParagraphFont"/>
    <w:rsid w:val="00A2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4957">
      <w:bodyDiv w:val="1"/>
      <w:marLeft w:val="0"/>
      <w:marRight w:val="0"/>
      <w:marTop w:val="0"/>
      <w:marBottom w:val="0"/>
      <w:divBdr>
        <w:top w:val="none" w:sz="0" w:space="0" w:color="auto"/>
        <w:left w:val="none" w:sz="0" w:space="0" w:color="auto"/>
        <w:bottom w:val="none" w:sz="0" w:space="0" w:color="auto"/>
        <w:right w:val="none" w:sz="0" w:space="0" w:color="auto"/>
      </w:divBdr>
    </w:div>
    <w:div w:id="485903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'[Chart 2 in Microsoft Word]Sheet1'!$C$18</c:f>
              <c:strCache>
                <c:ptCount val="1"/>
                <c:pt idx="0">
                  <c:v>Presentase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33E9-4B06-B51F-195242D4438F}"/>
              </c:ext>
            </c:extLst>
          </c:dPt>
          <c:dPt>
            <c:idx val="1"/>
            <c:invertIfNegative val="0"/>
            <c:bubble3D val="0"/>
            <c:spPr>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C86-4392-A6E9-A6F5A670917F}"/>
              </c:ext>
            </c:extLst>
          </c:dPt>
          <c:dPt>
            <c:idx val="2"/>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C86-4392-A6E9-A6F5A670917F}"/>
              </c:ext>
            </c:extLst>
          </c:dPt>
          <c:dPt>
            <c:idx val="3"/>
            <c:invertIfNegative val="0"/>
            <c:bubble3D val="0"/>
            <c:spPr>
              <a:solidFill>
                <a:srgbClr val="00B0F0"/>
              </a:solidFill>
              <a:ln>
                <a:solidFill>
                  <a:srgbClr val="00B0F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00B0F0"/>
                </a:contourClr>
              </a:sp3d>
            </c:spPr>
            <c:extLst>
              <c:ext xmlns:c16="http://schemas.microsoft.com/office/drawing/2014/chart" uri="{C3380CC4-5D6E-409C-BE32-E72D297353CC}">
                <c16:uniqueId val="{00000005-7C86-4392-A6E9-A6F5A670917F}"/>
              </c:ext>
            </c:extLst>
          </c:dPt>
          <c:dPt>
            <c:idx val="4"/>
            <c:invertIfNegative val="0"/>
            <c:bubble3D val="0"/>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7C86-4392-A6E9-A6F5A670917F}"/>
              </c:ext>
            </c:extLst>
          </c:dPt>
          <c:dPt>
            <c:idx val="5"/>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7C86-4392-A6E9-A6F5A67091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'[Chart 2 in Microsoft Word]Sheet1'!$B$19:$B$24</c:f>
              <c:strCache>
                <c:ptCount val="6"/>
                <c:pt idx="0">
                  <c:v>Easily Accessible</c:v>
                </c:pt>
                <c:pt idx="1">
                  <c:v>Ongoing Information</c:v>
                </c:pt>
                <c:pt idx="2">
                  <c:v>Easy To Use</c:v>
                </c:pt>
                <c:pt idx="3">
                  <c:v>Technology-Based</c:v>
                </c:pt>
                <c:pt idx="4">
                  <c:v>Intelligence Systems </c:v>
                </c:pt>
                <c:pt idx="5">
                  <c:v>Educational Interactions</c:v>
                </c:pt>
              </c:strCache>
            </c:strRef>
          </c:cat>
          <c:val>
            <c:numRef>
              <c:f>'[Chart 2 in Microsoft Word]Sheet1'!$C$19:$C$24</c:f>
              <c:numCache>
                <c:formatCode>0.00%</c:formatCode>
                <c:ptCount val="6"/>
                <c:pt idx="0">
                  <c:v>0.86499999999999999</c:v>
                </c:pt>
                <c:pt idx="1">
                  <c:v>0.79700000000000004</c:v>
                </c:pt>
                <c:pt idx="2" formatCode="0%">
                  <c:v>0.82</c:v>
                </c:pt>
                <c:pt idx="3">
                  <c:v>0.92400000000000004</c:v>
                </c:pt>
                <c:pt idx="4">
                  <c:v>0.88200000000000001</c:v>
                </c:pt>
                <c:pt idx="5">
                  <c:v>0.91200000000000003</c:v>
                </c:pt>
              </c:numCache>
            </c:numRef>
          </c:val>
          <c:extLst>
            <c:ext xmlns:c16="http://schemas.microsoft.com/office/drawing/2014/chart" uri="{C3380CC4-5D6E-409C-BE32-E72D297353CC}">
              <c16:uniqueId val="{0000000A-7C86-4392-A6E9-A6F5A670917F}"/>
            </c:ext>
          </c:extLst>
        </c:ser>
        <c:dLbls>
          <c:showLegendKey val="0"/>
          <c:showVal val="1"/>
          <c:showCatName val="0"/>
          <c:showSerName val="0"/>
          <c:showPercent val="0"/>
          <c:showBubbleSize val="0"/>
        </c:dLbls>
        <c:gapWidth val="150"/>
        <c:shape val="box"/>
        <c:axId val="36731904"/>
        <c:axId val="109658880"/>
        <c:axId val="0"/>
      </c:bar3DChart>
      <c:catAx>
        <c:axId val="36731904"/>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crossAx val="109658880"/>
        <c:crosses val="autoZero"/>
        <c:auto val="1"/>
        <c:lblAlgn val="ctr"/>
        <c:lblOffset val="100"/>
        <c:noMultiLvlLbl val="0"/>
      </c:catAx>
      <c:valAx>
        <c:axId val="109658880"/>
        <c:scaling>
          <c:orientation val="minMax"/>
        </c:scaling>
        <c:delete val="0"/>
        <c:axPos val="b"/>
        <c:majorGridlines>
          <c:spPr>
            <a:ln w="9525" cap="flat" cmpd="sng" algn="ctr">
              <a:solidFill>
                <a:schemeClr val="dk1">
                  <a:lumMod val="50000"/>
                  <a:lumOff val="5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crossAx val="367319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8457</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andika</cp:lastModifiedBy>
  <cp:revision>81</cp:revision>
  <dcterms:created xsi:type="dcterms:W3CDTF">2020-09-07T07:51:00Z</dcterms:created>
  <dcterms:modified xsi:type="dcterms:W3CDTF">2020-09-07T07:54:00Z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http://www.zotero.org/styles/iop-conference-series-materials-science-and-engineering</vt:lpwstr>
  </property>
  <property fmtid="{D5CDD505-2E9C-101B-9397-08002B2CF9AE}" pid="23" name="Mendeley Document_1">
    <vt:lpwstr>True</vt:lpwstr>
  </property>
  <property fmtid="{D5CDD505-2E9C-101B-9397-08002B2CF9AE}" pid="24" name="Mendeley Unique User Id_1">
    <vt:lpwstr>c29fc1cc-26ae-3a23-8a89-bbe447d508bd</vt:lpwstr>
  </property>
</Properties>
</file>