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59EF7" w14:textId="38947EFB" w:rsidR="009A0487" w:rsidRPr="009C541F" w:rsidRDefault="00F47A65">
      <w:pPr>
        <w:pStyle w:val="Title"/>
      </w:pPr>
      <w:r w:rsidRPr="00F47A65">
        <w:t>Potential use of graded concrete as structural elements of multi-storey buildings</w:t>
      </w:r>
    </w:p>
    <w:p w14:paraId="26304EBC" w14:textId="48DE7304" w:rsidR="009A0487" w:rsidRDefault="001E54C6">
      <w:pPr>
        <w:pStyle w:val="Authors"/>
      </w:pPr>
      <w:r w:rsidRPr="00F47A65">
        <w:t>M</w:t>
      </w:r>
      <w:r>
        <w:t xml:space="preserve"> </w:t>
      </w:r>
      <w:proofErr w:type="spellStart"/>
      <w:r w:rsidRPr="00F47A65">
        <w:t>M</w:t>
      </w:r>
      <w:proofErr w:type="spellEnd"/>
      <w:r w:rsidRPr="00F47A65">
        <w:t xml:space="preserve"> A Pratama</w:t>
      </w:r>
      <w:r w:rsidRPr="00F47A65">
        <w:rPr>
          <w:vertAlign w:val="superscript"/>
        </w:rPr>
        <w:t>1</w:t>
      </w:r>
      <w:r w:rsidRPr="00F47A65">
        <w:t xml:space="preserve">, </w:t>
      </w:r>
      <w:r w:rsidR="00754339" w:rsidRPr="00F47A65">
        <w:t>S Abifurrizal</w:t>
      </w:r>
      <w:r w:rsidR="00754339" w:rsidRPr="00F47A65">
        <w:rPr>
          <w:vertAlign w:val="superscript"/>
        </w:rPr>
        <w:t>1</w:t>
      </w:r>
      <w:r w:rsidR="00754339" w:rsidRPr="00F47A65">
        <w:t xml:space="preserve">, </w:t>
      </w:r>
      <w:r w:rsidR="00225CB6" w:rsidRPr="00E73910">
        <w:t>Y Novitasari</w:t>
      </w:r>
      <w:r w:rsidR="00225CB6" w:rsidRPr="00E73910">
        <w:rPr>
          <w:vertAlign w:val="superscript"/>
        </w:rPr>
        <w:t>1</w:t>
      </w:r>
      <w:r w:rsidR="00225CB6" w:rsidRPr="00E73910">
        <w:t>, W Damayanthi</w:t>
      </w:r>
      <w:r w:rsidR="00225CB6" w:rsidRPr="00E73910">
        <w:rPr>
          <w:vertAlign w:val="superscript"/>
        </w:rPr>
        <w:t>1</w:t>
      </w:r>
      <w:r w:rsidR="00225CB6" w:rsidRPr="00E73910">
        <w:t xml:space="preserve">, </w:t>
      </w:r>
      <w:r w:rsidR="00F47A65" w:rsidRPr="00F47A65">
        <w:t>P Puspitasari</w:t>
      </w:r>
      <w:r w:rsidR="00F47A65" w:rsidRPr="00F47A65">
        <w:rPr>
          <w:vertAlign w:val="superscript"/>
        </w:rPr>
        <w:t>2</w:t>
      </w:r>
      <w:r w:rsidR="00216396">
        <w:t xml:space="preserve">, A </w:t>
      </w:r>
      <w:proofErr w:type="spellStart"/>
      <w:r w:rsidR="00216396">
        <w:t>A</w:t>
      </w:r>
      <w:proofErr w:type="spellEnd"/>
      <w:r w:rsidR="00216396">
        <w:t xml:space="preserve"> Permanasari</w:t>
      </w:r>
      <w:r w:rsidR="00216396" w:rsidRPr="00F47A65">
        <w:rPr>
          <w:vertAlign w:val="superscript"/>
        </w:rPr>
        <w:t>2</w:t>
      </w:r>
    </w:p>
    <w:p w14:paraId="2FF1348D" w14:textId="77777777" w:rsidR="00F47A65" w:rsidRDefault="00F47A65" w:rsidP="0012281A">
      <w:pPr>
        <w:pStyle w:val="Addresses"/>
        <w:spacing w:after="0"/>
      </w:pPr>
      <w:bookmarkStart w:id="0" w:name="_Hlk47368451"/>
      <w:r w:rsidRPr="0012281A">
        <w:rPr>
          <w:vertAlign w:val="superscript"/>
        </w:rPr>
        <w:t>1</w:t>
      </w:r>
      <w:r>
        <w:t xml:space="preserve"> Department of Civil Engineering, Faculty of Engineering, Universitas Negeri Malang, Indonesia</w:t>
      </w:r>
      <w:bookmarkEnd w:id="0"/>
    </w:p>
    <w:p w14:paraId="26495671" w14:textId="02335FBC" w:rsidR="009A0487" w:rsidRDefault="00F47A65" w:rsidP="00F47A65">
      <w:pPr>
        <w:pStyle w:val="Addresses"/>
      </w:pPr>
      <w:r w:rsidRPr="00447A92">
        <w:rPr>
          <w:vertAlign w:val="superscript"/>
        </w:rPr>
        <w:t xml:space="preserve">2 </w:t>
      </w:r>
      <w:r>
        <w:t>Department of Mechanical Engineering, Faculty of Engineering, Universitas Negeri Malang, Indonesia</w:t>
      </w:r>
    </w:p>
    <w:p w14:paraId="3EA94BAA" w14:textId="22522099" w:rsidR="009A0487" w:rsidRDefault="0012281A">
      <w:pPr>
        <w:pStyle w:val="E-mail"/>
      </w:pPr>
      <w:r>
        <w:t xml:space="preserve">Corresponding author: </w:t>
      </w:r>
      <w:r w:rsidR="00F47A65" w:rsidRPr="00F47A65">
        <w:t>mirza.abdillah.ft@um.ac.id</w:t>
      </w:r>
    </w:p>
    <w:p w14:paraId="7FC890DF" w14:textId="61324CC8" w:rsidR="009A0487" w:rsidRDefault="009A0487">
      <w:pPr>
        <w:pStyle w:val="Abstract"/>
      </w:pPr>
      <w:r>
        <w:rPr>
          <w:b/>
        </w:rPr>
        <w:t>Abstract</w:t>
      </w:r>
      <w:r>
        <w:t xml:space="preserve">. </w:t>
      </w:r>
      <w:bookmarkStart w:id="1" w:name="_Hlk47371863"/>
      <w:r w:rsidR="00692739" w:rsidRPr="00692739">
        <w:t>Research related to graded concrete is continuedly conducted to create high strength, lighter specific gravity, and lower manufacturing costs. In this study, researchers aim to study the behaviour of structures using graded concrete as a construction material. Two buildings with different slenderness ratios are prepared using ETABS. The results show that the structural vibration time of all models, do not exceed the maximum allowable value. The use of graded concrete provides a significant effect in high-rise buildings so that the high-rise structures behave more rigid in responding to lateral loads. The trend of storey stiffness increase is at the minimum value at the lower level and is gradually increasing on the higher storey level. The application of graded concrete as building materials in multi-storey buildings can be applied in storey level above the 1st floor so that the factors of material characteristics will dominate rather than the behaviour of the structures to create efficient construction. The use of graded concrete can reduce the value of sway in each model. The reduction of the sway gradually increases on the upper floor of the building. This is related to the additional stiffness contributed by the graded concrete of beams against the slabs.</w:t>
      </w:r>
    </w:p>
    <w:bookmarkEnd w:id="1"/>
    <w:p w14:paraId="4C6AAC3A" w14:textId="4557335F" w:rsidR="009A0487" w:rsidRDefault="0012281A">
      <w:pPr>
        <w:pStyle w:val="Section"/>
      </w:pPr>
      <w:r>
        <w:t>Introduction</w:t>
      </w:r>
    </w:p>
    <w:p w14:paraId="6D6090F3" w14:textId="240D9FCD" w:rsidR="00F47A65" w:rsidRDefault="00F47A65" w:rsidP="00F47A65">
      <w:pPr>
        <w:pStyle w:val="Bodytext"/>
      </w:pPr>
      <w:r>
        <w:t xml:space="preserve">The demand </w:t>
      </w:r>
      <w:r w:rsidR="0074453D">
        <w:t>for</w:t>
      </w:r>
      <w:r>
        <w:t xml:space="preserve"> concrete as construction material, especially for buildings, is still relatively high because of the affordable cost and simplicity in designing and handling compared to steel. Concrete structures can save up to 30% than of steel structures due to lower unit price, reuse of formwork, and conventional concreting methods</w:t>
      </w:r>
      <w:r w:rsidR="00CB1197">
        <w:t xml:space="preserve"> </w:t>
      </w:r>
      <w:r w:rsidR="00CB1197">
        <w:fldChar w:fldCharType="begin"/>
      </w:r>
      <w:r w:rsidR="00CB1197">
        <w:instrText xml:space="preserve"> ADDIN ZOTERO_ITEM CSL_CITATION {"citationID":"vWl4Gz8J","properties":{"formattedCitation":"[1]","plainCitation":"[1]","noteIndex":0},"citationItems":[{"id":109,"uris":["http://zotero.org/users/6762436/items/AKKA3WD6"],"uri":["http://zotero.org/users/6762436/items/AKKA3WD6"],"itemData":{"id":109,"type":"article-journal","container-title":"Cement and Concrete Research","DOI":"10.1016/j.cemconres.2018.05.002","ISSN":"00088846","journalAbbreviation":"Cement and Concrete Research","language":"en","page":"5-24","source":"DOI.org (Crossref)","title":"Concrete material science: Past, present, and future innovations","title-short":"Concrete material science","volume":"112","author":[{"family":"Van Damme","given":"Henri"}],"issued":{"date-parts":[["2018",10]]}}}],"schema":"https://github.com/citation-style-language/schema/raw/master/csl-citation.json"} </w:instrText>
      </w:r>
      <w:r w:rsidR="00CB1197">
        <w:fldChar w:fldCharType="separate"/>
      </w:r>
      <w:r w:rsidR="00CB1197" w:rsidRPr="00CB1197">
        <w:rPr>
          <w:rFonts w:cs="Times"/>
        </w:rPr>
        <w:t>[1]</w:t>
      </w:r>
      <w:r w:rsidR="00CB1197">
        <w:fldChar w:fldCharType="end"/>
      </w:r>
      <w:r>
        <w:t>. These technical reasons make concrete extensively used at many construction projects, from simple to complex structures. In terms of material resistance, concrete provides better durability compared to steel</w:t>
      </w:r>
      <w:r w:rsidR="00CB1197">
        <w:t xml:space="preserve"> </w:t>
      </w:r>
      <w:r w:rsidR="00CB1197">
        <w:fldChar w:fldCharType="begin"/>
      </w:r>
      <w:r w:rsidR="00CB1197">
        <w:instrText xml:space="preserve"> ADDIN ZOTERO_ITEM CSL_CITATION {"citationID":"kd5wwUOz","properties":{"formattedCitation":"[2]","plainCitation":"[2]","noteIndex":0},"citationItems":[{"id":105,"uris":["http://zotero.org/users/6762436/items/UAZBLPPV"],"uri":["http://zotero.org/users/6762436/items/UAZBLPPV"],"itemData":{"id":105,"type":"article-journal","container-title":"Cement and Concrete Research","DOI":"10.1016/j.cemconres.2015.05.021","ISSN":"00088846","journalAbbreviation":"Cement and Concrete Research","language":"en","page":"143-154","source":"DOI.org (Crossref)","title":"Recent durability studies on concrete structure","volume":"78","author":[{"family":"Tang","given":"S.W."},{"family":"Yao","given":"Y."},{"family":"Andrade","given":"C."},{"family":"Li","given":"Z.J."}],"issued":{"date-parts":[["2015",12]]}}}],"schema":"https://github.com/citation-style-language/schema/raw/master/csl-citation.json"} </w:instrText>
      </w:r>
      <w:r w:rsidR="00CB1197">
        <w:fldChar w:fldCharType="separate"/>
      </w:r>
      <w:r w:rsidR="00CB1197" w:rsidRPr="00CB1197">
        <w:rPr>
          <w:rFonts w:cs="Times"/>
        </w:rPr>
        <w:t>[2]</w:t>
      </w:r>
      <w:r w:rsidR="00CB1197">
        <w:fldChar w:fldCharType="end"/>
      </w:r>
      <w:r>
        <w:t>. Concrete has alkaline properties so it has better resistance to rust</w:t>
      </w:r>
      <w:r w:rsidR="00CB1197">
        <w:t xml:space="preserve"> </w:t>
      </w:r>
      <w:r w:rsidR="00CB1197">
        <w:fldChar w:fldCharType="begin"/>
      </w:r>
      <w:r w:rsidR="00CB1197">
        <w:instrText xml:space="preserve"> ADDIN ZOTERO_ITEM CSL_CITATION {"citationID":"HxBQo7P4","properties":{"formattedCitation":"[3]","plainCitation":"[3]","noteIndex":0},"citationItems":[{"id":108,"uris":["http://zotero.org/users/6762436/items/QLRSFAKS"],"uri":["http://zotero.org/users/6762436/items/QLRSFAKS"],"itemData":{"id":108,"type":"article-journal","container-title":"Cement and Concrete Composites","DOI":"10.1016/j.cemconcomp.2009.08.001","ISSN":"09589465","issue":"1","journalAbbreviation":"Cement and Concrete Composites","language":"en","page":"34-42","source":"DOI.org (Crossref)","title":"Chloride resistance of concrete and its binding capacity – Comparison between experimental results and thermodynamic modeling","volume":"32","author":[{"family":"Loser","given":"Roman"},{"family":"Lothenbach","given":"Barbara"},{"family":"Leemann","given":"Andreas"},{"family":"Tuchschmid","given":"Martin"}],"issued":{"date-parts":[["2010",1]]}}}],"schema":"https://github.com/citation-style-language/schema/raw/master/csl-citation.json"} </w:instrText>
      </w:r>
      <w:r w:rsidR="00CB1197">
        <w:fldChar w:fldCharType="separate"/>
      </w:r>
      <w:r w:rsidR="00CB1197" w:rsidRPr="00CB1197">
        <w:rPr>
          <w:rFonts w:cs="Times"/>
        </w:rPr>
        <w:t>[3]</w:t>
      </w:r>
      <w:r w:rsidR="00CB1197">
        <w:fldChar w:fldCharType="end"/>
      </w:r>
      <w:r>
        <w:t xml:space="preserve">. Meanwhile, steel requires proofing to provide protection and to control against corrosion, changing the type of metal and design, changing the corrosive media, changing the potential and coating the surface. These actions require additional costs and handling. </w:t>
      </w:r>
      <w:r w:rsidR="0074453D">
        <w:t>Besides</w:t>
      </w:r>
      <w:r>
        <w:t>, concrete is suitable to be applied to high rise buildings because of its better stability than steel. Concrete structural elements are more resistant to the risk of buckling because of the greater slenderness of the elements</w:t>
      </w:r>
    </w:p>
    <w:p w14:paraId="3BE24BCC" w14:textId="284D5E97" w:rsidR="009A0487" w:rsidRDefault="00F47A65" w:rsidP="00F47A65">
      <w:pPr>
        <w:pStyle w:val="BodytextIndented"/>
      </w:pPr>
      <w:r>
        <w:t xml:space="preserve">Research related to concrete materials is continuedly conducted to create high strength, lighter specific gravity, and lower manufacturing costs. Graded concrete is one of the researches in the field of concrete materials that aims to create high strength materials with lower production costs. The results showed that graded concrete can improve the performance of the compressive strength and modulus of </w:t>
      </w:r>
      <w:r>
        <w:lastRenderedPageBreak/>
        <w:t>elasticity so that the level of serviceability increases</w:t>
      </w:r>
      <w:r w:rsidR="00F03422">
        <w:t xml:space="preserve"> </w:t>
      </w:r>
      <w:r w:rsidR="00F03422">
        <w:fldChar w:fldCharType="begin"/>
      </w:r>
      <w:r w:rsidR="00F03422">
        <w:instrText xml:space="preserve"> ADDIN ZOTERO_ITEM CSL_CITATION {"citationID":"dCrNqYay","properties":{"formattedCitation":"[4\\uc0\\u8211{}8]","plainCitation":"[4–8]","noteIndex":0},"citationItems":[{"id":82,"uris":["http://zotero.org/users/6762436/items/9E3ELN3B"],"uri":["http://zotero.org/users/6762436/items/9E3ELN3B"],"itemData":{"id":82,"type":"article-journal","DOI":"10.13140/RG.2.1.4082.4568","language":"en","note":"publisher: Unpublished","source":"DOI.org (Datacite)","title":"An Experimental Study and Finite Element Approach to the Behavior of Graded Concrete","URL":"http://rgdoi.net/10.13140/RG.2.1.4082.4568","author":[{"family":"M. Mirza Abdillah Pratama","given":""}],"accessed":{"date-parts":[["2020",8,3]]},"issued":{"date-parts":[["2015"]]}},"label":"page"},{"id":45,"uris":["http://zotero.org/users/6762436/items/JLB9J93M"],"uri":["http://zotero.org/users/6762436/items/JLB9J93M"],"itemData":{"id":45,"type":"article-journal","abstract":"Graded concrete is a relatively new construction material that could possibly optimise the use of cement as binding agent in concrete without sacrificing the structural performance significantly. The concept of graded concrete is by combining two different concrete mixes of more with specific compaction method to diminish the transition joint so that a material with functionally properties grading achieved. Previous researches show that the strength of graded concrete is determined by the lowest concrete strength, but the study focussing on the resulting elastic modulus has not been conducted intensively. The numerical analysis is robust in predicting the behaviour of testing material so it is possible to conduct a modelling of graded concrete, especially to study the modulus of elasticity of the graded concrete using finite element analysis programme. Six models of cylindrical graded concrete with different variation of concrete strength disparity is studied in this research, which are 24.7 – 30 MPa; 24.7 – 40 MPa; 24.7 – 50 MPa; 24.7 – 57.2 MPa; 24.7 – 60 MPa; and 24.7 – 70 MPa. The findings are then compared to the testing result of normal concrete 24.7 MPa. The load – deformation relationship from the simulation result is then analysed to obtain the modulus of elasticity. The research found that the modulus of elasticity of concrete material could be increased by adopting the concept of graded concrete. The application of graded concrete also could improve the level of serviceability of structures.","language":"id","page":"8","source":"Zotero","title":"ANALISIS NUMERIK MODULUS ELASTISITAS BETON GRADASI","author":[{"family":"Pratama","given":"M Mirza Abdillah"}]},"label":"page"},{"id":76,"uris":["http://zotero.org/users/6762436/items/N2TCGS3U"],"uri":["http://zotero.org/users/6762436/items/N2TCGS3U"],"itemData":{"id":76,"type":"paper-conference","abstract":"Concrete casting, compacting method, and characteristic of the concrete material determine the performance of concrete as building element due to the material uniformity issue. Previous studies show that gradation in strength exists on building member by nature and negatively influence the load carrying capacity of the member. A pilot research had modeled the concrete gradation in strength with controllable variable and observed that the weakest material determines the strength of graded concrete through uniaxial compressive loading test. This research intends to confirm the recent finding by a numerical approach with extensive variables of strength disparity. The finite element analysis was conducted using the Strand7 nonlinear program. The results displayed that the increase of strength disparity in graded concrete models leads to the slight reduction of models strength. A substantial difference in displacement response is encountered on the models for the small disparity of concrete strength. However, the higher strength of concrete mix in the graded concrete models contributes to the rise of material stiffness that provides a beneficial purpose for serviceability of building members.","DOI":"10.1063/1.5003512","event":"GREEN CONSTRUCTION AND ENGINEERING EDUCATION FOR SUSTAINABLE FUTURE: Proceedings of the Green Construction and Engineering Education (GCEE) Conference 2017","event-place":"East Java, Indonesia","language":"en","page":"020029","publisher-place":"East Java, Indonesia","source":"DOI.org (Crossref)","title":"Effect of concrete strength gradation to the compressive strength of graded concrete, a numerical approach","URL":"http://aip.scitation.org/doi/abs/10.1063/1.5003512","author":[{"family":"Pratama","given":"M. Mirza Abdillah"},{"family":"Aylie","given":"Han"},{"family":"Gan","given":"Buntara Sthenly"},{"family":"Umniati","given":"B. Sri"},{"family":"Risdanareni","given":"Puput"},{"family":"Fauziyah","given":"Shifa"}],"accessed":{"date-parts":[["2020",8,3]]},"issued":{"date-parts":[["2017"]]}},"label":"page"},{"id":79,"uris":["http://zotero.org/users/6762436/items/ZKP9M49P"],"uri":["http://zotero.org/users/6762436/items/ZKP9M49P"],"itemData":{"id":79,"type":"paper-conference","abstract":"Graded concrete is one of the functionally graded materials in civil engineering that can reduce the use of cement to create a high-performance structural element. The graded concrete is formed by combining two distinguish concrete mixes or more which have different strength so that the elements with varying material properties in a certain direction are obtained. The results of previous studies stated that the concrete compressive strength of the graded concrete was determined by the lowest strength while the studies discussing the resulting modulus of elasticity had not been conducted intensively. This research aimed to analyse the effect of concrete strength disparity in graded concrete to the modulus of elasticity. Six concrete cylindrical models were analysed using the Strand7 programme to obtain the stress-strain relationship on compression. The data is then analysed to obtain the modulus of elasticity of each model. The results show that the graded concrete can increase the modulus of elasticity of the concrete, and can be further improved by combining two drastically different concrete strength. The application of graded concrete can increase the serviceability level of structural elements and reduce the deflection due to working loads.","container-title":"Proceedings of the 2nd International Conference on Vocational Education and Training (ICOVET 2018)","DOI":"10.2991/icovet-18.2019.29","event":"Proceedings of the 2nd International Conference on Vocational Education and Training (ICOVET 2018)","event-place":"Malang, Indonesia","ISBN":"978-94-6252-668-6","language":"en","publisher":"Atlantis Press","publisher-place":"Malang, Indonesia","source":"DOI.org (Crossref)","title":"A Numerical Analysis of The Modulus of Elasticity of The Graded Concrete","URL":"https://www.atlantis-press.com/article/55913281","author":[{"family":"Pratama","given":"M. Mirza Abdillah"},{"family":"Sthenly Gan","given":"Buntara"},{"family":"Han Ay Lie","given":"Han Ay Lie"},{"family":"Nur Rahma Putra","given":"Andika Bagus"}],"accessed":{"date-parts":[["2020",8,3]]},"issued":{"date-parts":[["2019"]]}},"label":"page"},{"id":78,"uris":["http://zotero.org/users/6762436/items/6ATPIMV8"],"uri":["http://zotero.org/users/6762436/items/6ATPIMV8"],"itemData":{"id":78,"type":"article-journal","abstract":"The elastic modulus of materials plays a role in determining the stiffness of a structural element and its level of serviceability. Previous research indicates that the concrete modulus of elasticity could be improved by combining 2 (two) concrete mixes using a gradual compacting method. In this study, the effect of different concrete strength combinations to the resulting modulus of elasticity is examined. Three types of concrete mixes with a strength of 30 MPa, 40 MPa and 50 MPa are prepared. The graded concrete is moulded in cylindrical concrete casts (150 mm x 300 mm) with the following casting configurations: 30-40 MPa, 30-50 MPa, and 40-50 MPa. The static modulus of elasticity test is performed at an age of 28 days using compressometers in accordance with ASTM C469. The test results show that the modulus of elasticity of the graded concrete is proportionally influenced by the stiffness of the higher and the lower concrete material. Additionally, the resulting compressive strength of the graded concrete is determined by the lower concrete strength.","container-title":"MATEC Web of Conferences","DOI":"10.1051/matecconf/201819501005","ISSN":"2261-236X","journalAbbreviation":"MATEC Web Conf.","language":"en","page":"01005","source":"DOI.org (Crossref)","title":"Modulus elasticity of the graded concrete, a preliminary research","volume":"195","author":[{"family":"Pratama","given":"M. Mirza Abdillah"},{"family":"Umniati","given":"B. Sri"},{"family":"Arumsari Mutiara Wulandari","given":"Bunga"},{"family":"Han","given":"Ay Lie"},{"family":"Sthenly Gan","given":"Buntara"},{"family":"Zhabrinna","given":"Zhabrinna"}],"editor":[{"family":"Hajek","given":"P."},{"family":"Han","given":"A.L."},{"family":"Kristiawan","given":"S."},{"family":"Chan","given":"W.T."},{"family":"Ismail","given":"M.b."},{"family":"Gan","given":"B.S."},{"family":"Sriravindrarajah","given":"R."},{"family":"Hidayat","given":"B.A."}],"issued":{"date-parts":[["2018"]]}},"label":"page"}],"schema":"https://github.com/citation-style-language/schema/raw/master/csl-citation.json"} </w:instrText>
      </w:r>
      <w:r w:rsidR="00F03422">
        <w:fldChar w:fldCharType="separate"/>
      </w:r>
      <w:r w:rsidR="00F03422" w:rsidRPr="00F03422">
        <w:rPr>
          <w:rFonts w:cs="Times"/>
          <w:szCs w:val="24"/>
        </w:rPr>
        <w:t>[4–8]</w:t>
      </w:r>
      <w:r w:rsidR="00F03422">
        <w:fldChar w:fldCharType="end"/>
      </w:r>
      <w:r>
        <w:t>. Research of graded concrete in the structural realm has been carried out to investigate the use of graded concrete material on the resulting of load</w:t>
      </w:r>
      <w:r w:rsidR="0074453D">
        <w:t>-</w:t>
      </w:r>
      <w:r>
        <w:t>deflection and the moment</w:t>
      </w:r>
      <w:r w:rsidR="0074453D">
        <w:t>-</w:t>
      </w:r>
      <w:r>
        <w:t>curvature</w:t>
      </w:r>
      <w:r w:rsidR="00F03422">
        <w:t xml:space="preserve"> </w:t>
      </w:r>
      <w:r w:rsidR="00F03422">
        <w:fldChar w:fldCharType="begin"/>
      </w:r>
      <w:r w:rsidR="00F03422">
        <w:instrText xml:space="preserve"> ADDIN ZOTERO_ITEM CSL_CITATION {"citationID":"t6cBOHl3","properties":{"formattedCitation":"[9\\uc0\\u8211{}11]","plainCitation":"[9–11]","noteIndex":0},"citationItems":[{"id":47,"uris":["http://zotero.org/users/6762436/items/ICD2M7YW"],"uri":["http://zotero.org/users/6762436/items/ICD2M7YW"],"itemData":{"id":47,"type":"article-journal","abstract":"Functionally graded concrete (FGC) is one of the most innovative materials combining two or more different concrete strength in building elements to optimise the construction cost. Studies focussing on the behaviour of graded concrete in flexural strength have been conducted by several researchers, whilst the research on the shear behaviour of FGC beam has not been initiated yet. Investigation on the shear behaviour of RC graded concrete beam is necessary due to the fabrication process could create a cold-joint that lower the load-carrying capacity of the element. Delamination possibly presents on the casted concrete layer during the loading and turns the beam behaviour more brittle in action. To further investigate these hypotheses, a laboratory testing and a numerical analysis are conducted in this research. Three pieces of RC beams with an identical dimension of 120 x 240 x 2200 mm are prepared with the concrete strength of 20 MPa, 30 MPa, and 20-30 MPa. The specimens are then tested using a four-point bending method in the age of 28 days. A set of strain gauge is mounted in stirrups surface to record the strain response on each incremental load. To validate the result, the specimens are also modelled in three-dimension using Abaqus. The results show that there is a significant difference in the stress-strain curve resulted from the experimental works and the model simulation. It is due to the limitation of programme to model the real interaction between the rebars and the concrete. In reality, the presence of aggregate interlocking, concrete contribution in withstanding compression stress, dowel effect improves the shear resistance of beams. Additionally, the interfacial failure did not present during the testing owing to the support of stirrups that confine the transition zone of concrete layers.","container-title":"IOP Conference Series: Materials Science and Engineering","DOI":"10.1088/1757-899X/669/1/012055","ISSN":"1757-899X","journalAbbreviation":"IOP Conf. Ser.: Mater. Sci. Eng.","language":"en","page":"012055","source":"DOI.org (Crossref)","title":"Numerical and experimental investigation on the shear resistance of functionally graded concrete (FGC) beams","volume":"669","author":[{"family":"Pratama","given":"M M A"},{"family":"Arifanda","given":"W"},{"family":"Karyadi","given":"K"},{"family":"Nindyawati","given":"N"},{"family":"Sulaksitaningrum","given":"R"},{"family":"Prayuda","given":"H"}],"issued":{"date-parts":[["2019",11,21]]}},"label":"page"},{"id":51,"uris":["http://zotero.org/users/6762436/items/9FD9I4GU"],"uri":["http://zotero.org/users/6762436/items/9FD9I4GU"],"itemData":{"id":51,"type":"article-journal","abstract":"Studies related to the bending behaviour of functionally graded concrete (FGC) beams are still investigated to explore the possibility of the more cost-efficient casting techniques and to produce high-performance FGC beam elements simultaneously. Previous researches show that the manufacture of FGC beams by combining two concrete mixes in two layers can increase the stiffness of the elements but it reduces the beam ductility. Research concentrating on the FGC beams with additional numbers of concrete layers was analysed in this study. Four pieces of FGC beams measuring 120 x 240 x 2200 mm were prepared with concrete strength of 25 MPa (NA); 30 MPa(NB); 30-20 MPa (GBA); and 30-20-30 MPa (GBAB). The specimens were tested in the laboratory using a four-point bending method. The experimental data consisting of the load increments and the mid-span deflections are further analysed to compare the resulting (1) maximum load-carrying capacity; (2) maximum deflection; (3) beam stiffness; (4) momentcurvature; and (5) ductility. The result shows that (1) the GBAB exhibited 0.83% greater maximum loads than the GBA; (2) the GBAB deflected 29.52% lesser than the GBA; (3) the GBAB posses stiffness 12.03% greater than the GBA; (4) the GBAB exhibited higher resulting yield points and ultimate state than the GBA at the moment-curvature relationship; and (5) the GBAB was 20.06% less ductile than the GBA.","container-title":"IOP Conference Series: Materials Science and Engineering","DOI":"10.1088/1757-899X/669/1/012054","ISSN":"1757-899X","journalAbbreviation":"IOP Conf. Ser.: Mater. Sci. Eng.","language":"en","page":"012054","source":"DOI.org (Crossref)","title":"Flexural behaviour of the functionally graded concrete beams using two-layers and three-layers configuration","volume":"669","author":[{"family":"Pratama","given":"M M A"},{"family":"Vertian","given":"T"},{"family":"Umniati","given":"B S"},{"family":"Yoh","given":"W H"}],"issued":{"date-parts":[["2019",11,21]]}},"label":"page"},{"id":48,"uris":["http://zotero.org/users/6762436/items/8P6WM9G2"],"uri":["http://zotero.org/users/6762436/items/8P6WM9G2"],"itemData":{"id":48,"type":"article-journal","abstract":"The use of functionally graded concrete in structural member provides a beneficial prospect since it promises the increase of beam stiffness with less of construction cost. In structural analysis, concrete stiffness plays role in determining the performance of beam elements in resisting deflection due to the working loads. In this study, the behaviour of the graded concrete beam is continuedly investigated. The bending moment-curvature relationship of the graded concrete beam is conducted numerically to understand the level of ductility and the failure mode compared with the conventional beam. A singly reinforced graded concrete beam is modelled using a non-linear simulation program, Strand7. The result of the analysis is then evaluated in accordance with the Eurocode. The graded concrete beam is expected to exhibit a reliable behaviour of bending moment – curvature so that the graded concrete beam is possible for advanced application as structural elements.","container-title":"IOP Conference Series: Materials Science and Engineering","DOI":"10.1088/1757-899X/494/1/012064","ISSN":"1757-899X","journalAbbreviation":"IOP Conf. Ser.: Mater. Sci. Eng.","language":"en","page":"012064","source":"DOI.org (Crossref)","title":"Finite element analysis of the bending moment-curvature of the double-layered graded concrete beam","volume":"494","author":[{"family":"Pratama","given":"M. Mirza Abdillah"},{"family":"Suhud","given":"Rizaldy Khoiru"},{"family":"Puspitasari","given":"Poppy"},{"family":"Kusuma","given":"Fuad Indra"},{"family":"Rahma Putra","given":"Andika Bagus Nur"}],"issued":{"date-parts":[["2019",3,29]]}},"label":"page"}],"schema":"https://github.com/citation-style-language/schema/raw/master/csl-citation.json"} </w:instrText>
      </w:r>
      <w:r w:rsidR="00F03422">
        <w:fldChar w:fldCharType="separate"/>
      </w:r>
      <w:r w:rsidR="00F03422" w:rsidRPr="00F03422">
        <w:rPr>
          <w:rFonts w:cs="Times"/>
          <w:szCs w:val="24"/>
        </w:rPr>
        <w:t>[9–11]</w:t>
      </w:r>
      <w:r w:rsidR="00F03422">
        <w:fldChar w:fldCharType="end"/>
      </w:r>
      <w:r>
        <w:t xml:space="preserve">. The results of this study show a positive trend so that the potential use of graded concrete has to be explored further. In this study, researchers aim to study the </w:t>
      </w:r>
      <w:proofErr w:type="spellStart"/>
      <w:r>
        <w:t>behaviour</w:t>
      </w:r>
      <w:proofErr w:type="spellEnd"/>
      <w:r>
        <w:t xml:space="preserve"> of structures using graded concrete as </w:t>
      </w:r>
      <w:r w:rsidR="0074453D">
        <w:t xml:space="preserve">a </w:t>
      </w:r>
      <w:r>
        <w:t xml:space="preserve">construction material. Two buildings with different slenderness ratios are prepared in 3D modelling using ETABS. Six different concrete strength are input to the </w:t>
      </w:r>
      <w:proofErr w:type="spellStart"/>
      <w:r>
        <w:t>programme</w:t>
      </w:r>
      <w:proofErr w:type="spellEnd"/>
      <w:r>
        <w:t xml:space="preserve"> to examine the structural responses. This research is expected to provide an understanding of the use of varying concrete disparity and slenderness ratio to the resulting structural </w:t>
      </w:r>
      <w:proofErr w:type="spellStart"/>
      <w:r>
        <w:t>behaviour</w:t>
      </w:r>
      <w:proofErr w:type="spellEnd"/>
      <w:r>
        <w:t xml:space="preserve">, namely fundamental periods, </w:t>
      </w:r>
      <w:proofErr w:type="spellStart"/>
      <w:r>
        <w:t>storey</w:t>
      </w:r>
      <w:proofErr w:type="spellEnd"/>
      <w:r>
        <w:t xml:space="preserve"> stiffness, and </w:t>
      </w:r>
      <w:proofErr w:type="spellStart"/>
      <w:r>
        <w:t>storey</w:t>
      </w:r>
      <w:proofErr w:type="spellEnd"/>
      <w:r>
        <w:t xml:space="preserve"> displacement.</w:t>
      </w:r>
    </w:p>
    <w:p w14:paraId="06CD0969" w14:textId="77777777" w:rsidR="00F47A65" w:rsidRPr="006D55C6" w:rsidRDefault="00F47A65" w:rsidP="00F47A65">
      <w:pPr>
        <w:pStyle w:val="Section"/>
      </w:pPr>
      <w:r w:rsidRPr="006D55C6">
        <w:t>Met</w:t>
      </w:r>
      <w:r>
        <w:t>hod</w:t>
      </w:r>
    </w:p>
    <w:p w14:paraId="02EEA5F0" w14:textId="3B329CE0" w:rsidR="00F47A65" w:rsidRDefault="00F47A65" w:rsidP="00F47A65">
      <w:pPr>
        <w:pStyle w:val="Bodytext"/>
      </w:pPr>
      <w:r w:rsidRPr="002049CD">
        <w:t>Three 3-dimensional building models with different slenderness ratios are prepared. Buildings consisting of 3, 6 and 9 floors are modelled with the E</w:t>
      </w:r>
      <w:r>
        <w:t>TABS</w:t>
      </w:r>
      <w:r w:rsidRPr="002049CD">
        <w:t>. The building is designed symmetrically on two sides with 3 bays with a distance between columns 4 meters and 3.5 meters</w:t>
      </w:r>
      <w:r>
        <w:t xml:space="preserve"> storey height</w:t>
      </w:r>
      <w:r w:rsidRPr="002049CD">
        <w:t xml:space="preserve">. Each building element is designed to experience cracking so that the modifier </w:t>
      </w:r>
      <w:r>
        <w:t xml:space="preserve">of </w:t>
      </w:r>
      <w:r w:rsidR="0074453D">
        <w:t xml:space="preserve">the </w:t>
      </w:r>
      <w:r w:rsidRPr="002049CD">
        <w:t xml:space="preserve">moment of inertia is applied. The dimensions of the building structural elements are listed in Table </w:t>
      </w:r>
      <w:r>
        <w:t>1</w:t>
      </w:r>
      <w:r w:rsidRPr="002049CD">
        <w:t>.</w:t>
      </w:r>
      <w:r>
        <w:t xml:space="preserve"> The result of 3D modelling of </w:t>
      </w:r>
      <w:r w:rsidRPr="002049CD">
        <w:t>3, 6 and 9</w:t>
      </w:r>
      <w:r>
        <w:t>-storey buildings is shown in Table 2.</w:t>
      </w:r>
    </w:p>
    <w:p w14:paraId="4CA4037A" w14:textId="77777777" w:rsidR="00F47A65" w:rsidRPr="006D55C6" w:rsidRDefault="00F47A65" w:rsidP="00F47A65">
      <w:pPr>
        <w:pStyle w:val="FigureCaption"/>
      </w:pPr>
      <w:r w:rsidRPr="00CC3D0B">
        <w:rPr>
          <w:b/>
          <w:bCs/>
        </w:rPr>
        <w:t>Table 1.</w:t>
      </w:r>
      <w:r w:rsidRPr="006D55C6">
        <w:t xml:space="preserve"> </w:t>
      </w:r>
      <w:r>
        <w:t>D</w:t>
      </w:r>
      <w:r w:rsidRPr="002049CD">
        <w:t>imensions of the structural elements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134"/>
        <w:gridCol w:w="1985"/>
        <w:gridCol w:w="2694"/>
      </w:tblGrid>
      <w:tr w:rsidR="00F47A65" w:rsidRPr="00192922" w14:paraId="5C3BD08A" w14:textId="77777777" w:rsidTr="00F47A65">
        <w:tc>
          <w:tcPr>
            <w:tcW w:w="2972" w:type="dxa"/>
            <w:tcBorders>
              <w:top w:val="single" w:sz="4" w:space="0" w:color="auto"/>
              <w:bottom w:val="single" w:sz="4" w:space="0" w:color="auto"/>
            </w:tcBorders>
          </w:tcPr>
          <w:p w14:paraId="4B263317"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Element</w:t>
            </w:r>
          </w:p>
        </w:tc>
        <w:tc>
          <w:tcPr>
            <w:tcW w:w="1134" w:type="dxa"/>
            <w:tcBorders>
              <w:top w:val="single" w:sz="4" w:space="0" w:color="auto"/>
              <w:bottom w:val="single" w:sz="4" w:space="0" w:color="auto"/>
            </w:tcBorders>
          </w:tcPr>
          <w:p w14:paraId="1382D60B"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Code</w:t>
            </w:r>
          </w:p>
        </w:tc>
        <w:tc>
          <w:tcPr>
            <w:tcW w:w="1985" w:type="dxa"/>
            <w:tcBorders>
              <w:top w:val="single" w:sz="4" w:space="0" w:color="auto"/>
              <w:bottom w:val="single" w:sz="4" w:space="0" w:color="auto"/>
            </w:tcBorders>
          </w:tcPr>
          <w:p w14:paraId="1D5A31ED"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Dimension</w:t>
            </w:r>
          </w:p>
          <w:p w14:paraId="283A00FB"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(mm)</w:t>
            </w:r>
          </w:p>
        </w:tc>
        <w:tc>
          <w:tcPr>
            <w:tcW w:w="2694" w:type="dxa"/>
            <w:tcBorders>
              <w:top w:val="single" w:sz="4" w:space="0" w:color="auto"/>
              <w:bottom w:val="single" w:sz="4" w:space="0" w:color="auto"/>
            </w:tcBorders>
          </w:tcPr>
          <w:p w14:paraId="54445348"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Moment of inertia modifier</w:t>
            </w:r>
          </w:p>
        </w:tc>
      </w:tr>
      <w:tr w:rsidR="00F47A65" w:rsidRPr="00192922" w14:paraId="3DF1E80C" w14:textId="77777777" w:rsidTr="00F47A65">
        <w:tc>
          <w:tcPr>
            <w:tcW w:w="2972" w:type="dxa"/>
            <w:tcBorders>
              <w:top w:val="single" w:sz="4" w:space="0" w:color="auto"/>
            </w:tcBorders>
          </w:tcPr>
          <w:p w14:paraId="7DBC20BC"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Columns</w:t>
            </w:r>
          </w:p>
        </w:tc>
        <w:tc>
          <w:tcPr>
            <w:tcW w:w="1134" w:type="dxa"/>
            <w:tcBorders>
              <w:top w:val="single" w:sz="4" w:space="0" w:color="auto"/>
            </w:tcBorders>
          </w:tcPr>
          <w:p w14:paraId="3540CE00"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C</w:t>
            </w:r>
          </w:p>
        </w:tc>
        <w:tc>
          <w:tcPr>
            <w:tcW w:w="1985" w:type="dxa"/>
            <w:tcBorders>
              <w:top w:val="single" w:sz="4" w:space="0" w:color="auto"/>
            </w:tcBorders>
          </w:tcPr>
          <w:p w14:paraId="122B99AA"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500 x 500</w:t>
            </w:r>
          </w:p>
        </w:tc>
        <w:tc>
          <w:tcPr>
            <w:tcW w:w="2694" w:type="dxa"/>
            <w:tcBorders>
              <w:top w:val="single" w:sz="4" w:space="0" w:color="auto"/>
            </w:tcBorders>
          </w:tcPr>
          <w:p w14:paraId="2DB2C30F"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0.7</w:t>
            </w:r>
          </w:p>
        </w:tc>
      </w:tr>
      <w:tr w:rsidR="00F47A65" w:rsidRPr="00192922" w14:paraId="632EC18B" w14:textId="77777777" w:rsidTr="00F47A65">
        <w:tc>
          <w:tcPr>
            <w:tcW w:w="2972" w:type="dxa"/>
          </w:tcPr>
          <w:p w14:paraId="045FE6C9"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Tie Beams</w:t>
            </w:r>
          </w:p>
        </w:tc>
        <w:tc>
          <w:tcPr>
            <w:tcW w:w="1134" w:type="dxa"/>
          </w:tcPr>
          <w:p w14:paraId="6E255900"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S</w:t>
            </w:r>
          </w:p>
        </w:tc>
        <w:tc>
          <w:tcPr>
            <w:tcW w:w="1985" w:type="dxa"/>
          </w:tcPr>
          <w:p w14:paraId="29D446BE"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200 x 400</w:t>
            </w:r>
          </w:p>
        </w:tc>
        <w:tc>
          <w:tcPr>
            <w:tcW w:w="2694" w:type="dxa"/>
          </w:tcPr>
          <w:p w14:paraId="4FAAB6AC"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0.35</w:t>
            </w:r>
          </w:p>
        </w:tc>
      </w:tr>
      <w:tr w:rsidR="00F47A65" w:rsidRPr="00192922" w14:paraId="1BFE58D3" w14:textId="77777777" w:rsidTr="00F47A65">
        <w:tc>
          <w:tcPr>
            <w:tcW w:w="2972" w:type="dxa"/>
          </w:tcPr>
          <w:p w14:paraId="13C3E244"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Beams</w:t>
            </w:r>
          </w:p>
        </w:tc>
        <w:tc>
          <w:tcPr>
            <w:tcW w:w="1134" w:type="dxa"/>
          </w:tcPr>
          <w:p w14:paraId="5CCC0C57"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B</w:t>
            </w:r>
          </w:p>
        </w:tc>
        <w:tc>
          <w:tcPr>
            <w:tcW w:w="1985" w:type="dxa"/>
          </w:tcPr>
          <w:p w14:paraId="1B0243F1"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300 x 400</w:t>
            </w:r>
          </w:p>
        </w:tc>
        <w:tc>
          <w:tcPr>
            <w:tcW w:w="2694" w:type="dxa"/>
          </w:tcPr>
          <w:p w14:paraId="40F54254"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0.35</w:t>
            </w:r>
          </w:p>
        </w:tc>
      </w:tr>
      <w:tr w:rsidR="00F47A65" w:rsidRPr="00192922" w14:paraId="5565D6E2" w14:textId="77777777" w:rsidTr="00F47A65">
        <w:tc>
          <w:tcPr>
            <w:tcW w:w="2972" w:type="dxa"/>
            <w:tcBorders>
              <w:bottom w:val="single" w:sz="4" w:space="0" w:color="auto"/>
            </w:tcBorders>
          </w:tcPr>
          <w:p w14:paraId="07A254FF" w14:textId="2E15A9B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Plate</w:t>
            </w:r>
          </w:p>
        </w:tc>
        <w:tc>
          <w:tcPr>
            <w:tcW w:w="1134" w:type="dxa"/>
            <w:tcBorders>
              <w:bottom w:val="single" w:sz="4" w:space="0" w:color="auto"/>
            </w:tcBorders>
          </w:tcPr>
          <w:p w14:paraId="79A372E8"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P</w:t>
            </w:r>
          </w:p>
        </w:tc>
        <w:tc>
          <w:tcPr>
            <w:tcW w:w="1985" w:type="dxa"/>
            <w:tcBorders>
              <w:bottom w:val="single" w:sz="4" w:space="0" w:color="auto"/>
            </w:tcBorders>
          </w:tcPr>
          <w:p w14:paraId="0E7C17EF"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120</w:t>
            </w:r>
          </w:p>
        </w:tc>
        <w:tc>
          <w:tcPr>
            <w:tcW w:w="2694" w:type="dxa"/>
            <w:tcBorders>
              <w:bottom w:val="single" w:sz="4" w:space="0" w:color="auto"/>
            </w:tcBorders>
          </w:tcPr>
          <w:p w14:paraId="49AEE3CC" w14:textId="77777777" w:rsidR="00F47A65" w:rsidRPr="00192922" w:rsidRDefault="00F47A65" w:rsidP="00F47A65">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0.25</w:t>
            </w:r>
          </w:p>
        </w:tc>
      </w:tr>
    </w:tbl>
    <w:p w14:paraId="0278382E" w14:textId="77777777" w:rsidR="00F47A65" w:rsidRPr="006D55C6" w:rsidRDefault="00F47A65" w:rsidP="00F47A65">
      <w:pPr>
        <w:rPr>
          <w:rFonts w:ascii="Times New Roman" w:hAnsi="Times New Roman"/>
        </w:rPr>
      </w:pPr>
    </w:p>
    <w:p w14:paraId="590FF967" w14:textId="17FF0A36" w:rsidR="00F47A65" w:rsidRDefault="00F47A65" w:rsidP="00F47A65">
      <w:pPr>
        <w:pStyle w:val="BodytextIndented"/>
      </w:pPr>
      <w:r w:rsidRPr="002049CD">
        <w:t>Buildings are modelled in three dimensions</w:t>
      </w:r>
      <w:r>
        <w:t xml:space="preserve"> approach</w:t>
      </w:r>
      <w:r w:rsidRPr="002049CD">
        <w:t xml:space="preserve"> using frame and membrane elements. Buildings </w:t>
      </w:r>
      <w:r>
        <w:t xml:space="preserve">with </w:t>
      </w:r>
      <w:r w:rsidRPr="002049CD">
        <w:t>3, 6, and 9 floors have a total height from the b</w:t>
      </w:r>
      <w:r>
        <w:t>ase</w:t>
      </w:r>
      <w:r w:rsidRPr="002049CD">
        <w:t xml:space="preserve"> of 11.7</w:t>
      </w:r>
      <w:r>
        <w:t>-meter</w:t>
      </w:r>
      <w:r w:rsidRPr="002049CD">
        <w:t>, 22.2</w:t>
      </w:r>
      <w:r>
        <w:t>-meter</w:t>
      </w:r>
      <w:r w:rsidRPr="002049CD">
        <w:t>, and 29.2</w:t>
      </w:r>
      <w:r>
        <w:t>-meter</w:t>
      </w:r>
      <w:r w:rsidRPr="002049CD">
        <w:t xml:space="preserve"> so that each of the buildings has a slenderness ratio of 0.98, 1.85 and 2.43. Each building model is then applied </w:t>
      </w:r>
      <w:r>
        <w:t>with concrete material properties</w:t>
      </w:r>
      <w:r w:rsidRPr="002049CD">
        <w:t xml:space="preserve"> of full </w:t>
      </w:r>
      <w:r>
        <w:t>normal</w:t>
      </w:r>
      <w:r w:rsidRPr="002049CD">
        <w:t xml:space="preserve"> concrete and partially graded concrete. In the building model with grad</w:t>
      </w:r>
      <w:r>
        <w:t>ed</w:t>
      </w:r>
      <w:r w:rsidRPr="002049CD">
        <w:t xml:space="preserve"> concrete, column</w:t>
      </w:r>
      <w:r>
        <w:t>s</w:t>
      </w:r>
      <w:r w:rsidRPr="002049CD">
        <w:t xml:space="preserve"> and </w:t>
      </w:r>
      <w:r>
        <w:t>slabs</w:t>
      </w:r>
      <w:r w:rsidRPr="002049CD">
        <w:t xml:space="preserve"> elements are still applied </w:t>
      </w:r>
      <w:r>
        <w:t xml:space="preserve">normal </w:t>
      </w:r>
      <w:r w:rsidRPr="002049CD">
        <w:t>concrete material</w:t>
      </w:r>
      <w:r>
        <w:t xml:space="preserve"> that</w:t>
      </w:r>
      <w:r w:rsidRPr="002049CD">
        <w:t xml:space="preserve"> follows the lowest concrete </w:t>
      </w:r>
      <w:r>
        <w:t>strength</w:t>
      </w:r>
      <w:r w:rsidRPr="002049CD">
        <w:t xml:space="preserve"> of </w:t>
      </w:r>
      <w:r>
        <w:t>the graded</w:t>
      </w:r>
      <w:r w:rsidRPr="002049CD">
        <w:t xml:space="preserve"> concrete </w:t>
      </w:r>
      <w:r>
        <w:t>constituent</w:t>
      </w:r>
      <w:r w:rsidRPr="002049CD">
        <w:t>, while the beam element</w:t>
      </w:r>
      <w:r>
        <w:t>s</w:t>
      </w:r>
      <w:r w:rsidRPr="002049CD">
        <w:t xml:space="preserve"> use</w:t>
      </w:r>
      <w:r w:rsidR="0074453D">
        <w:t xml:space="preserve"> a</w:t>
      </w:r>
      <w:r w:rsidRPr="002049CD">
        <w:t xml:space="preserve"> fully graded concrete. For example</w:t>
      </w:r>
      <w:r>
        <w:t>,</w:t>
      </w:r>
      <w:r w:rsidRPr="002049CD">
        <w:t xml:space="preserve"> a grad</w:t>
      </w:r>
      <w:r>
        <w:t>ed</w:t>
      </w:r>
      <w:r w:rsidRPr="002049CD">
        <w:t xml:space="preserve"> concrete building </w:t>
      </w:r>
      <w:r>
        <w:t xml:space="preserve">denoted </w:t>
      </w:r>
      <w:r w:rsidRPr="002049CD">
        <w:t xml:space="preserve">with G30/50, which is a combination of 30 MPa and 50 MPa concrete </w:t>
      </w:r>
      <w:r>
        <w:t>strength</w:t>
      </w:r>
      <w:r w:rsidRPr="002049CD">
        <w:t xml:space="preserve">, all beam elements use G30/50 as </w:t>
      </w:r>
      <w:r>
        <w:t>the</w:t>
      </w:r>
      <w:r w:rsidRPr="002049CD">
        <w:t xml:space="preserve"> constituent material, while </w:t>
      </w:r>
      <w:r>
        <w:t>the slabs</w:t>
      </w:r>
      <w:r w:rsidRPr="002049CD">
        <w:t xml:space="preserve"> and column</w:t>
      </w:r>
      <w:r>
        <w:t>s</w:t>
      </w:r>
      <w:r w:rsidRPr="002049CD">
        <w:t xml:space="preserve"> elements use 30 MPa. </w:t>
      </w:r>
      <w:r>
        <w:t>This setting</w:t>
      </w:r>
      <w:r w:rsidRPr="002049CD">
        <w:t xml:space="preserve"> will determine the characteristics and </w:t>
      </w:r>
      <w:r>
        <w:t xml:space="preserve">the </w:t>
      </w:r>
      <w:r w:rsidRPr="002049CD">
        <w:t>behavio</w:t>
      </w:r>
      <w:r>
        <w:t>u</w:t>
      </w:r>
      <w:r w:rsidRPr="002049CD">
        <w:t xml:space="preserve">r of individual elements as well as </w:t>
      </w:r>
      <w:r>
        <w:t xml:space="preserve">the </w:t>
      </w:r>
      <w:r w:rsidRPr="002049CD">
        <w:t xml:space="preserve">interactions with other elements in </w:t>
      </w:r>
      <w:r>
        <w:t xml:space="preserve">a </w:t>
      </w:r>
      <w:r w:rsidRPr="002049CD">
        <w:t>building.</w:t>
      </w:r>
      <w:r>
        <w:t xml:space="preserve"> </w:t>
      </w:r>
    </w:p>
    <w:p w14:paraId="3699DDEA" w14:textId="77777777" w:rsidR="00FA64C3" w:rsidRDefault="00F03422" w:rsidP="00FA64C3">
      <w:pPr>
        <w:pStyle w:val="BodytextIndented"/>
      </w:pPr>
      <w:r w:rsidRPr="00771838">
        <w:t xml:space="preserve">In detail, each building model </w:t>
      </w:r>
      <w:r>
        <w:t>with</w:t>
      </w:r>
      <w:r w:rsidRPr="00771838">
        <w:t xml:space="preserve"> 3, 6, and 9 </w:t>
      </w:r>
      <w:proofErr w:type="spellStart"/>
      <w:r>
        <w:t>storeys</w:t>
      </w:r>
      <w:proofErr w:type="spellEnd"/>
      <w:r w:rsidRPr="00771838">
        <w:t xml:space="preserve"> will be applied </w:t>
      </w:r>
      <w:r>
        <w:t>graded</w:t>
      </w:r>
      <w:r w:rsidRPr="00771838">
        <w:t xml:space="preserve"> concrete and normal concrete</w:t>
      </w:r>
      <w:r>
        <w:t xml:space="preserve"> materials</w:t>
      </w:r>
      <w:r w:rsidRPr="00771838">
        <w:t>. Grading concrete quality applied is G30 / 50 which is composed of a combination of 30 MPa and 50 MPa, to see the structural response to the difference in quality far adrift. The quality of normal concrete used is the quality of the concrete graders, which are 30 MPa and 50 MPa. The material density of both low, high</w:t>
      </w:r>
      <w:r w:rsidR="0074453D">
        <w:t>-</w:t>
      </w:r>
      <w:r w:rsidRPr="00771838">
        <w:t xml:space="preserve">quality concrete and gradation is considered constant at 2400 kg / m3. </w:t>
      </w:r>
      <w:r>
        <w:t>All c</w:t>
      </w:r>
      <w:r w:rsidRPr="00771838">
        <w:t xml:space="preserve">oncrete property data used in </w:t>
      </w:r>
      <w:r>
        <w:t>this study</w:t>
      </w:r>
      <w:r w:rsidRPr="00771838">
        <w:t xml:space="preserve"> refers to </w:t>
      </w:r>
      <w:r w:rsidR="0074453D">
        <w:t xml:space="preserve">the </w:t>
      </w:r>
      <w:r>
        <w:t xml:space="preserve">research of </w:t>
      </w:r>
      <w:r w:rsidRPr="00771838">
        <w:t xml:space="preserve">Pratama et al </w:t>
      </w:r>
      <w:r>
        <w:fldChar w:fldCharType="begin"/>
      </w:r>
      <w:r>
        <w:instrText xml:space="preserve"> ADDIN ZOTERO_ITEM CSL_CITATION {"citationID":"yQSRKAxs","properties":{"formattedCitation":"[8]","plainCitation":"[8]","noteIndex":0},"citationItems":[{"id":78,"uris":["http://zotero.org/users/6762436/items/6ATPIMV8"],"uri":["http://zotero.org/users/6762436/items/6ATPIMV8"],"itemData":{"id":78,"type":"article-journal","abstract":"The elastic modulus of materials plays a role in determining the stiffness of a structural element and its level of serviceability. Previous research indicates that the concrete modulus of elasticity could be improved by combining 2 (two) concrete mixes using a gradual compacting method. In this study, the effect of different concrete strength combinations to the resulting modulus of elasticity is examined. Three types of concrete mixes with a strength of 30 MPa, 40 MPa and 50 MPa are prepared. The graded concrete is moulded in cylindrical concrete casts (150 mm x 300 mm) with the following casting configurations: 30-40 MPa, 30-50 MPa, and 40-50 MPa. The static modulus of elasticity test is performed at an age of 28 days using compressometers in accordance with ASTM C469. The test results show that the modulus of elasticity of the graded concrete is proportionally influenced by the stiffness of the higher and the lower concrete material. Additionally, the resulting compressive strength of the graded concrete is determined by the lower concrete strength.","container-title":"MATEC Web of Conferences","DOI":"10.1051/matecconf/201819501005","ISSN":"2261-236X","journalAbbreviation":"MATEC Web Conf.","language":"en","page":"01005","source":"DOI.org (Crossref)","title":"Modulus elasticity of the graded concrete, a preliminary research","volume":"195","author":[{"family":"Pratama","given":"M. Mirza Abdillah"},{"family":"Umniati","given":"B. Sri"},{"family":"Arumsari Mutiara Wulandari","given":"Bunga"},{"family":"Han","given":"Ay Lie"},{"family":"Sthenly Gan","given":"Buntara"},{"family":"Zhabrinna","given":"Zhabrinna"}],"editor":[{"family":"Hajek","given":"P."},{"family":"Han","given":"A.L."},{"family":"Kristiawan","given":"S."},{"family":"Chan","given":"W.T."},{"family":"Ismail","given":"M.b."},{"family":"Gan","given":"B.S."},{"family":"Sriravindrarajah","given":"R."},{"family":"Hidayat","given":"B.A."}],"issued":{"date-parts":[["2018"]]}}}],"schema":"https://github.com/citation-style-language/schema/raw/master/csl-citation.json"} </w:instrText>
      </w:r>
      <w:r>
        <w:fldChar w:fldCharType="separate"/>
      </w:r>
      <w:r w:rsidRPr="00F03422">
        <w:rPr>
          <w:rFonts w:cs="Times"/>
        </w:rPr>
        <w:t>[8]</w:t>
      </w:r>
      <w:r>
        <w:fldChar w:fldCharType="end"/>
      </w:r>
      <w:r>
        <w:t>, which</w:t>
      </w:r>
      <w:r w:rsidRPr="00771838">
        <w:t xml:space="preserve"> is shown in </w:t>
      </w:r>
      <w:r>
        <w:t>T</w:t>
      </w:r>
      <w:r w:rsidRPr="00771838">
        <w:t xml:space="preserve">able </w:t>
      </w:r>
      <w:r>
        <w:t>3</w:t>
      </w:r>
      <w:r w:rsidRPr="00771838">
        <w:t>.</w:t>
      </w:r>
      <w:r w:rsidR="00FA64C3">
        <w:t xml:space="preserve"> </w:t>
      </w:r>
    </w:p>
    <w:p w14:paraId="3A51FCEB" w14:textId="0FDA1335" w:rsidR="00FA64C3" w:rsidRDefault="00FA64C3" w:rsidP="00FA64C3">
      <w:pPr>
        <w:pStyle w:val="BodytextIndented"/>
      </w:pPr>
      <w:r>
        <w:t>Each</w:t>
      </w:r>
      <w:r w:rsidRPr="00D57EB1">
        <w:t xml:space="preserve"> model is </w:t>
      </w:r>
      <w:proofErr w:type="spellStart"/>
      <w:r w:rsidRPr="00D57EB1">
        <w:t>analy</w:t>
      </w:r>
      <w:r>
        <w:t>s</w:t>
      </w:r>
      <w:r w:rsidRPr="00D57EB1">
        <w:t>ed</w:t>
      </w:r>
      <w:proofErr w:type="spellEnd"/>
      <w:r w:rsidRPr="00D57EB1">
        <w:t xml:space="preserve"> using a </w:t>
      </w:r>
      <w:r>
        <w:t xml:space="preserve">load </w:t>
      </w:r>
      <w:r w:rsidRPr="00D57EB1">
        <w:t xml:space="preserve">combination </w:t>
      </w:r>
      <w:r>
        <w:t xml:space="preserve">that </w:t>
      </w:r>
      <w:r w:rsidRPr="00D57EB1">
        <w:t xml:space="preserve">taking into account the dead load, additional dead load, live load, and earthquake load. Dead load is the </w:t>
      </w:r>
      <w:r>
        <w:t>self-weight</w:t>
      </w:r>
      <w:r w:rsidRPr="00D57EB1">
        <w:t xml:space="preserve"> </w:t>
      </w:r>
      <w:r>
        <w:t xml:space="preserve">of </w:t>
      </w:r>
      <w:r w:rsidRPr="00D57EB1">
        <w:t>structure integrated by default on each element of the building</w:t>
      </w:r>
      <w:r>
        <w:t xml:space="preserve"> in the </w:t>
      </w:r>
      <w:proofErr w:type="spellStart"/>
      <w:r>
        <w:t>programme</w:t>
      </w:r>
      <w:proofErr w:type="spellEnd"/>
      <w:r>
        <w:t xml:space="preserve"> since the input of material properties. The a</w:t>
      </w:r>
      <w:r w:rsidRPr="00D57EB1">
        <w:t>dditional dead load comes from the sedentary load of architectural and finishing components</w:t>
      </w:r>
      <w:r>
        <w:t xml:space="preserve"> on building.</w:t>
      </w:r>
      <w:r w:rsidRPr="00D57EB1">
        <w:t xml:space="preserve"> </w:t>
      </w:r>
      <w:r>
        <w:t>The standard value of l</w:t>
      </w:r>
      <w:r w:rsidRPr="00D57EB1">
        <w:t>i</w:t>
      </w:r>
      <w:r>
        <w:t>v</w:t>
      </w:r>
      <w:r w:rsidRPr="00D57EB1">
        <w:t xml:space="preserve">e load </w:t>
      </w:r>
      <w:r>
        <w:t>refers to Indonesian code.</w:t>
      </w:r>
      <w:r w:rsidRPr="00D57EB1">
        <w:t xml:space="preserve"> </w:t>
      </w:r>
      <w:r>
        <w:t>E</w:t>
      </w:r>
      <w:r w:rsidRPr="00D57EB1">
        <w:t xml:space="preserve">arthquake load comes from the response spectrum </w:t>
      </w:r>
      <w:r>
        <w:t>designed based on the building location and site condition</w:t>
      </w:r>
      <w:r w:rsidRPr="00D57EB1">
        <w:t>. Details of the load combination applied to the structure</w:t>
      </w:r>
      <w:r>
        <w:t>s</w:t>
      </w:r>
      <w:r w:rsidRPr="00D57EB1">
        <w:t xml:space="preserve"> are shown in </w:t>
      </w:r>
      <w:r>
        <w:t>T</w:t>
      </w:r>
      <w:r w:rsidRPr="00D57EB1">
        <w:t xml:space="preserve">able </w:t>
      </w:r>
      <w:r>
        <w:t>4</w:t>
      </w:r>
      <w:r w:rsidRPr="00D57EB1">
        <w:t>.</w:t>
      </w:r>
      <w:r>
        <w:t xml:space="preserve"> The value of </w:t>
      </w:r>
      <w:r w:rsidRPr="006D55C6">
        <w:t>SDS is calculated from response spectrum analysis</w:t>
      </w:r>
      <w:r>
        <w:t>.</w:t>
      </w:r>
    </w:p>
    <w:p w14:paraId="53658C45" w14:textId="4DFFEE93" w:rsidR="00F47A65" w:rsidRPr="006D55C6" w:rsidRDefault="00F47A65" w:rsidP="00F47A65">
      <w:pPr>
        <w:pStyle w:val="FigureCaption"/>
      </w:pPr>
      <w:r w:rsidRPr="00CC3D0B">
        <w:rPr>
          <w:b/>
          <w:bCs/>
        </w:rPr>
        <w:t>Table 2.</w:t>
      </w:r>
      <w:r w:rsidRPr="006D55C6">
        <w:t xml:space="preserve"> </w:t>
      </w:r>
      <w:r>
        <w:t xml:space="preserve">The result of 3D modelling of </w:t>
      </w:r>
      <w:r w:rsidRPr="002049CD">
        <w:t>3, 6 and 9</w:t>
      </w:r>
      <w:r>
        <w:t>-storey buildings</w:t>
      </w:r>
    </w:p>
    <w:tbl>
      <w:tblPr>
        <w:tblStyle w:val="TableGrid"/>
        <w:tblW w:w="90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2767"/>
        <w:gridCol w:w="2767"/>
        <w:gridCol w:w="2767"/>
      </w:tblGrid>
      <w:tr w:rsidR="00F47A65" w:rsidRPr="00192922" w14:paraId="2242A248" w14:textId="77777777" w:rsidTr="00AF011A">
        <w:tc>
          <w:tcPr>
            <w:tcW w:w="716" w:type="dxa"/>
            <w:tcBorders>
              <w:top w:val="single" w:sz="4" w:space="0" w:color="auto"/>
              <w:bottom w:val="single" w:sz="4" w:space="0" w:color="auto"/>
            </w:tcBorders>
          </w:tcPr>
          <w:p w14:paraId="79C311B3" w14:textId="77777777" w:rsidR="00F47A65" w:rsidRPr="00192922" w:rsidRDefault="00F47A65" w:rsidP="00192922">
            <w:pPr>
              <w:rPr>
                <w:rFonts w:ascii="Times New Roman" w:hAnsi="Times New Roman" w:cs="Times New Roman"/>
                <w:sz w:val="20"/>
                <w:szCs w:val="20"/>
                <w:lang w:val="en-GB"/>
              </w:rPr>
            </w:pPr>
            <w:r w:rsidRPr="00192922">
              <w:rPr>
                <w:rFonts w:ascii="Times New Roman" w:hAnsi="Times New Roman" w:cs="Times New Roman"/>
                <w:sz w:val="20"/>
                <w:szCs w:val="20"/>
                <w:lang w:val="en-GB"/>
              </w:rPr>
              <w:t>3D view</w:t>
            </w:r>
          </w:p>
        </w:tc>
        <w:tc>
          <w:tcPr>
            <w:tcW w:w="2767" w:type="dxa"/>
            <w:tcBorders>
              <w:top w:val="single" w:sz="4" w:space="0" w:color="auto"/>
              <w:bottom w:val="single" w:sz="4" w:space="0" w:color="auto"/>
            </w:tcBorders>
          </w:tcPr>
          <w:p w14:paraId="4B8AE9AD" w14:textId="77777777" w:rsidR="00F47A65" w:rsidRPr="00192922" w:rsidRDefault="00F47A65" w:rsidP="00192922">
            <w:pPr>
              <w:rPr>
                <w:rFonts w:ascii="Times New Roman" w:hAnsi="Times New Roman" w:cs="Times New Roman"/>
                <w:sz w:val="20"/>
                <w:szCs w:val="20"/>
                <w:lang w:val="en-GB"/>
              </w:rPr>
            </w:pPr>
            <w:r w:rsidRPr="00192922">
              <w:rPr>
                <w:rFonts w:ascii="Times New Roman" w:hAnsi="Times New Roman"/>
                <w:noProof/>
                <w:sz w:val="20"/>
                <w:lang w:val="en-US"/>
              </w:rPr>
              <w:drawing>
                <wp:inline distT="0" distB="0" distL="0" distR="0" wp14:anchorId="22F2488C" wp14:editId="43D5E95E">
                  <wp:extent cx="1620000" cy="157961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0000" cy="1579616"/>
                          </a:xfrm>
                          <a:prstGeom prst="rect">
                            <a:avLst/>
                          </a:prstGeom>
                        </pic:spPr>
                      </pic:pic>
                    </a:graphicData>
                  </a:graphic>
                </wp:inline>
              </w:drawing>
            </w:r>
          </w:p>
        </w:tc>
        <w:tc>
          <w:tcPr>
            <w:tcW w:w="2767" w:type="dxa"/>
            <w:tcBorders>
              <w:top w:val="single" w:sz="4" w:space="0" w:color="auto"/>
              <w:bottom w:val="single" w:sz="4" w:space="0" w:color="auto"/>
            </w:tcBorders>
          </w:tcPr>
          <w:p w14:paraId="2B33702F" w14:textId="77777777" w:rsidR="00F47A65" w:rsidRPr="00192922" w:rsidRDefault="00F47A65" w:rsidP="00192922">
            <w:pPr>
              <w:rPr>
                <w:rFonts w:ascii="Times New Roman" w:hAnsi="Times New Roman" w:cs="Times New Roman"/>
                <w:sz w:val="20"/>
                <w:szCs w:val="20"/>
                <w:lang w:val="en-GB"/>
              </w:rPr>
            </w:pPr>
            <w:r w:rsidRPr="00192922">
              <w:rPr>
                <w:rFonts w:ascii="Times New Roman" w:hAnsi="Times New Roman"/>
                <w:noProof/>
                <w:sz w:val="20"/>
                <w:lang w:val="en-US"/>
              </w:rPr>
              <w:drawing>
                <wp:inline distT="0" distB="0" distL="0" distR="0" wp14:anchorId="00669212" wp14:editId="79FE649F">
                  <wp:extent cx="1620000" cy="2121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20000" cy="2121112"/>
                          </a:xfrm>
                          <a:prstGeom prst="rect">
                            <a:avLst/>
                          </a:prstGeom>
                        </pic:spPr>
                      </pic:pic>
                    </a:graphicData>
                  </a:graphic>
                </wp:inline>
              </w:drawing>
            </w:r>
          </w:p>
        </w:tc>
        <w:tc>
          <w:tcPr>
            <w:tcW w:w="2767" w:type="dxa"/>
            <w:tcBorders>
              <w:top w:val="single" w:sz="4" w:space="0" w:color="auto"/>
              <w:bottom w:val="single" w:sz="4" w:space="0" w:color="auto"/>
            </w:tcBorders>
          </w:tcPr>
          <w:p w14:paraId="6F6388D9" w14:textId="77777777" w:rsidR="00F47A65" w:rsidRPr="00192922" w:rsidRDefault="00F47A65" w:rsidP="00192922">
            <w:pPr>
              <w:rPr>
                <w:rFonts w:ascii="Times New Roman" w:hAnsi="Times New Roman" w:cs="Times New Roman"/>
                <w:b/>
                <w:bCs/>
                <w:sz w:val="20"/>
                <w:szCs w:val="20"/>
                <w:lang w:val="en-GB"/>
              </w:rPr>
            </w:pPr>
            <w:r w:rsidRPr="00192922">
              <w:rPr>
                <w:rFonts w:ascii="Times New Roman" w:hAnsi="Times New Roman"/>
                <w:noProof/>
                <w:sz w:val="20"/>
                <w:lang w:val="en-US"/>
              </w:rPr>
              <w:drawing>
                <wp:inline distT="0" distB="0" distL="0" distR="0" wp14:anchorId="2F672EC9" wp14:editId="247AA306">
                  <wp:extent cx="1620000" cy="23412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000" cy="2341233"/>
                          </a:xfrm>
                          <a:prstGeom prst="rect">
                            <a:avLst/>
                          </a:prstGeom>
                        </pic:spPr>
                      </pic:pic>
                    </a:graphicData>
                  </a:graphic>
                </wp:inline>
              </w:drawing>
            </w:r>
          </w:p>
          <w:p w14:paraId="5885DB80" w14:textId="77777777" w:rsidR="00F47A65" w:rsidRPr="00192922" w:rsidRDefault="00F47A65" w:rsidP="00192922">
            <w:pPr>
              <w:rPr>
                <w:rFonts w:ascii="Times New Roman" w:hAnsi="Times New Roman" w:cs="Times New Roman"/>
                <w:sz w:val="20"/>
                <w:szCs w:val="20"/>
                <w:lang w:val="en-GB"/>
              </w:rPr>
            </w:pPr>
          </w:p>
        </w:tc>
      </w:tr>
      <w:tr w:rsidR="00F47A65" w:rsidRPr="00192922" w14:paraId="2E1B5DEA" w14:textId="77777777" w:rsidTr="00AF011A">
        <w:tc>
          <w:tcPr>
            <w:tcW w:w="716" w:type="dxa"/>
            <w:tcBorders>
              <w:top w:val="single" w:sz="4" w:space="0" w:color="auto"/>
              <w:bottom w:val="single" w:sz="4" w:space="0" w:color="auto"/>
            </w:tcBorders>
          </w:tcPr>
          <w:p w14:paraId="489F667F" w14:textId="6F460B68" w:rsidR="00F47A65" w:rsidRPr="00192922" w:rsidRDefault="00F47A65" w:rsidP="00192922">
            <w:pPr>
              <w:rPr>
                <w:rFonts w:ascii="Times New Roman" w:hAnsi="Times New Roman" w:cs="Times New Roman"/>
                <w:sz w:val="20"/>
                <w:szCs w:val="20"/>
                <w:lang w:val="en-GB"/>
              </w:rPr>
            </w:pPr>
            <w:r w:rsidRPr="00192922">
              <w:rPr>
                <w:rFonts w:ascii="Times New Roman" w:hAnsi="Times New Roman" w:cs="Times New Roman"/>
                <w:sz w:val="20"/>
                <w:szCs w:val="20"/>
                <w:lang w:val="en-GB"/>
              </w:rPr>
              <w:t>Total height</w:t>
            </w:r>
          </w:p>
          <w:p w14:paraId="262BE6B0" w14:textId="77777777" w:rsidR="00F47A65" w:rsidRPr="00192922" w:rsidRDefault="00F47A65" w:rsidP="00192922">
            <w:pPr>
              <w:rPr>
                <w:rFonts w:ascii="Times New Roman" w:hAnsi="Times New Roman" w:cs="Times New Roman"/>
                <w:sz w:val="20"/>
                <w:szCs w:val="20"/>
                <w:lang w:val="en-GB"/>
              </w:rPr>
            </w:pPr>
            <w:r w:rsidRPr="00192922">
              <w:rPr>
                <w:rFonts w:ascii="Times New Roman" w:hAnsi="Times New Roman" w:cs="Times New Roman"/>
                <w:sz w:val="20"/>
                <w:szCs w:val="20"/>
                <w:lang w:val="en-GB"/>
              </w:rPr>
              <w:t>H (m)</w:t>
            </w:r>
          </w:p>
        </w:tc>
        <w:tc>
          <w:tcPr>
            <w:tcW w:w="2767" w:type="dxa"/>
            <w:tcBorders>
              <w:top w:val="single" w:sz="4" w:space="0" w:color="auto"/>
              <w:bottom w:val="single" w:sz="4" w:space="0" w:color="auto"/>
            </w:tcBorders>
          </w:tcPr>
          <w:p w14:paraId="7D3DAB86"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+11.7</w:t>
            </w:r>
          </w:p>
        </w:tc>
        <w:tc>
          <w:tcPr>
            <w:tcW w:w="2767" w:type="dxa"/>
            <w:tcBorders>
              <w:top w:val="single" w:sz="4" w:space="0" w:color="auto"/>
              <w:bottom w:val="single" w:sz="4" w:space="0" w:color="auto"/>
            </w:tcBorders>
          </w:tcPr>
          <w:p w14:paraId="41EA3FB9"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+22.2</w:t>
            </w:r>
          </w:p>
        </w:tc>
        <w:tc>
          <w:tcPr>
            <w:tcW w:w="2767" w:type="dxa"/>
            <w:tcBorders>
              <w:top w:val="single" w:sz="4" w:space="0" w:color="auto"/>
              <w:bottom w:val="single" w:sz="4" w:space="0" w:color="auto"/>
            </w:tcBorders>
          </w:tcPr>
          <w:p w14:paraId="529B626A"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+29.2</w:t>
            </w:r>
          </w:p>
        </w:tc>
      </w:tr>
      <w:tr w:rsidR="00F47A65" w:rsidRPr="00192922" w14:paraId="40AC36F1" w14:textId="77777777" w:rsidTr="00AF011A">
        <w:tc>
          <w:tcPr>
            <w:tcW w:w="716" w:type="dxa"/>
            <w:tcBorders>
              <w:top w:val="single" w:sz="4" w:space="0" w:color="auto"/>
              <w:bottom w:val="single" w:sz="4" w:space="0" w:color="auto"/>
            </w:tcBorders>
          </w:tcPr>
          <w:p w14:paraId="6AEEB8F1" w14:textId="6D3096B4" w:rsidR="00F47A65" w:rsidRPr="00192922" w:rsidRDefault="00F47A65" w:rsidP="00192922">
            <w:pPr>
              <w:rPr>
                <w:rFonts w:ascii="Times New Roman" w:hAnsi="Times New Roman" w:cs="Times New Roman"/>
                <w:sz w:val="20"/>
                <w:szCs w:val="20"/>
                <w:lang w:val="en-GB"/>
              </w:rPr>
            </w:pPr>
            <w:r w:rsidRPr="00192922">
              <w:rPr>
                <w:rFonts w:ascii="Times New Roman" w:hAnsi="Times New Roman" w:cs="Times New Roman"/>
                <w:sz w:val="20"/>
                <w:szCs w:val="20"/>
                <w:lang w:val="en-GB"/>
              </w:rPr>
              <w:t>Total bay</w:t>
            </w:r>
          </w:p>
          <w:p w14:paraId="6339D4B5" w14:textId="77777777" w:rsidR="00F47A65" w:rsidRPr="00192922" w:rsidRDefault="00F47A65" w:rsidP="00192922">
            <w:pPr>
              <w:rPr>
                <w:rFonts w:ascii="Times New Roman" w:hAnsi="Times New Roman" w:cs="Times New Roman"/>
                <w:sz w:val="20"/>
                <w:szCs w:val="20"/>
                <w:lang w:val="en-GB"/>
              </w:rPr>
            </w:pPr>
            <w:r w:rsidRPr="00192922">
              <w:rPr>
                <w:rFonts w:ascii="Times New Roman" w:hAnsi="Times New Roman" w:cs="Times New Roman"/>
                <w:sz w:val="20"/>
                <w:szCs w:val="20"/>
                <w:lang w:val="en-GB"/>
              </w:rPr>
              <w:t>B (m)</w:t>
            </w:r>
          </w:p>
        </w:tc>
        <w:tc>
          <w:tcPr>
            <w:tcW w:w="2767" w:type="dxa"/>
            <w:tcBorders>
              <w:top w:val="single" w:sz="4" w:space="0" w:color="auto"/>
              <w:bottom w:val="single" w:sz="4" w:space="0" w:color="auto"/>
            </w:tcBorders>
          </w:tcPr>
          <w:p w14:paraId="3CA217F8"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12</w:t>
            </w:r>
          </w:p>
        </w:tc>
        <w:tc>
          <w:tcPr>
            <w:tcW w:w="2767" w:type="dxa"/>
            <w:tcBorders>
              <w:top w:val="single" w:sz="4" w:space="0" w:color="auto"/>
              <w:bottom w:val="single" w:sz="4" w:space="0" w:color="auto"/>
            </w:tcBorders>
          </w:tcPr>
          <w:p w14:paraId="317E545E"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12</w:t>
            </w:r>
          </w:p>
        </w:tc>
        <w:tc>
          <w:tcPr>
            <w:tcW w:w="2767" w:type="dxa"/>
            <w:tcBorders>
              <w:top w:val="single" w:sz="4" w:space="0" w:color="auto"/>
              <w:bottom w:val="single" w:sz="4" w:space="0" w:color="auto"/>
            </w:tcBorders>
          </w:tcPr>
          <w:p w14:paraId="56777ABB"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12</w:t>
            </w:r>
          </w:p>
        </w:tc>
      </w:tr>
      <w:tr w:rsidR="00F47A65" w:rsidRPr="00192922" w14:paraId="23D0F922" w14:textId="77777777" w:rsidTr="00AF011A">
        <w:tc>
          <w:tcPr>
            <w:tcW w:w="716" w:type="dxa"/>
            <w:tcBorders>
              <w:top w:val="single" w:sz="4" w:space="0" w:color="auto"/>
            </w:tcBorders>
          </w:tcPr>
          <w:p w14:paraId="777B59CA" w14:textId="77777777" w:rsidR="00F47A65" w:rsidRPr="00192922" w:rsidRDefault="00F47A65" w:rsidP="00192922">
            <w:pPr>
              <w:rPr>
                <w:rFonts w:ascii="Times New Roman" w:hAnsi="Times New Roman" w:cs="Times New Roman"/>
                <w:sz w:val="20"/>
                <w:szCs w:val="20"/>
                <w:lang w:val="en-GB"/>
              </w:rPr>
            </w:pPr>
            <w:r w:rsidRPr="00192922">
              <w:rPr>
                <w:rFonts w:ascii="Times New Roman" w:hAnsi="Times New Roman" w:cs="Times New Roman"/>
                <w:sz w:val="20"/>
                <w:szCs w:val="20"/>
                <w:lang w:val="en-GB"/>
              </w:rPr>
              <w:t>H/B</w:t>
            </w:r>
          </w:p>
        </w:tc>
        <w:tc>
          <w:tcPr>
            <w:tcW w:w="2767" w:type="dxa"/>
            <w:tcBorders>
              <w:top w:val="single" w:sz="4" w:space="0" w:color="auto"/>
            </w:tcBorders>
          </w:tcPr>
          <w:p w14:paraId="52308275"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0.98</w:t>
            </w:r>
          </w:p>
        </w:tc>
        <w:tc>
          <w:tcPr>
            <w:tcW w:w="2767" w:type="dxa"/>
            <w:tcBorders>
              <w:top w:val="single" w:sz="4" w:space="0" w:color="auto"/>
            </w:tcBorders>
          </w:tcPr>
          <w:p w14:paraId="2A09A7E2"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1.85</w:t>
            </w:r>
          </w:p>
        </w:tc>
        <w:tc>
          <w:tcPr>
            <w:tcW w:w="2767" w:type="dxa"/>
            <w:tcBorders>
              <w:top w:val="single" w:sz="4" w:space="0" w:color="auto"/>
            </w:tcBorders>
          </w:tcPr>
          <w:p w14:paraId="4F7A59B9" w14:textId="77777777" w:rsidR="00F47A65" w:rsidRPr="00192922" w:rsidRDefault="00F47A65" w:rsidP="00192922">
            <w:pPr>
              <w:jc w:val="center"/>
              <w:rPr>
                <w:rFonts w:ascii="Times New Roman" w:hAnsi="Times New Roman" w:cs="Times New Roman"/>
                <w:sz w:val="20"/>
                <w:szCs w:val="20"/>
                <w:lang w:val="en-GB"/>
              </w:rPr>
            </w:pPr>
            <w:r w:rsidRPr="00192922">
              <w:rPr>
                <w:rFonts w:ascii="Times New Roman" w:hAnsi="Times New Roman" w:cs="Times New Roman"/>
                <w:sz w:val="20"/>
                <w:szCs w:val="20"/>
                <w:lang w:val="en-GB"/>
              </w:rPr>
              <w:t>2.43</w:t>
            </w:r>
          </w:p>
        </w:tc>
      </w:tr>
    </w:tbl>
    <w:p w14:paraId="7FBB395E" w14:textId="63E4EE31" w:rsidR="00F47A65" w:rsidRPr="006D55C6" w:rsidRDefault="00F47A65" w:rsidP="00F47A65">
      <w:pPr>
        <w:pStyle w:val="FigureCaption"/>
      </w:pPr>
      <w:r w:rsidRPr="00CC3D0B">
        <w:rPr>
          <w:b/>
          <w:bCs/>
        </w:rPr>
        <w:t>Table 3.</w:t>
      </w:r>
      <w:r>
        <w:t xml:space="preserve"> Material properties for modelling</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260"/>
        <w:gridCol w:w="2977"/>
        <w:gridCol w:w="1842"/>
      </w:tblGrid>
      <w:tr w:rsidR="00F47A65" w:rsidRPr="00192922" w14:paraId="7AE59449" w14:textId="77777777" w:rsidTr="00192922">
        <w:trPr>
          <w:trHeight w:val="482"/>
        </w:trPr>
        <w:tc>
          <w:tcPr>
            <w:tcW w:w="988" w:type="dxa"/>
            <w:tcBorders>
              <w:top w:val="single" w:sz="4" w:space="0" w:color="auto"/>
              <w:bottom w:val="single" w:sz="4" w:space="0" w:color="auto"/>
            </w:tcBorders>
            <w:hideMark/>
          </w:tcPr>
          <w:p w14:paraId="4C94BDA3"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Code</w:t>
            </w:r>
          </w:p>
        </w:tc>
        <w:tc>
          <w:tcPr>
            <w:tcW w:w="3260" w:type="dxa"/>
            <w:tcBorders>
              <w:top w:val="single" w:sz="4" w:space="0" w:color="auto"/>
              <w:bottom w:val="single" w:sz="4" w:space="0" w:color="auto"/>
            </w:tcBorders>
            <w:hideMark/>
          </w:tcPr>
          <w:p w14:paraId="013C050A" w14:textId="430345A2"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 xml:space="preserve">Concrete compressive strength, </w:t>
            </w:r>
            <w:proofErr w:type="spellStart"/>
            <w:r w:rsidRPr="00192922">
              <w:rPr>
                <w:rFonts w:eastAsia="Times New Roman"/>
                <w:sz w:val="20"/>
                <w:szCs w:val="20"/>
                <w:lang w:eastAsia="id-ID"/>
              </w:rPr>
              <w:t>f’c</w:t>
            </w:r>
            <w:proofErr w:type="spellEnd"/>
          </w:p>
          <w:p w14:paraId="7699F68B"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(MPa)</w:t>
            </w:r>
          </w:p>
        </w:tc>
        <w:tc>
          <w:tcPr>
            <w:tcW w:w="2977" w:type="dxa"/>
            <w:tcBorders>
              <w:top w:val="single" w:sz="4" w:space="0" w:color="auto"/>
              <w:bottom w:val="single" w:sz="4" w:space="0" w:color="auto"/>
            </w:tcBorders>
            <w:hideMark/>
          </w:tcPr>
          <w:p w14:paraId="0B942F42" w14:textId="6F9326E6"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 xml:space="preserve">Concrete modulus of elasticity, </w:t>
            </w:r>
            <w:proofErr w:type="spellStart"/>
            <w:r w:rsidRPr="00192922">
              <w:rPr>
                <w:rFonts w:eastAsia="Times New Roman"/>
                <w:sz w:val="20"/>
                <w:szCs w:val="20"/>
                <w:lang w:eastAsia="id-ID"/>
              </w:rPr>
              <w:t>Ec</w:t>
            </w:r>
            <w:proofErr w:type="spellEnd"/>
          </w:p>
          <w:p w14:paraId="4EE5A043"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(MPa)</w:t>
            </w:r>
          </w:p>
        </w:tc>
        <w:tc>
          <w:tcPr>
            <w:tcW w:w="1842" w:type="dxa"/>
            <w:tcBorders>
              <w:top w:val="single" w:sz="4" w:space="0" w:color="auto"/>
              <w:bottom w:val="single" w:sz="4" w:space="0" w:color="auto"/>
            </w:tcBorders>
            <w:noWrap/>
          </w:tcPr>
          <w:p w14:paraId="5A420766" w14:textId="7B483798"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Concrete density</w:t>
            </w:r>
          </w:p>
          <w:p w14:paraId="3222C4D3"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w:t>
            </w:r>
            <w:r w:rsidRPr="00192922">
              <w:rPr>
                <w:sz w:val="20"/>
                <w:szCs w:val="20"/>
              </w:rPr>
              <w:t>kg m</w:t>
            </w:r>
            <w:r w:rsidRPr="00192922">
              <w:rPr>
                <w:sz w:val="20"/>
                <w:szCs w:val="20"/>
                <w:vertAlign w:val="superscript"/>
              </w:rPr>
              <w:t>-3</w:t>
            </w:r>
            <w:r w:rsidRPr="00192922">
              <w:rPr>
                <w:rFonts w:eastAsia="Times New Roman"/>
                <w:sz w:val="20"/>
                <w:szCs w:val="20"/>
                <w:lang w:eastAsia="id-ID"/>
              </w:rPr>
              <w:t>)</w:t>
            </w:r>
          </w:p>
        </w:tc>
      </w:tr>
      <w:tr w:rsidR="00F47A65" w:rsidRPr="00192922" w14:paraId="094FA609" w14:textId="77777777" w:rsidTr="00F47A65">
        <w:trPr>
          <w:trHeight w:val="288"/>
        </w:trPr>
        <w:tc>
          <w:tcPr>
            <w:tcW w:w="988" w:type="dxa"/>
            <w:tcBorders>
              <w:top w:val="single" w:sz="4" w:space="0" w:color="auto"/>
            </w:tcBorders>
            <w:hideMark/>
          </w:tcPr>
          <w:p w14:paraId="5476B937"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U30</w:t>
            </w:r>
          </w:p>
        </w:tc>
        <w:tc>
          <w:tcPr>
            <w:tcW w:w="3260" w:type="dxa"/>
            <w:tcBorders>
              <w:top w:val="single" w:sz="4" w:space="0" w:color="auto"/>
            </w:tcBorders>
            <w:hideMark/>
          </w:tcPr>
          <w:p w14:paraId="69AC6731"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34.35</w:t>
            </w:r>
          </w:p>
        </w:tc>
        <w:tc>
          <w:tcPr>
            <w:tcW w:w="2977" w:type="dxa"/>
            <w:tcBorders>
              <w:top w:val="single" w:sz="4" w:space="0" w:color="auto"/>
            </w:tcBorders>
            <w:hideMark/>
          </w:tcPr>
          <w:p w14:paraId="15FFB871"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35,714.30</w:t>
            </w:r>
          </w:p>
        </w:tc>
        <w:tc>
          <w:tcPr>
            <w:tcW w:w="1842" w:type="dxa"/>
            <w:vMerge w:val="restart"/>
            <w:tcBorders>
              <w:top w:val="single" w:sz="4" w:space="0" w:color="auto"/>
              <w:bottom w:val="single" w:sz="4" w:space="0" w:color="auto"/>
            </w:tcBorders>
          </w:tcPr>
          <w:p w14:paraId="0E538146"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2400</w:t>
            </w:r>
          </w:p>
          <w:p w14:paraId="34931314"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(constant)</w:t>
            </w:r>
          </w:p>
        </w:tc>
      </w:tr>
      <w:tr w:rsidR="00F47A65" w:rsidRPr="00192922" w14:paraId="0F9BAEA3" w14:textId="77777777" w:rsidTr="00F47A65">
        <w:trPr>
          <w:trHeight w:val="288"/>
        </w:trPr>
        <w:tc>
          <w:tcPr>
            <w:tcW w:w="988" w:type="dxa"/>
            <w:hideMark/>
          </w:tcPr>
          <w:p w14:paraId="4FA14A7C"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U50</w:t>
            </w:r>
          </w:p>
        </w:tc>
        <w:tc>
          <w:tcPr>
            <w:tcW w:w="3260" w:type="dxa"/>
            <w:hideMark/>
          </w:tcPr>
          <w:p w14:paraId="79B35F1E"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56.99</w:t>
            </w:r>
          </w:p>
        </w:tc>
        <w:tc>
          <w:tcPr>
            <w:tcW w:w="2977" w:type="dxa"/>
            <w:hideMark/>
          </w:tcPr>
          <w:p w14:paraId="71550D90"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55,555.60</w:t>
            </w:r>
          </w:p>
        </w:tc>
        <w:tc>
          <w:tcPr>
            <w:tcW w:w="1842" w:type="dxa"/>
            <w:vMerge/>
            <w:tcBorders>
              <w:top w:val="single" w:sz="4" w:space="0" w:color="auto"/>
              <w:bottom w:val="single" w:sz="4" w:space="0" w:color="auto"/>
            </w:tcBorders>
          </w:tcPr>
          <w:p w14:paraId="66F63D54" w14:textId="77777777" w:rsidR="00F47A65" w:rsidRPr="00192922" w:rsidRDefault="00F47A65" w:rsidP="00F47A65">
            <w:pPr>
              <w:pStyle w:val="Bodytext"/>
              <w:rPr>
                <w:rFonts w:eastAsia="Times New Roman"/>
                <w:sz w:val="20"/>
                <w:szCs w:val="20"/>
                <w:lang w:eastAsia="id-ID"/>
              </w:rPr>
            </w:pPr>
          </w:p>
        </w:tc>
      </w:tr>
      <w:tr w:rsidR="00F47A65" w:rsidRPr="00192922" w14:paraId="3D53FBAE" w14:textId="77777777" w:rsidTr="00F47A65">
        <w:trPr>
          <w:trHeight w:val="288"/>
        </w:trPr>
        <w:tc>
          <w:tcPr>
            <w:tcW w:w="988" w:type="dxa"/>
            <w:tcBorders>
              <w:bottom w:val="single" w:sz="4" w:space="0" w:color="auto"/>
            </w:tcBorders>
            <w:hideMark/>
          </w:tcPr>
          <w:p w14:paraId="62876500"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G30-50</w:t>
            </w:r>
          </w:p>
        </w:tc>
        <w:tc>
          <w:tcPr>
            <w:tcW w:w="3260" w:type="dxa"/>
            <w:tcBorders>
              <w:bottom w:val="single" w:sz="4" w:space="0" w:color="auto"/>
            </w:tcBorders>
            <w:hideMark/>
          </w:tcPr>
          <w:p w14:paraId="7F3A9D45"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36.36</w:t>
            </w:r>
          </w:p>
        </w:tc>
        <w:tc>
          <w:tcPr>
            <w:tcW w:w="2977" w:type="dxa"/>
            <w:tcBorders>
              <w:bottom w:val="single" w:sz="4" w:space="0" w:color="auto"/>
            </w:tcBorders>
            <w:hideMark/>
          </w:tcPr>
          <w:p w14:paraId="06B04BF8" w14:textId="77777777" w:rsidR="00F47A65" w:rsidRPr="00192922" w:rsidRDefault="00F47A65" w:rsidP="00F47A65">
            <w:pPr>
              <w:pStyle w:val="Bodytext"/>
              <w:jc w:val="center"/>
              <w:rPr>
                <w:rFonts w:eastAsia="Times New Roman"/>
                <w:sz w:val="20"/>
                <w:szCs w:val="20"/>
                <w:lang w:eastAsia="id-ID"/>
              </w:rPr>
            </w:pPr>
            <w:r w:rsidRPr="00192922">
              <w:rPr>
                <w:rFonts w:eastAsia="Times New Roman"/>
                <w:sz w:val="20"/>
                <w:szCs w:val="20"/>
                <w:lang w:eastAsia="id-ID"/>
              </w:rPr>
              <w:t>40,816</w:t>
            </w:r>
          </w:p>
        </w:tc>
        <w:tc>
          <w:tcPr>
            <w:tcW w:w="1842" w:type="dxa"/>
            <w:vMerge/>
            <w:tcBorders>
              <w:top w:val="single" w:sz="4" w:space="0" w:color="auto"/>
              <w:bottom w:val="single" w:sz="4" w:space="0" w:color="auto"/>
            </w:tcBorders>
          </w:tcPr>
          <w:p w14:paraId="345F0BC9" w14:textId="77777777" w:rsidR="00F47A65" w:rsidRPr="00192922" w:rsidRDefault="00F47A65" w:rsidP="00F47A65">
            <w:pPr>
              <w:pStyle w:val="Bodytext"/>
              <w:rPr>
                <w:rFonts w:eastAsia="Times New Roman"/>
                <w:sz w:val="20"/>
                <w:szCs w:val="20"/>
                <w:lang w:eastAsia="id-ID"/>
              </w:rPr>
            </w:pPr>
          </w:p>
        </w:tc>
      </w:tr>
    </w:tbl>
    <w:p w14:paraId="7E6691A4" w14:textId="6C474937" w:rsidR="00F47A65" w:rsidRPr="006D55C6" w:rsidRDefault="00F47A65" w:rsidP="00F47A65">
      <w:pPr>
        <w:pStyle w:val="FigureCaption"/>
      </w:pPr>
      <w:r w:rsidRPr="00CC3D0B">
        <w:rPr>
          <w:b/>
          <w:bCs/>
        </w:rPr>
        <w:t>Table 4.</w:t>
      </w:r>
      <w:r>
        <w:t xml:space="preserve"> Load combination</w:t>
      </w:r>
      <w:r w:rsidR="00FA64C3">
        <w:t xml:space="preserve"> (</w:t>
      </w:r>
      <w:r w:rsidR="00FA64C3" w:rsidRPr="006D55C6">
        <w:t>SDS = 0.933g</w:t>
      </w:r>
      <w:r w:rsidR="00FA64C3">
        <w:t>)</w:t>
      </w:r>
    </w:p>
    <w:tbl>
      <w:tblPr>
        <w:tblW w:w="8222" w:type="dxa"/>
        <w:jc w:val="center"/>
        <w:tblLook w:val="04A0" w:firstRow="1" w:lastRow="0" w:firstColumn="1" w:lastColumn="0" w:noHBand="0" w:noVBand="1"/>
      </w:tblPr>
      <w:tblGrid>
        <w:gridCol w:w="1838"/>
        <w:gridCol w:w="1706"/>
        <w:gridCol w:w="1276"/>
        <w:gridCol w:w="1559"/>
        <w:gridCol w:w="1843"/>
      </w:tblGrid>
      <w:tr w:rsidR="00F47A65" w:rsidRPr="00192922" w14:paraId="7ACF16A5" w14:textId="77777777" w:rsidTr="00F47A65">
        <w:trPr>
          <w:trHeight w:val="300"/>
          <w:jc w:val="center"/>
        </w:trPr>
        <w:tc>
          <w:tcPr>
            <w:tcW w:w="1838" w:type="dxa"/>
            <w:tcBorders>
              <w:top w:val="single" w:sz="4" w:space="0" w:color="auto"/>
              <w:bottom w:val="single" w:sz="4" w:space="0" w:color="auto"/>
            </w:tcBorders>
            <w:shd w:val="clear" w:color="000000" w:fill="FFFFFF"/>
            <w:noWrap/>
            <w:vAlign w:val="bottom"/>
            <w:hideMark/>
          </w:tcPr>
          <w:p w14:paraId="3FEE4CFE" w14:textId="77777777" w:rsidR="00F47A65" w:rsidRPr="00192922" w:rsidRDefault="00F47A65" w:rsidP="0074453D">
            <w:pPr>
              <w:jc w:val="center"/>
              <w:rPr>
                <w:rFonts w:ascii="Times New Roman" w:hAnsi="Times New Roman"/>
                <w:color w:val="000000"/>
                <w:sz w:val="20"/>
                <w:lang w:eastAsia="id-ID"/>
              </w:rPr>
            </w:pPr>
            <w:r w:rsidRPr="00192922">
              <w:rPr>
                <w:rFonts w:ascii="Times New Roman" w:hAnsi="Times New Roman"/>
                <w:color w:val="000000"/>
                <w:sz w:val="20"/>
                <w:lang w:eastAsia="id-ID"/>
              </w:rPr>
              <w:t>Dead Load</w:t>
            </w:r>
          </w:p>
        </w:tc>
        <w:tc>
          <w:tcPr>
            <w:tcW w:w="1706" w:type="dxa"/>
            <w:tcBorders>
              <w:top w:val="single" w:sz="4" w:space="0" w:color="auto"/>
              <w:bottom w:val="single" w:sz="4" w:space="0" w:color="auto"/>
            </w:tcBorders>
            <w:shd w:val="clear" w:color="000000" w:fill="FFFFFF"/>
            <w:noWrap/>
            <w:vAlign w:val="bottom"/>
            <w:hideMark/>
          </w:tcPr>
          <w:p w14:paraId="340C9566" w14:textId="77777777" w:rsidR="00F47A65" w:rsidRPr="00192922" w:rsidRDefault="00F47A65" w:rsidP="00192922">
            <w:pPr>
              <w:rPr>
                <w:rFonts w:ascii="Times New Roman" w:hAnsi="Times New Roman"/>
                <w:color w:val="000000"/>
                <w:sz w:val="20"/>
                <w:lang w:eastAsia="id-ID"/>
              </w:rPr>
            </w:pPr>
            <w:r w:rsidRPr="00192922">
              <w:rPr>
                <w:rFonts w:ascii="Times New Roman" w:hAnsi="Times New Roman"/>
                <w:color w:val="000000"/>
                <w:sz w:val="20"/>
                <w:lang w:eastAsia="id-ID"/>
              </w:rPr>
              <w:t>Super Dead Load</w:t>
            </w:r>
          </w:p>
        </w:tc>
        <w:tc>
          <w:tcPr>
            <w:tcW w:w="1276" w:type="dxa"/>
            <w:tcBorders>
              <w:top w:val="single" w:sz="4" w:space="0" w:color="auto"/>
              <w:bottom w:val="single" w:sz="4" w:space="0" w:color="auto"/>
            </w:tcBorders>
            <w:shd w:val="clear" w:color="000000" w:fill="FFFFFF"/>
            <w:noWrap/>
            <w:vAlign w:val="bottom"/>
            <w:hideMark/>
          </w:tcPr>
          <w:p w14:paraId="61CC3DD3" w14:textId="77777777" w:rsidR="00F47A65" w:rsidRPr="00192922" w:rsidRDefault="00F47A65" w:rsidP="00192922">
            <w:pPr>
              <w:rPr>
                <w:rFonts w:ascii="Times New Roman" w:hAnsi="Times New Roman"/>
                <w:color w:val="000000"/>
                <w:sz w:val="20"/>
                <w:lang w:eastAsia="id-ID"/>
              </w:rPr>
            </w:pPr>
            <w:r w:rsidRPr="00192922">
              <w:rPr>
                <w:rFonts w:ascii="Times New Roman" w:hAnsi="Times New Roman"/>
                <w:color w:val="000000"/>
                <w:sz w:val="20"/>
                <w:lang w:eastAsia="id-ID"/>
              </w:rPr>
              <w:t>Live Load</w:t>
            </w:r>
          </w:p>
        </w:tc>
        <w:tc>
          <w:tcPr>
            <w:tcW w:w="1559" w:type="dxa"/>
            <w:tcBorders>
              <w:top w:val="single" w:sz="4" w:space="0" w:color="auto"/>
              <w:bottom w:val="single" w:sz="4" w:space="0" w:color="auto"/>
            </w:tcBorders>
            <w:shd w:val="clear" w:color="000000" w:fill="FFFFFF"/>
            <w:noWrap/>
            <w:vAlign w:val="bottom"/>
            <w:hideMark/>
          </w:tcPr>
          <w:p w14:paraId="736CA456" w14:textId="77777777" w:rsidR="00F47A65" w:rsidRPr="00192922" w:rsidRDefault="00F47A65" w:rsidP="00192922">
            <w:pPr>
              <w:rPr>
                <w:rFonts w:ascii="Times New Roman" w:hAnsi="Times New Roman"/>
                <w:color w:val="000000"/>
                <w:sz w:val="20"/>
                <w:lang w:eastAsia="id-ID"/>
              </w:rPr>
            </w:pPr>
            <w:r w:rsidRPr="00192922">
              <w:rPr>
                <w:rFonts w:ascii="Times New Roman" w:hAnsi="Times New Roman"/>
                <w:color w:val="000000"/>
                <w:sz w:val="20"/>
                <w:lang w:eastAsia="id-ID"/>
              </w:rPr>
              <w:t>Earthquake in X-direction</w:t>
            </w:r>
          </w:p>
        </w:tc>
        <w:tc>
          <w:tcPr>
            <w:tcW w:w="1843" w:type="dxa"/>
            <w:tcBorders>
              <w:top w:val="single" w:sz="4" w:space="0" w:color="auto"/>
              <w:bottom w:val="single" w:sz="4" w:space="0" w:color="auto"/>
            </w:tcBorders>
            <w:shd w:val="clear" w:color="000000" w:fill="FFFFFF"/>
            <w:noWrap/>
            <w:vAlign w:val="bottom"/>
            <w:hideMark/>
          </w:tcPr>
          <w:p w14:paraId="29E96B88" w14:textId="77777777" w:rsidR="00F47A65" w:rsidRPr="00192922" w:rsidRDefault="00F47A65" w:rsidP="00192922">
            <w:pPr>
              <w:rPr>
                <w:rFonts w:ascii="Times New Roman" w:hAnsi="Times New Roman"/>
                <w:color w:val="000000"/>
                <w:sz w:val="20"/>
                <w:lang w:eastAsia="id-ID"/>
              </w:rPr>
            </w:pPr>
            <w:r w:rsidRPr="00192922">
              <w:rPr>
                <w:rFonts w:ascii="Times New Roman" w:hAnsi="Times New Roman"/>
                <w:color w:val="000000"/>
                <w:sz w:val="20"/>
                <w:lang w:eastAsia="id-ID"/>
              </w:rPr>
              <w:t>Earthquake in Y-direction</w:t>
            </w:r>
          </w:p>
        </w:tc>
      </w:tr>
      <w:tr w:rsidR="00F47A65" w:rsidRPr="00192922" w14:paraId="42C4CE50" w14:textId="77777777" w:rsidTr="00F47A65">
        <w:trPr>
          <w:trHeight w:val="288"/>
          <w:jc w:val="center"/>
        </w:trPr>
        <w:tc>
          <w:tcPr>
            <w:tcW w:w="1838" w:type="dxa"/>
            <w:tcBorders>
              <w:top w:val="single" w:sz="4" w:space="0" w:color="auto"/>
            </w:tcBorders>
            <w:shd w:val="clear" w:color="000000" w:fill="FFFFFF"/>
            <w:noWrap/>
            <w:vAlign w:val="bottom"/>
            <w:hideMark/>
          </w:tcPr>
          <w:p w14:paraId="75A4BAC3"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1.4</w:t>
            </w:r>
          </w:p>
        </w:tc>
        <w:tc>
          <w:tcPr>
            <w:tcW w:w="1706" w:type="dxa"/>
            <w:tcBorders>
              <w:top w:val="single" w:sz="4" w:space="0" w:color="auto"/>
            </w:tcBorders>
            <w:shd w:val="clear" w:color="000000" w:fill="FFFFFF"/>
            <w:noWrap/>
            <w:vAlign w:val="bottom"/>
            <w:hideMark/>
          </w:tcPr>
          <w:p w14:paraId="4B9DD0BC"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1.4</w:t>
            </w:r>
          </w:p>
        </w:tc>
        <w:tc>
          <w:tcPr>
            <w:tcW w:w="1276" w:type="dxa"/>
            <w:tcBorders>
              <w:top w:val="single" w:sz="4" w:space="0" w:color="auto"/>
            </w:tcBorders>
            <w:shd w:val="clear" w:color="000000" w:fill="FFFFFF"/>
            <w:noWrap/>
            <w:vAlign w:val="bottom"/>
            <w:hideMark/>
          </w:tcPr>
          <w:p w14:paraId="005DACEB" w14:textId="70FD5CBA"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w:t>
            </w:r>
          </w:p>
        </w:tc>
        <w:tc>
          <w:tcPr>
            <w:tcW w:w="1559" w:type="dxa"/>
            <w:tcBorders>
              <w:top w:val="single" w:sz="4" w:space="0" w:color="auto"/>
            </w:tcBorders>
            <w:shd w:val="clear" w:color="000000" w:fill="FFFFFF"/>
            <w:noWrap/>
            <w:vAlign w:val="bottom"/>
            <w:hideMark/>
          </w:tcPr>
          <w:p w14:paraId="24BF6713" w14:textId="42DB2F13"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w:t>
            </w:r>
          </w:p>
        </w:tc>
        <w:tc>
          <w:tcPr>
            <w:tcW w:w="1843" w:type="dxa"/>
            <w:tcBorders>
              <w:top w:val="single" w:sz="4" w:space="0" w:color="auto"/>
            </w:tcBorders>
            <w:shd w:val="clear" w:color="000000" w:fill="FFFFFF"/>
            <w:noWrap/>
            <w:vAlign w:val="bottom"/>
            <w:hideMark/>
          </w:tcPr>
          <w:p w14:paraId="5DE2041E" w14:textId="6DA9CE22"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w:t>
            </w:r>
          </w:p>
        </w:tc>
      </w:tr>
      <w:tr w:rsidR="00F47A65" w:rsidRPr="00192922" w14:paraId="2A4959F3" w14:textId="77777777" w:rsidTr="00F47A65">
        <w:trPr>
          <w:trHeight w:val="288"/>
          <w:jc w:val="center"/>
        </w:trPr>
        <w:tc>
          <w:tcPr>
            <w:tcW w:w="1838" w:type="dxa"/>
            <w:shd w:val="clear" w:color="000000" w:fill="FFFFFF"/>
            <w:noWrap/>
            <w:vAlign w:val="bottom"/>
            <w:hideMark/>
          </w:tcPr>
          <w:p w14:paraId="132B9D9F"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1.2 + 0.2 SDS</w:t>
            </w:r>
          </w:p>
        </w:tc>
        <w:tc>
          <w:tcPr>
            <w:tcW w:w="1706" w:type="dxa"/>
            <w:shd w:val="clear" w:color="000000" w:fill="FFFFFF"/>
            <w:noWrap/>
            <w:vAlign w:val="bottom"/>
            <w:hideMark/>
          </w:tcPr>
          <w:p w14:paraId="0B4A85FA"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1.2 + 0.2 SDS</w:t>
            </w:r>
          </w:p>
        </w:tc>
        <w:tc>
          <w:tcPr>
            <w:tcW w:w="1276" w:type="dxa"/>
            <w:shd w:val="clear" w:color="000000" w:fill="FFFFFF"/>
            <w:noWrap/>
            <w:vAlign w:val="bottom"/>
            <w:hideMark/>
          </w:tcPr>
          <w:p w14:paraId="4502778D"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w:t>
            </w:r>
          </w:p>
        </w:tc>
        <w:tc>
          <w:tcPr>
            <w:tcW w:w="1559" w:type="dxa"/>
            <w:shd w:val="clear" w:color="000000" w:fill="FFFFFF"/>
            <w:noWrap/>
            <w:vAlign w:val="bottom"/>
            <w:hideMark/>
          </w:tcPr>
          <w:p w14:paraId="0AB12AC0" w14:textId="61056B54" w:rsidR="00F47A65" w:rsidRPr="00192922" w:rsidRDefault="00FA64C3" w:rsidP="00192922">
            <w:pPr>
              <w:jc w:val="center"/>
              <w:rPr>
                <w:rFonts w:ascii="Times New Roman" w:hAnsi="Times New Roman"/>
                <w:color w:val="000000"/>
                <w:sz w:val="20"/>
                <w:lang w:eastAsia="id-ID"/>
              </w:rPr>
            </w:pPr>
            <w:r>
              <w:rPr>
                <w:rFonts w:ascii="Times New Roman" w:hAnsi="Times New Roman"/>
                <w:color w:val="000000"/>
                <w:sz w:val="20"/>
                <w:lang w:eastAsia="id-ID"/>
              </w:rPr>
              <w:t xml:space="preserve">± </w:t>
            </w:r>
            <w:r w:rsidR="00F47A65" w:rsidRPr="00192922">
              <w:rPr>
                <w:rFonts w:ascii="Times New Roman" w:hAnsi="Times New Roman"/>
                <w:color w:val="000000"/>
                <w:sz w:val="20"/>
                <w:lang w:eastAsia="id-ID"/>
              </w:rPr>
              <w:t>1.3</w:t>
            </w:r>
          </w:p>
        </w:tc>
        <w:tc>
          <w:tcPr>
            <w:tcW w:w="1843" w:type="dxa"/>
            <w:shd w:val="clear" w:color="000000" w:fill="FFFFFF"/>
            <w:noWrap/>
            <w:vAlign w:val="bottom"/>
            <w:hideMark/>
          </w:tcPr>
          <w:p w14:paraId="49C1C903" w14:textId="5FC2A7B6" w:rsidR="00F47A65" w:rsidRPr="00192922" w:rsidRDefault="00FA64C3" w:rsidP="00192922">
            <w:pPr>
              <w:jc w:val="center"/>
              <w:rPr>
                <w:rFonts w:ascii="Times New Roman" w:hAnsi="Times New Roman"/>
                <w:color w:val="000000"/>
                <w:sz w:val="20"/>
                <w:lang w:eastAsia="id-ID"/>
              </w:rPr>
            </w:pPr>
            <w:r>
              <w:rPr>
                <w:rFonts w:ascii="Times New Roman" w:hAnsi="Times New Roman"/>
                <w:color w:val="000000"/>
                <w:sz w:val="20"/>
                <w:lang w:eastAsia="id-ID"/>
              </w:rPr>
              <w:t xml:space="preserve">± </w:t>
            </w:r>
            <w:r w:rsidR="00F47A65" w:rsidRPr="00192922">
              <w:rPr>
                <w:rFonts w:ascii="Times New Roman" w:hAnsi="Times New Roman"/>
                <w:color w:val="000000"/>
                <w:sz w:val="20"/>
                <w:lang w:eastAsia="id-ID"/>
              </w:rPr>
              <w:t>0.39</w:t>
            </w:r>
          </w:p>
        </w:tc>
      </w:tr>
      <w:tr w:rsidR="00F47A65" w:rsidRPr="00192922" w14:paraId="598F9E91" w14:textId="77777777" w:rsidTr="00F47A65">
        <w:trPr>
          <w:trHeight w:val="288"/>
          <w:jc w:val="center"/>
        </w:trPr>
        <w:tc>
          <w:tcPr>
            <w:tcW w:w="1838" w:type="dxa"/>
            <w:shd w:val="clear" w:color="000000" w:fill="FFFFFF"/>
            <w:noWrap/>
            <w:vAlign w:val="bottom"/>
            <w:hideMark/>
          </w:tcPr>
          <w:p w14:paraId="2DDBB1B9"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1.2 + 0.2 SDS</w:t>
            </w:r>
          </w:p>
        </w:tc>
        <w:tc>
          <w:tcPr>
            <w:tcW w:w="1706" w:type="dxa"/>
            <w:shd w:val="clear" w:color="000000" w:fill="FFFFFF"/>
            <w:noWrap/>
            <w:vAlign w:val="bottom"/>
            <w:hideMark/>
          </w:tcPr>
          <w:p w14:paraId="603DDC00"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1.2 + 0.2 SDS</w:t>
            </w:r>
          </w:p>
        </w:tc>
        <w:tc>
          <w:tcPr>
            <w:tcW w:w="1276" w:type="dxa"/>
            <w:shd w:val="clear" w:color="000000" w:fill="FFFFFF"/>
            <w:noWrap/>
            <w:vAlign w:val="bottom"/>
            <w:hideMark/>
          </w:tcPr>
          <w:p w14:paraId="402DC504"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w:t>
            </w:r>
          </w:p>
        </w:tc>
        <w:tc>
          <w:tcPr>
            <w:tcW w:w="1559" w:type="dxa"/>
            <w:shd w:val="clear" w:color="000000" w:fill="FFFFFF"/>
            <w:noWrap/>
            <w:vAlign w:val="bottom"/>
            <w:hideMark/>
          </w:tcPr>
          <w:p w14:paraId="36EBFC33" w14:textId="703BF419" w:rsidR="00F47A65" w:rsidRPr="00192922" w:rsidRDefault="00FA64C3" w:rsidP="00192922">
            <w:pPr>
              <w:jc w:val="center"/>
              <w:rPr>
                <w:rFonts w:ascii="Times New Roman" w:hAnsi="Times New Roman"/>
                <w:color w:val="000000"/>
                <w:sz w:val="20"/>
                <w:lang w:eastAsia="id-ID"/>
              </w:rPr>
            </w:pPr>
            <w:r>
              <w:rPr>
                <w:rFonts w:ascii="Times New Roman" w:hAnsi="Times New Roman"/>
                <w:color w:val="000000"/>
                <w:sz w:val="20"/>
                <w:lang w:eastAsia="id-ID"/>
              </w:rPr>
              <w:t xml:space="preserve">± </w:t>
            </w:r>
            <w:r w:rsidR="00F47A65" w:rsidRPr="00192922">
              <w:rPr>
                <w:rFonts w:ascii="Times New Roman" w:hAnsi="Times New Roman"/>
                <w:color w:val="000000"/>
                <w:sz w:val="20"/>
                <w:lang w:eastAsia="id-ID"/>
              </w:rPr>
              <w:t>0.39</w:t>
            </w:r>
          </w:p>
        </w:tc>
        <w:tc>
          <w:tcPr>
            <w:tcW w:w="1843" w:type="dxa"/>
            <w:shd w:val="clear" w:color="000000" w:fill="FFFFFF"/>
            <w:noWrap/>
            <w:vAlign w:val="bottom"/>
            <w:hideMark/>
          </w:tcPr>
          <w:p w14:paraId="163710E3" w14:textId="16FFFBA2" w:rsidR="00F47A65" w:rsidRPr="00192922" w:rsidRDefault="00FA64C3" w:rsidP="00192922">
            <w:pPr>
              <w:jc w:val="center"/>
              <w:rPr>
                <w:rFonts w:ascii="Times New Roman" w:hAnsi="Times New Roman"/>
                <w:color w:val="000000"/>
                <w:sz w:val="20"/>
                <w:lang w:eastAsia="id-ID"/>
              </w:rPr>
            </w:pPr>
            <w:r>
              <w:rPr>
                <w:rFonts w:ascii="Times New Roman" w:hAnsi="Times New Roman"/>
                <w:color w:val="000000"/>
                <w:sz w:val="20"/>
                <w:lang w:eastAsia="id-ID"/>
              </w:rPr>
              <w:t xml:space="preserve">± </w:t>
            </w:r>
            <w:r w:rsidR="00F47A65" w:rsidRPr="00192922">
              <w:rPr>
                <w:rFonts w:ascii="Times New Roman" w:hAnsi="Times New Roman"/>
                <w:color w:val="000000"/>
                <w:sz w:val="20"/>
                <w:lang w:eastAsia="id-ID"/>
              </w:rPr>
              <w:t>1.3</w:t>
            </w:r>
          </w:p>
        </w:tc>
      </w:tr>
      <w:tr w:rsidR="00F47A65" w:rsidRPr="00192922" w14:paraId="1A6461C2" w14:textId="77777777" w:rsidTr="00FA64C3">
        <w:trPr>
          <w:trHeight w:val="288"/>
          <w:jc w:val="center"/>
        </w:trPr>
        <w:tc>
          <w:tcPr>
            <w:tcW w:w="1838" w:type="dxa"/>
            <w:shd w:val="clear" w:color="000000" w:fill="FFFFFF"/>
            <w:noWrap/>
            <w:vAlign w:val="bottom"/>
            <w:hideMark/>
          </w:tcPr>
          <w:p w14:paraId="52BA7F1D"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0.9 - 0.2 SDS</w:t>
            </w:r>
          </w:p>
        </w:tc>
        <w:tc>
          <w:tcPr>
            <w:tcW w:w="1706" w:type="dxa"/>
            <w:shd w:val="clear" w:color="000000" w:fill="FFFFFF"/>
            <w:noWrap/>
            <w:vAlign w:val="bottom"/>
            <w:hideMark/>
          </w:tcPr>
          <w:p w14:paraId="57AB62B6"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0.9 - 0.2 SDS</w:t>
            </w:r>
          </w:p>
        </w:tc>
        <w:tc>
          <w:tcPr>
            <w:tcW w:w="1276" w:type="dxa"/>
            <w:shd w:val="clear" w:color="000000" w:fill="FFFFFF"/>
            <w:noWrap/>
            <w:vAlign w:val="bottom"/>
            <w:hideMark/>
          </w:tcPr>
          <w:p w14:paraId="64F6BE86" w14:textId="0A85055A" w:rsidR="00F47A65" w:rsidRPr="00192922" w:rsidRDefault="00436925" w:rsidP="00192922">
            <w:pPr>
              <w:jc w:val="center"/>
              <w:rPr>
                <w:rFonts w:ascii="Times New Roman" w:hAnsi="Times New Roman"/>
                <w:color w:val="000000"/>
                <w:sz w:val="20"/>
                <w:lang w:eastAsia="id-ID"/>
              </w:rPr>
            </w:pPr>
            <w:r>
              <w:rPr>
                <w:rFonts w:ascii="Times New Roman" w:hAnsi="Times New Roman"/>
                <w:color w:val="000000"/>
                <w:sz w:val="20"/>
                <w:lang w:eastAsia="id-ID"/>
              </w:rPr>
              <w:t>-</w:t>
            </w:r>
          </w:p>
        </w:tc>
        <w:tc>
          <w:tcPr>
            <w:tcW w:w="1559" w:type="dxa"/>
            <w:shd w:val="clear" w:color="000000" w:fill="FFFFFF"/>
            <w:noWrap/>
            <w:vAlign w:val="bottom"/>
            <w:hideMark/>
          </w:tcPr>
          <w:p w14:paraId="68F815C9" w14:textId="6B10794D" w:rsidR="00F47A65" w:rsidRPr="00192922" w:rsidRDefault="00FA64C3" w:rsidP="00192922">
            <w:pPr>
              <w:jc w:val="center"/>
              <w:rPr>
                <w:rFonts w:ascii="Times New Roman" w:hAnsi="Times New Roman"/>
                <w:color w:val="000000"/>
                <w:sz w:val="20"/>
                <w:lang w:eastAsia="id-ID"/>
              </w:rPr>
            </w:pPr>
            <w:r>
              <w:rPr>
                <w:rFonts w:ascii="Times New Roman" w:hAnsi="Times New Roman"/>
                <w:color w:val="000000"/>
                <w:sz w:val="20"/>
                <w:lang w:eastAsia="id-ID"/>
              </w:rPr>
              <w:t xml:space="preserve">± </w:t>
            </w:r>
            <w:r w:rsidR="00F47A65" w:rsidRPr="00192922">
              <w:rPr>
                <w:rFonts w:ascii="Times New Roman" w:hAnsi="Times New Roman"/>
                <w:color w:val="000000"/>
                <w:sz w:val="20"/>
                <w:lang w:eastAsia="id-ID"/>
              </w:rPr>
              <w:t>1.3</w:t>
            </w:r>
          </w:p>
        </w:tc>
        <w:tc>
          <w:tcPr>
            <w:tcW w:w="1843" w:type="dxa"/>
            <w:shd w:val="clear" w:color="000000" w:fill="FFFFFF"/>
            <w:noWrap/>
            <w:vAlign w:val="bottom"/>
            <w:hideMark/>
          </w:tcPr>
          <w:p w14:paraId="1068AA92" w14:textId="7565335D" w:rsidR="00F47A65" w:rsidRPr="00192922" w:rsidRDefault="00FA64C3" w:rsidP="00192922">
            <w:pPr>
              <w:jc w:val="center"/>
              <w:rPr>
                <w:rFonts w:ascii="Times New Roman" w:hAnsi="Times New Roman"/>
                <w:color w:val="000000"/>
                <w:sz w:val="20"/>
                <w:lang w:eastAsia="id-ID"/>
              </w:rPr>
            </w:pPr>
            <w:r>
              <w:rPr>
                <w:rFonts w:ascii="Times New Roman" w:hAnsi="Times New Roman"/>
                <w:color w:val="000000"/>
                <w:sz w:val="20"/>
                <w:lang w:eastAsia="id-ID"/>
              </w:rPr>
              <w:t>±</w:t>
            </w:r>
            <w:r w:rsidR="00F47A65" w:rsidRPr="00192922">
              <w:rPr>
                <w:rFonts w:ascii="Times New Roman" w:hAnsi="Times New Roman"/>
                <w:color w:val="000000"/>
                <w:sz w:val="20"/>
                <w:lang w:eastAsia="id-ID"/>
              </w:rPr>
              <w:t>0.39</w:t>
            </w:r>
          </w:p>
        </w:tc>
      </w:tr>
      <w:tr w:rsidR="00F47A65" w:rsidRPr="00192922" w14:paraId="6AB26227" w14:textId="77777777" w:rsidTr="00FA64C3">
        <w:trPr>
          <w:trHeight w:val="288"/>
          <w:jc w:val="center"/>
        </w:trPr>
        <w:tc>
          <w:tcPr>
            <w:tcW w:w="1838" w:type="dxa"/>
            <w:tcBorders>
              <w:bottom w:val="single" w:sz="4" w:space="0" w:color="auto"/>
            </w:tcBorders>
            <w:shd w:val="clear" w:color="000000" w:fill="FFFFFF"/>
            <w:noWrap/>
            <w:vAlign w:val="bottom"/>
            <w:hideMark/>
          </w:tcPr>
          <w:p w14:paraId="07C83042"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0.9 - 0.2 SDS</w:t>
            </w:r>
          </w:p>
        </w:tc>
        <w:tc>
          <w:tcPr>
            <w:tcW w:w="1706" w:type="dxa"/>
            <w:tcBorders>
              <w:bottom w:val="single" w:sz="4" w:space="0" w:color="auto"/>
            </w:tcBorders>
            <w:shd w:val="clear" w:color="000000" w:fill="FFFFFF"/>
            <w:noWrap/>
            <w:vAlign w:val="bottom"/>
            <w:hideMark/>
          </w:tcPr>
          <w:p w14:paraId="25F010BF"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0.9 - 0.2 SDS</w:t>
            </w:r>
          </w:p>
        </w:tc>
        <w:tc>
          <w:tcPr>
            <w:tcW w:w="1276" w:type="dxa"/>
            <w:tcBorders>
              <w:bottom w:val="single" w:sz="4" w:space="0" w:color="auto"/>
            </w:tcBorders>
            <w:shd w:val="clear" w:color="000000" w:fill="FFFFFF"/>
            <w:noWrap/>
            <w:vAlign w:val="bottom"/>
            <w:hideMark/>
          </w:tcPr>
          <w:p w14:paraId="05BF2EC8" w14:textId="2C2B1148" w:rsidR="00F47A65" w:rsidRPr="00192922" w:rsidRDefault="00436925" w:rsidP="00192922">
            <w:pPr>
              <w:jc w:val="center"/>
              <w:rPr>
                <w:rFonts w:ascii="Times New Roman" w:hAnsi="Times New Roman"/>
                <w:color w:val="000000"/>
                <w:sz w:val="20"/>
                <w:lang w:eastAsia="id-ID"/>
              </w:rPr>
            </w:pPr>
            <w:r>
              <w:rPr>
                <w:rFonts w:ascii="Times New Roman" w:hAnsi="Times New Roman"/>
                <w:color w:val="000000"/>
                <w:sz w:val="20"/>
                <w:lang w:eastAsia="id-ID"/>
              </w:rPr>
              <w:t>-</w:t>
            </w:r>
          </w:p>
        </w:tc>
        <w:tc>
          <w:tcPr>
            <w:tcW w:w="1559" w:type="dxa"/>
            <w:tcBorders>
              <w:bottom w:val="single" w:sz="4" w:space="0" w:color="auto"/>
            </w:tcBorders>
            <w:shd w:val="clear" w:color="000000" w:fill="FFFFFF"/>
            <w:noWrap/>
            <w:vAlign w:val="bottom"/>
            <w:hideMark/>
          </w:tcPr>
          <w:p w14:paraId="12725566" w14:textId="1B3200FF" w:rsidR="00F47A65" w:rsidRPr="00192922" w:rsidRDefault="00FA64C3" w:rsidP="00192922">
            <w:pPr>
              <w:jc w:val="center"/>
              <w:rPr>
                <w:rFonts w:ascii="Times New Roman" w:hAnsi="Times New Roman"/>
                <w:color w:val="000000"/>
                <w:sz w:val="20"/>
                <w:lang w:eastAsia="id-ID"/>
              </w:rPr>
            </w:pPr>
            <w:r>
              <w:rPr>
                <w:rFonts w:ascii="Times New Roman" w:hAnsi="Times New Roman"/>
                <w:color w:val="000000"/>
                <w:sz w:val="20"/>
                <w:lang w:eastAsia="id-ID"/>
              </w:rPr>
              <w:t xml:space="preserve">± </w:t>
            </w:r>
            <w:r w:rsidR="00F47A65" w:rsidRPr="00192922">
              <w:rPr>
                <w:rFonts w:ascii="Times New Roman" w:hAnsi="Times New Roman"/>
                <w:color w:val="000000"/>
                <w:sz w:val="20"/>
                <w:lang w:eastAsia="id-ID"/>
              </w:rPr>
              <w:t>0.39</w:t>
            </w:r>
          </w:p>
        </w:tc>
        <w:tc>
          <w:tcPr>
            <w:tcW w:w="1843" w:type="dxa"/>
            <w:tcBorders>
              <w:bottom w:val="single" w:sz="4" w:space="0" w:color="auto"/>
            </w:tcBorders>
            <w:shd w:val="clear" w:color="000000" w:fill="FFFFFF"/>
            <w:noWrap/>
            <w:vAlign w:val="bottom"/>
            <w:hideMark/>
          </w:tcPr>
          <w:p w14:paraId="4742DA02" w14:textId="4FB66A65" w:rsidR="00F47A65" w:rsidRPr="00192922" w:rsidRDefault="00FA64C3" w:rsidP="00192922">
            <w:pPr>
              <w:jc w:val="center"/>
              <w:rPr>
                <w:rFonts w:ascii="Times New Roman" w:hAnsi="Times New Roman"/>
                <w:color w:val="000000"/>
                <w:sz w:val="20"/>
                <w:lang w:eastAsia="id-ID"/>
              </w:rPr>
            </w:pPr>
            <w:r>
              <w:rPr>
                <w:rFonts w:ascii="Times New Roman" w:hAnsi="Times New Roman"/>
                <w:color w:val="000000"/>
                <w:sz w:val="20"/>
                <w:lang w:eastAsia="id-ID"/>
              </w:rPr>
              <w:t xml:space="preserve">± </w:t>
            </w:r>
            <w:r w:rsidR="00F47A65" w:rsidRPr="00192922">
              <w:rPr>
                <w:rFonts w:ascii="Times New Roman" w:hAnsi="Times New Roman"/>
                <w:color w:val="000000"/>
                <w:sz w:val="20"/>
                <w:lang w:eastAsia="id-ID"/>
              </w:rPr>
              <w:t>1.3</w:t>
            </w:r>
          </w:p>
        </w:tc>
      </w:tr>
    </w:tbl>
    <w:p w14:paraId="585FBEF4" w14:textId="77777777" w:rsidR="00F47A65" w:rsidRPr="00640214" w:rsidRDefault="00F47A65" w:rsidP="00F47A65">
      <w:pPr>
        <w:pStyle w:val="Section"/>
      </w:pPr>
      <w:r w:rsidRPr="00640214">
        <w:t>Results and Discussion</w:t>
      </w:r>
    </w:p>
    <w:p w14:paraId="6C2D8E73" w14:textId="0F9CBF59" w:rsidR="00F47A65" w:rsidRPr="00692739" w:rsidRDefault="0074453D" w:rsidP="00692739">
      <w:pPr>
        <w:pStyle w:val="Heading2"/>
      </w:pPr>
      <w:r w:rsidRPr="00692739">
        <w:t>The f</w:t>
      </w:r>
      <w:r w:rsidR="00F47A65" w:rsidRPr="00692739">
        <w:t>undamental period of structures</w:t>
      </w:r>
    </w:p>
    <w:p w14:paraId="2ABEBCA0" w14:textId="39D6BBC7" w:rsidR="00F47A65" w:rsidRDefault="00F47A65" w:rsidP="00F47A65">
      <w:pPr>
        <w:pStyle w:val="Bodytext"/>
      </w:pPr>
      <w:r w:rsidRPr="00640214">
        <w:t xml:space="preserve">SNI 1726: 2012 article 7.8.2 provides a limitation that the structure vibration time (Tc) </w:t>
      </w:r>
      <w:r>
        <w:t>occurring</w:t>
      </w:r>
      <w:r w:rsidRPr="00640214">
        <w:t xml:space="preserve"> in a building must not exceed the permit</w:t>
      </w:r>
      <w:r>
        <w:t>ted</w:t>
      </w:r>
      <w:r w:rsidRPr="00640214">
        <w:t xml:space="preserve"> vibration period (</w:t>
      </w:r>
      <w:proofErr w:type="spellStart"/>
      <w:r w:rsidRPr="00640214">
        <w:t>Tmax</w:t>
      </w:r>
      <w:proofErr w:type="spellEnd"/>
      <w:r w:rsidRPr="00640214">
        <w:t>).</w:t>
      </w:r>
      <w:r>
        <w:t xml:space="preserve"> </w:t>
      </w:r>
      <w:r w:rsidRPr="00640214">
        <w:t xml:space="preserve">The results of </w:t>
      </w:r>
      <w:r w:rsidR="0074453D">
        <w:t xml:space="preserve">the </w:t>
      </w:r>
      <w:r w:rsidRPr="00640214">
        <w:t xml:space="preserve">fundamental period analysis are shown in </w:t>
      </w:r>
      <w:r>
        <w:t>T</w:t>
      </w:r>
      <w:r w:rsidRPr="00640214">
        <w:t xml:space="preserve">able </w:t>
      </w:r>
      <w:r>
        <w:t>5</w:t>
      </w:r>
      <w:r w:rsidRPr="00640214">
        <w:t xml:space="preserve">. The results show that </w:t>
      </w:r>
      <w:r>
        <w:t xml:space="preserve">the structural vibration time of </w:t>
      </w:r>
      <w:r w:rsidRPr="00640214">
        <w:t>all models, especially</w:t>
      </w:r>
      <w:r>
        <w:t xml:space="preserve"> of</w:t>
      </w:r>
      <w:r w:rsidRPr="00640214">
        <w:t xml:space="preserve"> </w:t>
      </w:r>
      <w:r>
        <w:t xml:space="preserve">the graded </w:t>
      </w:r>
      <w:r w:rsidRPr="00640214">
        <w:t>concrete building</w:t>
      </w:r>
      <w:r>
        <w:t>s</w:t>
      </w:r>
      <w:r w:rsidRPr="00640214">
        <w:t xml:space="preserve">, do not exceed the maximum allowable value. The higher the building </w:t>
      </w:r>
      <w:r>
        <w:t>height</w:t>
      </w:r>
      <w:r w:rsidRPr="00640214">
        <w:t xml:space="preserve">, the greater the </w:t>
      </w:r>
      <w:r>
        <w:t xml:space="preserve">fundamental </w:t>
      </w:r>
      <w:r w:rsidRPr="00640214">
        <w:t>period of the structure produced</w:t>
      </w:r>
      <w:r w:rsidR="00646999">
        <w:t xml:space="preserve"> </w:t>
      </w:r>
      <w:r w:rsidR="00646999">
        <w:fldChar w:fldCharType="begin"/>
      </w:r>
      <w:r w:rsidR="00646999">
        <w:instrText xml:space="preserve"> ADDIN ZOTERO_ITEM CSL_CITATION {"citationID":"9Kyzx3LV","properties":{"formattedCitation":"[12]","plainCitation":"[12]","noteIndex":0},"citationItems":[{"id":42,"uris":["http://zotero.org/users/6762436/items/TJBEZGNM"],"uri":["http://zotero.org/users/6762436/items/TJBEZGNM"],"itemData":{"id":42,"type":"article-journal","abstract":"The main concern of this paper is to study the influence of the building slenderness ratio on the structural behavior of the residential concrete tall buildings aiming to deepen structure and architect designers understanding for such type of buildings. The study is emphasized only on Kuwait city design conditions for wind and seismic loadings. The paper presents an actual case study for adding two thirty stories residential towers with two different slenderness ratios to an existing residential complex. Wind loading is considered using both code values and wind tunnel results. Three dimensional finite element techniques through ETABS software are used in conducting analysis for structures presented here. A serviceability study is performed to ensure that buildings have sufficient stability to limit lateral drift and peak acceleration within the acceptable range of occupancy comfort. In addition, an ultimate strength study is carried out to verify that all the structural elements are designed to withstand factored gravity and lateral loads in a safe manner according to the international building codes. Analysis results are presented and discussed. A brief idea about foundation design of the new towers and its connection to the existing foundation is presented. Finally conclusions are summarized as guidelines for the structural professions of concrete residential tall buildings.","container-title":"Journal of Civil Engineering and Architecture","DOI":"10.17265/1934-7359/2011.06.006","ISSN":"19347359, 19347367","issue":"6","journalAbbreviation":"JCEA","language":"en","source":"DOI.org (Crossref)","title":"Slenderness Ratio Influence on the Structural Behavior of Residential Concrete Tall Buildings","URL":"http://www.davidpublisher.org/index.php/Home/Article/index?id=24519.html","volume":"5","author":[{"literal":"Tarek A. Awida"}],"accessed":{"date-parts":[["2020",8,3]]},"issued":{"date-parts":[["2012",6,28]]}}}],"schema":"https://github.com/citation-style-language/schema/raw/master/csl-citation.json"} </w:instrText>
      </w:r>
      <w:r w:rsidR="00646999">
        <w:fldChar w:fldCharType="separate"/>
      </w:r>
      <w:r w:rsidR="00646999" w:rsidRPr="00646999">
        <w:rPr>
          <w:rFonts w:cs="Times"/>
        </w:rPr>
        <w:t>[12]</w:t>
      </w:r>
      <w:r w:rsidR="00646999">
        <w:fldChar w:fldCharType="end"/>
      </w:r>
      <w:r w:rsidRPr="00640214">
        <w:t>. The use of grad</w:t>
      </w:r>
      <w:r>
        <w:t>ed</w:t>
      </w:r>
      <w:r w:rsidRPr="00640214">
        <w:t xml:space="preserve"> concrete can reduce the fundamental period rate up to 4.39%. The use of graded concrete </w:t>
      </w:r>
      <w:r>
        <w:t>provides a</w:t>
      </w:r>
      <w:r w:rsidRPr="00640214">
        <w:t xml:space="preserve"> significant </w:t>
      </w:r>
      <w:r>
        <w:t xml:space="preserve">effect </w:t>
      </w:r>
      <w:r w:rsidRPr="00640214">
        <w:t xml:space="preserve">in high-rise buildings so that </w:t>
      </w:r>
      <w:r>
        <w:t xml:space="preserve">the </w:t>
      </w:r>
      <w:r w:rsidRPr="00640214">
        <w:t xml:space="preserve">high-rise structures </w:t>
      </w:r>
      <w:r>
        <w:t>behave</w:t>
      </w:r>
      <w:r w:rsidRPr="00640214">
        <w:t xml:space="preserve"> more rigid in responding to lateral loads</w:t>
      </w:r>
      <w:r>
        <w:t xml:space="preserve">, especially from </w:t>
      </w:r>
      <w:r w:rsidR="0074453D">
        <w:t xml:space="preserve">an </w:t>
      </w:r>
      <w:r>
        <w:t xml:space="preserve">earthquake. The value of </w:t>
      </w:r>
      <w:r w:rsidR="0074453D">
        <w:t xml:space="preserve">the </w:t>
      </w:r>
      <w:r>
        <w:t>fundamental period of each structure is displayed in Table 6.</w:t>
      </w:r>
    </w:p>
    <w:p w14:paraId="139496DA" w14:textId="455D9D8D" w:rsidR="00F47A65" w:rsidRDefault="00F47A65" w:rsidP="00F47A65">
      <w:pPr>
        <w:pStyle w:val="FigureCaption"/>
      </w:pPr>
      <w:r w:rsidRPr="00CC3D0B">
        <w:rPr>
          <w:b/>
          <w:bCs/>
        </w:rPr>
        <w:t>Table 6.</w:t>
      </w:r>
      <w:r>
        <w:t xml:space="preserve"> </w:t>
      </w:r>
      <w:r w:rsidR="0074453D">
        <w:t>The f</w:t>
      </w:r>
      <w:r w:rsidRPr="006D55C6">
        <w:t>undamental period of structures</w:t>
      </w:r>
    </w:p>
    <w:tbl>
      <w:tblPr>
        <w:tblW w:w="9132" w:type="dxa"/>
        <w:tblLook w:val="04A0" w:firstRow="1" w:lastRow="0" w:firstColumn="1" w:lastColumn="0" w:noHBand="0" w:noVBand="1"/>
      </w:tblPr>
      <w:tblGrid>
        <w:gridCol w:w="1418"/>
        <w:gridCol w:w="870"/>
        <w:gridCol w:w="864"/>
        <w:gridCol w:w="870"/>
        <w:gridCol w:w="870"/>
        <w:gridCol w:w="816"/>
        <w:gridCol w:w="869"/>
        <w:gridCol w:w="870"/>
        <w:gridCol w:w="816"/>
        <w:gridCol w:w="869"/>
      </w:tblGrid>
      <w:tr w:rsidR="00F47A65" w:rsidRPr="00192922" w14:paraId="27C4F23D" w14:textId="77777777" w:rsidTr="00F47A65">
        <w:trPr>
          <w:trHeight w:val="288"/>
        </w:trPr>
        <w:tc>
          <w:tcPr>
            <w:tcW w:w="1418" w:type="dxa"/>
            <w:vMerge w:val="restart"/>
            <w:tcBorders>
              <w:top w:val="single" w:sz="4" w:space="0" w:color="auto"/>
            </w:tcBorders>
            <w:shd w:val="clear" w:color="auto" w:fill="auto"/>
            <w:noWrap/>
            <w:vAlign w:val="center"/>
            <w:hideMark/>
          </w:tcPr>
          <w:p w14:paraId="38D762AD" w14:textId="77777777" w:rsidR="00F47A65" w:rsidRPr="00192922" w:rsidRDefault="00F47A65" w:rsidP="00192922">
            <w:pPr>
              <w:rPr>
                <w:rFonts w:ascii="Times New Roman" w:hAnsi="Times New Roman"/>
                <w:color w:val="000000"/>
                <w:sz w:val="20"/>
                <w:lang w:eastAsia="id-ID"/>
              </w:rPr>
            </w:pPr>
            <w:r w:rsidRPr="00192922">
              <w:rPr>
                <w:rFonts w:ascii="Times New Roman" w:hAnsi="Times New Roman"/>
                <w:color w:val="000000"/>
                <w:sz w:val="20"/>
                <w:lang w:eastAsia="id-ID"/>
              </w:rPr>
              <w:t>Mode shape 1</w:t>
            </w:r>
          </w:p>
        </w:tc>
        <w:tc>
          <w:tcPr>
            <w:tcW w:w="2604" w:type="dxa"/>
            <w:gridSpan w:val="3"/>
            <w:tcBorders>
              <w:top w:val="single" w:sz="4" w:space="0" w:color="auto"/>
              <w:bottom w:val="single" w:sz="4" w:space="0" w:color="auto"/>
            </w:tcBorders>
            <w:shd w:val="clear" w:color="auto" w:fill="auto"/>
            <w:noWrap/>
            <w:vAlign w:val="bottom"/>
            <w:hideMark/>
          </w:tcPr>
          <w:p w14:paraId="39F1632A"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3-storeys</w:t>
            </w:r>
          </w:p>
        </w:tc>
        <w:tc>
          <w:tcPr>
            <w:tcW w:w="2555" w:type="dxa"/>
            <w:gridSpan w:val="3"/>
            <w:tcBorders>
              <w:top w:val="single" w:sz="4" w:space="0" w:color="auto"/>
              <w:bottom w:val="single" w:sz="4" w:space="0" w:color="auto"/>
            </w:tcBorders>
            <w:shd w:val="clear" w:color="auto" w:fill="auto"/>
            <w:noWrap/>
            <w:vAlign w:val="bottom"/>
            <w:hideMark/>
          </w:tcPr>
          <w:p w14:paraId="7C760457"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6-storeys</w:t>
            </w:r>
          </w:p>
        </w:tc>
        <w:tc>
          <w:tcPr>
            <w:tcW w:w="2555" w:type="dxa"/>
            <w:gridSpan w:val="3"/>
            <w:tcBorders>
              <w:top w:val="single" w:sz="4" w:space="0" w:color="auto"/>
              <w:bottom w:val="single" w:sz="4" w:space="0" w:color="auto"/>
            </w:tcBorders>
            <w:shd w:val="clear" w:color="auto" w:fill="auto"/>
            <w:noWrap/>
            <w:vAlign w:val="bottom"/>
            <w:hideMark/>
          </w:tcPr>
          <w:p w14:paraId="569185C0"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9-storeys</w:t>
            </w:r>
          </w:p>
        </w:tc>
      </w:tr>
      <w:tr w:rsidR="00F47A65" w:rsidRPr="00192922" w14:paraId="02647B90" w14:textId="77777777" w:rsidTr="00142D6F">
        <w:trPr>
          <w:trHeight w:val="288"/>
        </w:trPr>
        <w:tc>
          <w:tcPr>
            <w:tcW w:w="1418" w:type="dxa"/>
            <w:vMerge/>
            <w:tcBorders>
              <w:bottom w:val="single" w:sz="4" w:space="0" w:color="auto"/>
            </w:tcBorders>
            <w:vAlign w:val="center"/>
            <w:hideMark/>
          </w:tcPr>
          <w:p w14:paraId="498DDFAF" w14:textId="77777777" w:rsidR="00F47A65" w:rsidRPr="00192922" w:rsidRDefault="00F47A65" w:rsidP="00192922">
            <w:pPr>
              <w:rPr>
                <w:rFonts w:ascii="Times New Roman" w:hAnsi="Times New Roman"/>
                <w:color w:val="000000"/>
                <w:sz w:val="20"/>
                <w:lang w:eastAsia="id-ID"/>
              </w:rPr>
            </w:pPr>
          </w:p>
        </w:tc>
        <w:tc>
          <w:tcPr>
            <w:tcW w:w="870" w:type="dxa"/>
            <w:tcBorders>
              <w:top w:val="single" w:sz="4" w:space="0" w:color="auto"/>
              <w:bottom w:val="single" w:sz="4" w:space="0" w:color="auto"/>
            </w:tcBorders>
            <w:shd w:val="clear" w:color="auto" w:fill="auto"/>
            <w:noWrap/>
            <w:vAlign w:val="center"/>
            <w:hideMark/>
          </w:tcPr>
          <w:p w14:paraId="62CB0806"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U30</w:t>
            </w:r>
          </w:p>
        </w:tc>
        <w:tc>
          <w:tcPr>
            <w:tcW w:w="864" w:type="dxa"/>
            <w:tcBorders>
              <w:top w:val="single" w:sz="4" w:space="0" w:color="auto"/>
              <w:bottom w:val="single" w:sz="4" w:space="0" w:color="auto"/>
            </w:tcBorders>
            <w:shd w:val="clear" w:color="auto" w:fill="F2F2F2" w:themeFill="background1" w:themeFillShade="F2"/>
            <w:noWrap/>
            <w:vAlign w:val="center"/>
            <w:hideMark/>
          </w:tcPr>
          <w:p w14:paraId="21FFCB03"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U30/50</w:t>
            </w:r>
          </w:p>
        </w:tc>
        <w:tc>
          <w:tcPr>
            <w:tcW w:w="870" w:type="dxa"/>
            <w:tcBorders>
              <w:top w:val="single" w:sz="4" w:space="0" w:color="auto"/>
              <w:bottom w:val="single" w:sz="4" w:space="0" w:color="auto"/>
            </w:tcBorders>
            <w:shd w:val="clear" w:color="auto" w:fill="auto"/>
            <w:noWrap/>
            <w:vAlign w:val="center"/>
            <w:hideMark/>
          </w:tcPr>
          <w:p w14:paraId="6D1BFD17"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U50</w:t>
            </w:r>
          </w:p>
        </w:tc>
        <w:tc>
          <w:tcPr>
            <w:tcW w:w="870" w:type="dxa"/>
            <w:tcBorders>
              <w:top w:val="single" w:sz="4" w:space="0" w:color="auto"/>
              <w:bottom w:val="single" w:sz="4" w:space="0" w:color="auto"/>
            </w:tcBorders>
            <w:shd w:val="clear" w:color="auto" w:fill="auto"/>
            <w:noWrap/>
            <w:vAlign w:val="center"/>
            <w:hideMark/>
          </w:tcPr>
          <w:p w14:paraId="65C954BD"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U30</w:t>
            </w:r>
          </w:p>
        </w:tc>
        <w:tc>
          <w:tcPr>
            <w:tcW w:w="816" w:type="dxa"/>
            <w:tcBorders>
              <w:top w:val="single" w:sz="4" w:space="0" w:color="auto"/>
              <w:bottom w:val="single" w:sz="4" w:space="0" w:color="auto"/>
            </w:tcBorders>
            <w:shd w:val="clear" w:color="auto" w:fill="F2F2F2" w:themeFill="background1" w:themeFillShade="F2"/>
            <w:noWrap/>
            <w:vAlign w:val="center"/>
            <w:hideMark/>
          </w:tcPr>
          <w:p w14:paraId="77C4BA63"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U30/50</w:t>
            </w:r>
          </w:p>
        </w:tc>
        <w:tc>
          <w:tcPr>
            <w:tcW w:w="869" w:type="dxa"/>
            <w:tcBorders>
              <w:top w:val="single" w:sz="4" w:space="0" w:color="auto"/>
              <w:bottom w:val="single" w:sz="4" w:space="0" w:color="auto"/>
            </w:tcBorders>
            <w:shd w:val="clear" w:color="auto" w:fill="auto"/>
            <w:noWrap/>
            <w:vAlign w:val="center"/>
            <w:hideMark/>
          </w:tcPr>
          <w:p w14:paraId="512F5F1A"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U50</w:t>
            </w:r>
          </w:p>
        </w:tc>
        <w:tc>
          <w:tcPr>
            <w:tcW w:w="870" w:type="dxa"/>
            <w:tcBorders>
              <w:top w:val="single" w:sz="4" w:space="0" w:color="auto"/>
              <w:bottom w:val="single" w:sz="4" w:space="0" w:color="auto"/>
            </w:tcBorders>
            <w:shd w:val="clear" w:color="auto" w:fill="auto"/>
            <w:noWrap/>
            <w:vAlign w:val="center"/>
            <w:hideMark/>
          </w:tcPr>
          <w:p w14:paraId="21603B18"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U30</w:t>
            </w:r>
          </w:p>
        </w:tc>
        <w:tc>
          <w:tcPr>
            <w:tcW w:w="816" w:type="dxa"/>
            <w:tcBorders>
              <w:top w:val="single" w:sz="4" w:space="0" w:color="auto"/>
              <w:bottom w:val="single" w:sz="4" w:space="0" w:color="auto"/>
            </w:tcBorders>
            <w:shd w:val="clear" w:color="auto" w:fill="F2F2F2" w:themeFill="background1" w:themeFillShade="F2"/>
            <w:noWrap/>
            <w:vAlign w:val="center"/>
            <w:hideMark/>
          </w:tcPr>
          <w:p w14:paraId="03C7C89C"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U30/50</w:t>
            </w:r>
          </w:p>
        </w:tc>
        <w:tc>
          <w:tcPr>
            <w:tcW w:w="869" w:type="dxa"/>
            <w:tcBorders>
              <w:top w:val="single" w:sz="4" w:space="0" w:color="auto"/>
              <w:bottom w:val="single" w:sz="4" w:space="0" w:color="auto"/>
            </w:tcBorders>
            <w:shd w:val="clear" w:color="auto" w:fill="auto"/>
            <w:noWrap/>
            <w:vAlign w:val="center"/>
            <w:hideMark/>
          </w:tcPr>
          <w:p w14:paraId="2267C7B0"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U50</w:t>
            </w:r>
          </w:p>
        </w:tc>
      </w:tr>
      <w:tr w:rsidR="00F47A65" w:rsidRPr="00192922" w14:paraId="48CE81D0" w14:textId="77777777" w:rsidTr="00142D6F">
        <w:trPr>
          <w:trHeight w:val="279"/>
        </w:trPr>
        <w:tc>
          <w:tcPr>
            <w:tcW w:w="1418" w:type="dxa"/>
            <w:tcBorders>
              <w:top w:val="single" w:sz="4" w:space="0" w:color="auto"/>
            </w:tcBorders>
            <w:shd w:val="clear" w:color="auto" w:fill="auto"/>
            <w:noWrap/>
            <w:vAlign w:val="center"/>
            <w:hideMark/>
          </w:tcPr>
          <w:p w14:paraId="63E507DF" w14:textId="77777777" w:rsidR="00F47A65" w:rsidRPr="00192922" w:rsidRDefault="00F47A65" w:rsidP="00192922">
            <w:pPr>
              <w:rPr>
                <w:rFonts w:ascii="Times New Roman" w:hAnsi="Times New Roman"/>
                <w:color w:val="000000"/>
                <w:sz w:val="20"/>
                <w:lang w:eastAsia="id-ID"/>
              </w:rPr>
            </w:pPr>
            <w:r w:rsidRPr="00192922">
              <w:rPr>
                <w:rFonts w:ascii="Times New Roman" w:hAnsi="Times New Roman"/>
                <w:color w:val="000000"/>
                <w:sz w:val="20"/>
                <w:lang w:eastAsia="id-ID"/>
              </w:rPr>
              <w:t>Tc (s)</w:t>
            </w:r>
          </w:p>
          <w:p w14:paraId="646BD792" w14:textId="77777777" w:rsidR="00F47A65" w:rsidRPr="00192922" w:rsidRDefault="00F47A65" w:rsidP="00192922">
            <w:pPr>
              <w:rPr>
                <w:rFonts w:ascii="Times New Roman" w:hAnsi="Times New Roman"/>
                <w:color w:val="000000"/>
                <w:sz w:val="20"/>
                <w:lang w:eastAsia="id-ID"/>
              </w:rPr>
            </w:pPr>
          </w:p>
        </w:tc>
        <w:tc>
          <w:tcPr>
            <w:tcW w:w="870" w:type="dxa"/>
            <w:tcBorders>
              <w:top w:val="single" w:sz="4" w:space="0" w:color="auto"/>
            </w:tcBorders>
            <w:shd w:val="clear" w:color="auto" w:fill="auto"/>
            <w:noWrap/>
            <w:vAlign w:val="center"/>
            <w:hideMark/>
          </w:tcPr>
          <w:p w14:paraId="1839D98D"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0.418</w:t>
            </w:r>
          </w:p>
        </w:tc>
        <w:tc>
          <w:tcPr>
            <w:tcW w:w="864" w:type="dxa"/>
            <w:tcBorders>
              <w:top w:val="single" w:sz="4" w:space="0" w:color="auto"/>
            </w:tcBorders>
            <w:shd w:val="clear" w:color="auto" w:fill="F2F2F2" w:themeFill="background1" w:themeFillShade="F2"/>
            <w:noWrap/>
            <w:vAlign w:val="center"/>
            <w:hideMark/>
          </w:tcPr>
          <w:p w14:paraId="7E5BC412"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0.402</w:t>
            </w:r>
          </w:p>
        </w:tc>
        <w:tc>
          <w:tcPr>
            <w:tcW w:w="870" w:type="dxa"/>
            <w:tcBorders>
              <w:top w:val="single" w:sz="4" w:space="0" w:color="auto"/>
            </w:tcBorders>
            <w:shd w:val="clear" w:color="auto" w:fill="auto"/>
            <w:noWrap/>
            <w:vAlign w:val="center"/>
            <w:hideMark/>
          </w:tcPr>
          <w:p w14:paraId="217DDC2E"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0.335</w:t>
            </w:r>
          </w:p>
        </w:tc>
        <w:tc>
          <w:tcPr>
            <w:tcW w:w="870" w:type="dxa"/>
            <w:tcBorders>
              <w:top w:val="single" w:sz="4" w:space="0" w:color="auto"/>
            </w:tcBorders>
            <w:shd w:val="clear" w:color="auto" w:fill="auto"/>
            <w:noWrap/>
            <w:vAlign w:val="center"/>
            <w:hideMark/>
          </w:tcPr>
          <w:p w14:paraId="74748B14"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0.859</w:t>
            </w:r>
          </w:p>
        </w:tc>
        <w:tc>
          <w:tcPr>
            <w:tcW w:w="816" w:type="dxa"/>
            <w:tcBorders>
              <w:top w:val="single" w:sz="4" w:space="0" w:color="auto"/>
            </w:tcBorders>
            <w:shd w:val="clear" w:color="auto" w:fill="F2F2F2" w:themeFill="background1" w:themeFillShade="F2"/>
            <w:noWrap/>
            <w:vAlign w:val="center"/>
            <w:hideMark/>
          </w:tcPr>
          <w:p w14:paraId="36086B36"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0.823</w:t>
            </w:r>
          </w:p>
        </w:tc>
        <w:tc>
          <w:tcPr>
            <w:tcW w:w="869" w:type="dxa"/>
            <w:tcBorders>
              <w:top w:val="single" w:sz="4" w:space="0" w:color="auto"/>
            </w:tcBorders>
            <w:shd w:val="clear" w:color="auto" w:fill="auto"/>
            <w:noWrap/>
            <w:vAlign w:val="center"/>
            <w:hideMark/>
          </w:tcPr>
          <w:p w14:paraId="7C05D4A6"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0.689</w:t>
            </w:r>
          </w:p>
        </w:tc>
        <w:tc>
          <w:tcPr>
            <w:tcW w:w="870" w:type="dxa"/>
            <w:tcBorders>
              <w:top w:val="single" w:sz="4" w:space="0" w:color="auto"/>
            </w:tcBorders>
            <w:shd w:val="clear" w:color="auto" w:fill="auto"/>
            <w:noWrap/>
            <w:vAlign w:val="center"/>
            <w:hideMark/>
          </w:tcPr>
          <w:p w14:paraId="06BBE2F0"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1.163</w:t>
            </w:r>
          </w:p>
        </w:tc>
        <w:tc>
          <w:tcPr>
            <w:tcW w:w="816" w:type="dxa"/>
            <w:tcBorders>
              <w:top w:val="single" w:sz="4" w:space="0" w:color="auto"/>
            </w:tcBorders>
            <w:shd w:val="clear" w:color="auto" w:fill="F2F2F2" w:themeFill="background1" w:themeFillShade="F2"/>
            <w:noWrap/>
            <w:vAlign w:val="center"/>
            <w:hideMark/>
          </w:tcPr>
          <w:p w14:paraId="70FDC3C3"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1.112</w:t>
            </w:r>
          </w:p>
        </w:tc>
        <w:tc>
          <w:tcPr>
            <w:tcW w:w="869" w:type="dxa"/>
            <w:tcBorders>
              <w:top w:val="single" w:sz="4" w:space="0" w:color="auto"/>
            </w:tcBorders>
            <w:shd w:val="clear" w:color="auto" w:fill="auto"/>
            <w:noWrap/>
            <w:vAlign w:val="center"/>
            <w:hideMark/>
          </w:tcPr>
          <w:p w14:paraId="524C00FB"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0.932</w:t>
            </w:r>
          </w:p>
        </w:tc>
      </w:tr>
      <w:tr w:rsidR="00F47A65" w:rsidRPr="00192922" w14:paraId="5384D6E7" w14:textId="77777777" w:rsidTr="00142D6F">
        <w:trPr>
          <w:trHeight w:val="288"/>
        </w:trPr>
        <w:tc>
          <w:tcPr>
            <w:tcW w:w="1418" w:type="dxa"/>
            <w:tcBorders>
              <w:bottom w:val="single" w:sz="4" w:space="0" w:color="auto"/>
            </w:tcBorders>
            <w:shd w:val="clear" w:color="auto" w:fill="auto"/>
            <w:noWrap/>
            <w:vAlign w:val="center"/>
          </w:tcPr>
          <w:p w14:paraId="3556E03B" w14:textId="77777777" w:rsidR="00F47A65" w:rsidRPr="00192922" w:rsidRDefault="00F47A65" w:rsidP="00192922">
            <w:pPr>
              <w:rPr>
                <w:rFonts w:ascii="Times New Roman" w:hAnsi="Times New Roman"/>
                <w:color w:val="000000"/>
                <w:sz w:val="20"/>
                <w:lang w:eastAsia="id-ID"/>
              </w:rPr>
            </w:pPr>
            <w:r w:rsidRPr="00192922">
              <w:rPr>
                <w:rFonts w:ascii="Times New Roman" w:hAnsi="Times New Roman"/>
                <w:color w:val="000000"/>
                <w:sz w:val="20"/>
                <w:lang w:eastAsia="id-ID"/>
              </w:rPr>
              <w:t>Sig. (%)</w:t>
            </w:r>
          </w:p>
        </w:tc>
        <w:tc>
          <w:tcPr>
            <w:tcW w:w="870" w:type="dxa"/>
            <w:tcBorders>
              <w:bottom w:val="single" w:sz="4" w:space="0" w:color="auto"/>
            </w:tcBorders>
            <w:shd w:val="clear" w:color="auto" w:fill="auto"/>
            <w:noWrap/>
            <w:vAlign w:val="center"/>
          </w:tcPr>
          <w:p w14:paraId="60E4FED7" w14:textId="77777777" w:rsidR="00F47A65" w:rsidRPr="00192922" w:rsidRDefault="00F47A65" w:rsidP="00192922">
            <w:pPr>
              <w:jc w:val="center"/>
              <w:rPr>
                <w:rFonts w:ascii="Times New Roman" w:hAnsi="Times New Roman"/>
                <w:color w:val="000000"/>
                <w:sz w:val="20"/>
                <w:lang w:eastAsia="id-ID"/>
              </w:rPr>
            </w:pPr>
          </w:p>
        </w:tc>
        <w:tc>
          <w:tcPr>
            <w:tcW w:w="864" w:type="dxa"/>
            <w:tcBorders>
              <w:bottom w:val="single" w:sz="4" w:space="0" w:color="auto"/>
            </w:tcBorders>
            <w:shd w:val="clear" w:color="auto" w:fill="F2F2F2" w:themeFill="background1" w:themeFillShade="F2"/>
            <w:noWrap/>
            <w:vAlign w:val="center"/>
          </w:tcPr>
          <w:p w14:paraId="4C115BEA"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i/>
                <w:iCs/>
                <w:color w:val="000000"/>
                <w:sz w:val="20"/>
                <w:lang w:eastAsia="id-ID"/>
              </w:rPr>
              <w:t>-3.83</w:t>
            </w:r>
          </w:p>
        </w:tc>
        <w:tc>
          <w:tcPr>
            <w:tcW w:w="870" w:type="dxa"/>
            <w:tcBorders>
              <w:bottom w:val="single" w:sz="4" w:space="0" w:color="auto"/>
            </w:tcBorders>
            <w:shd w:val="clear" w:color="auto" w:fill="auto"/>
            <w:noWrap/>
            <w:vAlign w:val="center"/>
          </w:tcPr>
          <w:p w14:paraId="510009BB" w14:textId="77777777" w:rsidR="00F47A65" w:rsidRPr="00192922" w:rsidRDefault="00F47A65" w:rsidP="00192922">
            <w:pPr>
              <w:jc w:val="center"/>
              <w:rPr>
                <w:rFonts w:ascii="Times New Roman" w:hAnsi="Times New Roman"/>
                <w:color w:val="000000"/>
                <w:sz w:val="20"/>
                <w:lang w:eastAsia="id-ID"/>
              </w:rPr>
            </w:pPr>
          </w:p>
        </w:tc>
        <w:tc>
          <w:tcPr>
            <w:tcW w:w="870" w:type="dxa"/>
            <w:tcBorders>
              <w:bottom w:val="single" w:sz="4" w:space="0" w:color="auto"/>
            </w:tcBorders>
            <w:shd w:val="clear" w:color="auto" w:fill="auto"/>
            <w:noWrap/>
            <w:vAlign w:val="center"/>
          </w:tcPr>
          <w:p w14:paraId="09823017" w14:textId="77777777" w:rsidR="00F47A65" w:rsidRPr="00192922" w:rsidRDefault="00F47A65" w:rsidP="00192922">
            <w:pPr>
              <w:jc w:val="center"/>
              <w:rPr>
                <w:rFonts w:ascii="Times New Roman" w:hAnsi="Times New Roman"/>
                <w:color w:val="000000"/>
                <w:sz w:val="20"/>
                <w:lang w:eastAsia="id-ID"/>
              </w:rPr>
            </w:pPr>
          </w:p>
        </w:tc>
        <w:tc>
          <w:tcPr>
            <w:tcW w:w="816" w:type="dxa"/>
            <w:tcBorders>
              <w:bottom w:val="single" w:sz="4" w:space="0" w:color="auto"/>
            </w:tcBorders>
            <w:shd w:val="clear" w:color="auto" w:fill="F2F2F2" w:themeFill="background1" w:themeFillShade="F2"/>
            <w:noWrap/>
            <w:vAlign w:val="center"/>
          </w:tcPr>
          <w:p w14:paraId="627B9E12"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i/>
                <w:iCs/>
                <w:color w:val="000000"/>
                <w:sz w:val="20"/>
                <w:lang w:eastAsia="id-ID"/>
              </w:rPr>
              <w:t>-4.19</w:t>
            </w:r>
          </w:p>
        </w:tc>
        <w:tc>
          <w:tcPr>
            <w:tcW w:w="869" w:type="dxa"/>
            <w:tcBorders>
              <w:bottom w:val="single" w:sz="4" w:space="0" w:color="auto"/>
            </w:tcBorders>
            <w:shd w:val="clear" w:color="auto" w:fill="auto"/>
            <w:noWrap/>
            <w:vAlign w:val="center"/>
          </w:tcPr>
          <w:p w14:paraId="3B6C0FD3" w14:textId="77777777" w:rsidR="00F47A65" w:rsidRPr="00192922" w:rsidRDefault="00F47A65" w:rsidP="00192922">
            <w:pPr>
              <w:jc w:val="center"/>
              <w:rPr>
                <w:rFonts w:ascii="Times New Roman" w:hAnsi="Times New Roman"/>
                <w:color w:val="000000"/>
                <w:sz w:val="20"/>
                <w:lang w:eastAsia="id-ID"/>
              </w:rPr>
            </w:pPr>
          </w:p>
        </w:tc>
        <w:tc>
          <w:tcPr>
            <w:tcW w:w="870" w:type="dxa"/>
            <w:tcBorders>
              <w:bottom w:val="single" w:sz="4" w:space="0" w:color="auto"/>
            </w:tcBorders>
            <w:shd w:val="clear" w:color="auto" w:fill="auto"/>
            <w:noWrap/>
            <w:vAlign w:val="center"/>
          </w:tcPr>
          <w:p w14:paraId="3BA7F216" w14:textId="77777777" w:rsidR="00F47A65" w:rsidRPr="00192922" w:rsidRDefault="00F47A65" w:rsidP="00192922">
            <w:pPr>
              <w:jc w:val="center"/>
              <w:rPr>
                <w:rFonts w:ascii="Times New Roman" w:hAnsi="Times New Roman"/>
                <w:color w:val="000000"/>
                <w:sz w:val="20"/>
                <w:lang w:eastAsia="id-ID"/>
              </w:rPr>
            </w:pPr>
          </w:p>
        </w:tc>
        <w:tc>
          <w:tcPr>
            <w:tcW w:w="816" w:type="dxa"/>
            <w:tcBorders>
              <w:bottom w:val="single" w:sz="4" w:space="0" w:color="auto"/>
            </w:tcBorders>
            <w:shd w:val="clear" w:color="auto" w:fill="F2F2F2" w:themeFill="background1" w:themeFillShade="F2"/>
            <w:noWrap/>
            <w:vAlign w:val="center"/>
          </w:tcPr>
          <w:p w14:paraId="34FF0711"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i/>
                <w:iCs/>
                <w:color w:val="000000"/>
                <w:sz w:val="20"/>
                <w:lang w:eastAsia="id-ID"/>
              </w:rPr>
              <w:t>-4.39</w:t>
            </w:r>
          </w:p>
        </w:tc>
        <w:tc>
          <w:tcPr>
            <w:tcW w:w="869" w:type="dxa"/>
            <w:tcBorders>
              <w:bottom w:val="single" w:sz="4" w:space="0" w:color="auto"/>
            </w:tcBorders>
            <w:shd w:val="clear" w:color="auto" w:fill="auto"/>
            <w:noWrap/>
            <w:vAlign w:val="center"/>
          </w:tcPr>
          <w:p w14:paraId="36BEDF2F" w14:textId="77777777" w:rsidR="00F47A65" w:rsidRPr="00192922" w:rsidRDefault="00F47A65" w:rsidP="00192922">
            <w:pPr>
              <w:jc w:val="center"/>
              <w:rPr>
                <w:rFonts w:ascii="Times New Roman" w:hAnsi="Times New Roman"/>
                <w:color w:val="000000"/>
                <w:sz w:val="20"/>
                <w:lang w:eastAsia="id-ID"/>
              </w:rPr>
            </w:pPr>
          </w:p>
        </w:tc>
      </w:tr>
      <w:tr w:rsidR="00F47A65" w:rsidRPr="00192922" w14:paraId="22152CE1" w14:textId="77777777" w:rsidTr="00F47A65">
        <w:trPr>
          <w:trHeight w:val="288"/>
        </w:trPr>
        <w:tc>
          <w:tcPr>
            <w:tcW w:w="1418" w:type="dxa"/>
            <w:tcBorders>
              <w:top w:val="single" w:sz="4" w:space="0" w:color="auto"/>
              <w:bottom w:val="single" w:sz="4" w:space="0" w:color="auto"/>
            </w:tcBorders>
            <w:shd w:val="clear" w:color="auto" w:fill="auto"/>
            <w:noWrap/>
            <w:vAlign w:val="center"/>
          </w:tcPr>
          <w:p w14:paraId="2A354B0A" w14:textId="77777777" w:rsidR="00F47A65" w:rsidRPr="00192922" w:rsidRDefault="00F47A65" w:rsidP="00192922">
            <w:pPr>
              <w:rPr>
                <w:rFonts w:ascii="Times New Roman" w:hAnsi="Times New Roman"/>
                <w:color w:val="000000"/>
                <w:sz w:val="20"/>
                <w:lang w:eastAsia="id-ID"/>
              </w:rPr>
            </w:pPr>
            <w:r w:rsidRPr="00192922">
              <w:rPr>
                <w:rFonts w:ascii="Times New Roman" w:hAnsi="Times New Roman"/>
                <w:color w:val="000000"/>
                <w:sz w:val="20"/>
                <w:lang w:eastAsia="id-ID"/>
              </w:rPr>
              <w:t>T max (s)</w:t>
            </w:r>
          </w:p>
        </w:tc>
        <w:tc>
          <w:tcPr>
            <w:tcW w:w="2604" w:type="dxa"/>
            <w:gridSpan w:val="3"/>
            <w:tcBorders>
              <w:top w:val="single" w:sz="4" w:space="0" w:color="auto"/>
              <w:bottom w:val="single" w:sz="4" w:space="0" w:color="auto"/>
            </w:tcBorders>
            <w:shd w:val="clear" w:color="auto" w:fill="auto"/>
            <w:noWrap/>
            <w:vAlign w:val="center"/>
          </w:tcPr>
          <w:p w14:paraId="598C806B"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0.597</w:t>
            </w:r>
          </w:p>
        </w:tc>
        <w:tc>
          <w:tcPr>
            <w:tcW w:w="2555" w:type="dxa"/>
            <w:gridSpan w:val="3"/>
            <w:tcBorders>
              <w:top w:val="single" w:sz="4" w:space="0" w:color="auto"/>
              <w:bottom w:val="single" w:sz="4" w:space="0" w:color="auto"/>
            </w:tcBorders>
            <w:shd w:val="clear" w:color="auto" w:fill="auto"/>
            <w:noWrap/>
            <w:vAlign w:val="center"/>
          </w:tcPr>
          <w:p w14:paraId="7E277524"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1.062</w:t>
            </w:r>
          </w:p>
        </w:tc>
        <w:tc>
          <w:tcPr>
            <w:tcW w:w="2555" w:type="dxa"/>
            <w:gridSpan w:val="3"/>
            <w:tcBorders>
              <w:top w:val="single" w:sz="4" w:space="0" w:color="auto"/>
              <w:bottom w:val="single" w:sz="4" w:space="0" w:color="auto"/>
            </w:tcBorders>
            <w:shd w:val="clear" w:color="auto" w:fill="auto"/>
            <w:noWrap/>
            <w:vAlign w:val="center"/>
          </w:tcPr>
          <w:p w14:paraId="4AC5D1F9" w14:textId="77777777" w:rsidR="00F47A65" w:rsidRPr="00192922" w:rsidRDefault="00F47A65" w:rsidP="00192922">
            <w:pPr>
              <w:jc w:val="center"/>
              <w:rPr>
                <w:rFonts w:ascii="Times New Roman" w:hAnsi="Times New Roman"/>
                <w:color w:val="000000"/>
                <w:sz w:val="20"/>
                <w:lang w:eastAsia="id-ID"/>
              </w:rPr>
            </w:pPr>
            <w:r w:rsidRPr="00192922">
              <w:rPr>
                <w:rFonts w:ascii="Times New Roman" w:hAnsi="Times New Roman"/>
                <w:color w:val="000000"/>
                <w:sz w:val="20"/>
                <w:lang w:eastAsia="id-ID"/>
              </w:rPr>
              <w:t>1.359</w:t>
            </w:r>
          </w:p>
        </w:tc>
      </w:tr>
    </w:tbl>
    <w:p w14:paraId="60C51C76" w14:textId="77777777" w:rsidR="00F47A65" w:rsidRPr="00F77691" w:rsidRDefault="00F47A65" w:rsidP="00692739">
      <w:pPr>
        <w:pStyle w:val="Heading2"/>
      </w:pPr>
      <w:r w:rsidRPr="00F77691">
        <w:t>Storey stiffness</w:t>
      </w:r>
    </w:p>
    <w:p w14:paraId="04E1D814" w14:textId="3371FA79" w:rsidR="00F47A65" w:rsidRPr="00F77691" w:rsidRDefault="00F47A65" w:rsidP="00F47A65">
      <w:pPr>
        <w:pStyle w:val="Bodytext"/>
      </w:pPr>
      <w:r w:rsidRPr="00F77691">
        <w:t>The results show that the use of grad</w:t>
      </w:r>
      <w:r>
        <w:t>ed</w:t>
      </w:r>
      <w:r w:rsidRPr="00F77691">
        <w:t xml:space="preserve"> concrete in high rise buildings can increase </w:t>
      </w:r>
      <w:r>
        <w:t>storey</w:t>
      </w:r>
      <w:r w:rsidRPr="00F77691">
        <w:t xml:space="preserve"> stiffness up to 11.56%. The trend of </w:t>
      </w:r>
      <w:r>
        <w:t>storey</w:t>
      </w:r>
      <w:r w:rsidRPr="00F77691">
        <w:t xml:space="preserve"> stiffness</w:t>
      </w:r>
      <w:r>
        <w:t xml:space="preserve"> increase</w:t>
      </w:r>
      <w:r w:rsidRPr="00F77691">
        <w:t xml:space="preserve"> is</w:t>
      </w:r>
      <w:r>
        <w:t xml:space="preserve"> at the minimum value at</w:t>
      </w:r>
      <w:r w:rsidRPr="00F77691">
        <w:t xml:space="preserve"> </w:t>
      </w:r>
      <w:r>
        <w:t>the</w:t>
      </w:r>
      <w:r w:rsidRPr="00F77691">
        <w:t xml:space="preserve"> lower level and </w:t>
      </w:r>
      <w:r>
        <w:t xml:space="preserve">is </w:t>
      </w:r>
      <w:r w:rsidRPr="00F77691">
        <w:t xml:space="preserve">gradually increasing on the </w:t>
      </w:r>
      <w:r>
        <w:t xml:space="preserve">higher </w:t>
      </w:r>
      <w:proofErr w:type="spellStart"/>
      <w:r>
        <w:t>storey</w:t>
      </w:r>
      <w:proofErr w:type="spellEnd"/>
      <w:r>
        <w:t xml:space="preserve"> level</w:t>
      </w:r>
      <w:r w:rsidRPr="00F77691">
        <w:t xml:space="preserve">. The storey stiffness </w:t>
      </w:r>
      <w:r>
        <w:t>of each building is</w:t>
      </w:r>
      <w:r w:rsidRPr="00F77691">
        <w:t xml:space="preserve"> shown in </w:t>
      </w:r>
      <w:r>
        <w:t>T</w:t>
      </w:r>
      <w:r w:rsidRPr="00F77691">
        <w:t xml:space="preserve">able </w:t>
      </w:r>
      <w:r>
        <w:t>7</w:t>
      </w:r>
      <w:r w:rsidRPr="00F77691">
        <w:t>.</w:t>
      </w:r>
    </w:p>
    <w:p w14:paraId="7B534C60" w14:textId="77777777" w:rsidR="00F47A65" w:rsidRPr="006D55C6" w:rsidRDefault="00F47A65" w:rsidP="00F47A65">
      <w:pPr>
        <w:pStyle w:val="FigureCaption"/>
      </w:pPr>
      <w:r w:rsidRPr="00CC3D0B">
        <w:rPr>
          <w:b/>
          <w:bCs/>
        </w:rPr>
        <w:t>Table 7.</w:t>
      </w:r>
      <w:r>
        <w:t xml:space="preserve"> </w:t>
      </w:r>
      <w:r w:rsidRPr="00F77691">
        <w:t>Storey stiffness</w:t>
      </w:r>
    </w:p>
    <w:tbl>
      <w:tblPr>
        <w:tblW w:w="9109" w:type="dxa"/>
        <w:tblLook w:val="04A0" w:firstRow="1" w:lastRow="0" w:firstColumn="1" w:lastColumn="0" w:noHBand="0" w:noVBand="1"/>
      </w:tblPr>
      <w:tblGrid>
        <w:gridCol w:w="739"/>
        <w:gridCol w:w="966"/>
        <w:gridCol w:w="966"/>
        <w:gridCol w:w="966"/>
        <w:gridCol w:w="966"/>
        <w:gridCol w:w="816"/>
        <w:gridCol w:w="966"/>
        <w:gridCol w:w="966"/>
        <w:gridCol w:w="966"/>
        <w:gridCol w:w="966"/>
      </w:tblGrid>
      <w:tr w:rsidR="00AF011A" w:rsidRPr="00AF011A" w14:paraId="0F5FF16B" w14:textId="77777777" w:rsidTr="00D1461E">
        <w:trPr>
          <w:trHeight w:val="264"/>
        </w:trPr>
        <w:tc>
          <w:tcPr>
            <w:tcW w:w="739" w:type="dxa"/>
            <w:vMerge w:val="restart"/>
            <w:tcBorders>
              <w:top w:val="single" w:sz="4" w:space="0" w:color="auto"/>
              <w:bottom w:val="single" w:sz="4" w:space="0" w:color="000000"/>
            </w:tcBorders>
            <w:shd w:val="clear" w:color="auto" w:fill="auto"/>
            <w:noWrap/>
            <w:vAlign w:val="bottom"/>
            <w:hideMark/>
          </w:tcPr>
          <w:p w14:paraId="0D94C6DF"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Storey Level</w:t>
            </w:r>
          </w:p>
        </w:tc>
        <w:tc>
          <w:tcPr>
            <w:tcW w:w="8366" w:type="dxa"/>
            <w:gridSpan w:val="9"/>
            <w:tcBorders>
              <w:top w:val="single" w:sz="4" w:space="0" w:color="auto"/>
              <w:bottom w:val="single" w:sz="4" w:space="0" w:color="auto"/>
            </w:tcBorders>
            <w:shd w:val="clear" w:color="auto" w:fill="auto"/>
            <w:noWrap/>
            <w:vAlign w:val="bottom"/>
            <w:hideMark/>
          </w:tcPr>
          <w:p w14:paraId="1F9E1A34" w14:textId="39BE8790"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Storey Stiffness (</w:t>
            </w:r>
            <w:proofErr w:type="spellStart"/>
            <w:r w:rsidR="00AF011A">
              <w:rPr>
                <w:rFonts w:ascii="Times New Roman" w:hAnsi="Times New Roman"/>
                <w:color w:val="000000"/>
                <w:sz w:val="20"/>
                <w:lang w:eastAsia="id-ID"/>
              </w:rPr>
              <w:t>k</w:t>
            </w:r>
            <w:r w:rsidRPr="00AF011A">
              <w:rPr>
                <w:rFonts w:ascii="Times New Roman" w:hAnsi="Times New Roman"/>
                <w:color w:val="000000"/>
                <w:sz w:val="20"/>
                <w:lang w:eastAsia="id-ID"/>
              </w:rPr>
              <w:t>N</w:t>
            </w:r>
            <w:proofErr w:type="spellEnd"/>
            <w:r w:rsidRPr="00AF011A">
              <w:rPr>
                <w:rFonts w:ascii="Times New Roman" w:hAnsi="Times New Roman"/>
                <w:color w:val="000000"/>
                <w:sz w:val="20"/>
                <w:lang w:eastAsia="id-ID"/>
              </w:rPr>
              <w:t>/mm)</w:t>
            </w:r>
          </w:p>
        </w:tc>
      </w:tr>
      <w:tr w:rsidR="00AF011A" w:rsidRPr="00AF011A" w14:paraId="2F77767B" w14:textId="77777777" w:rsidTr="00D1461E">
        <w:trPr>
          <w:trHeight w:val="264"/>
        </w:trPr>
        <w:tc>
          <w:tcPr>
            <w:tcW w:w="739" w:type="dxa"/>
            <w:vMerge/>
            <w:tcBorders>
              <w:top w:val="single" w:sz="4" w:space="0" w:color="auto"/>
              <w:bottom w:val="single" w:sz="4" w:space="0" w:color="000000"/>
            </w:tcBorders>
            <w:vAlign w:val="center"/>
            <w:hideMark/>
          </w:tcPr>
          <w:p w14:paraId="6EBD5602" w14:textId="77777777" w:rsidR="00F47A65" w:rsidRPr="00AF011A" w:rsidRDefault="00F47A65" w:rsidP="00192922">
            <w:pPr>
              <w:rPr>
                <w:rFonts w:ascii="Times New Roman" w:hAnsi="Times New Roman"/>
                <w:color w:val="000000"/>
                <w:sz w:val="20"/>
                <w:lang w:eastAsia="id-ID"/>
              </w:rPr>
            </w:pPr>
          </w:p>
        </w:tc>
        <w:tc>
          <w:tcPr>
            <w:tcW w:w="2898" w:type="dxa"/>
            <w:gridSpan w:val="3"/>
            <w:tcBorders>
              <w:top w:val="single" w:sz="4" w:space="0" w:color="auto"/>
              <w:bottom w:val="single" w:sz="4" w:space="0" w:color="auto"/>
            </w:tcBorders>
            <w:shd w:val="clear" w:color="auto" w:fill="auto"/>
            <w:noWrap/>
            <w:vAlign w:val="center"/>
            <w:hideMark/>
          </w:tcPr>
          <w:p w14:paraId="70997725"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3-storeys</w:t>
            </w:r>
          </w:p>
        </w:tc>
        <w:tc>
          <w:tcPr>
            <w:tcW w:w="2570" w:type="dxa"/>
            <w:gridSpan w:val="3"/>
            <w:tcBorders>
              <w:top w:val="single" w:sz="4" w:space="0" w:color="auto"/>
              <w:bottom w:val="single" w:sz="4" w:space="0" w:color="auto"/>
            </w:tcBorders>
            <w:shd w:val="clear" w:color="auto" w:fill="auto"/>
            <w:noWrap/>
            <w:vAlign w:val="center"/>
            <w:hideMark/>
          </w:tcPr>
          <w:p w14:paraId="4A7CC059"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6-storeys</w:t>
            </w:r>
          </w:p>
        </w:tc>
        <w:tc>
          <w:tcPr>
            <w:tcW w:w="2898" w:type="dxa"/>
            <w:gridSpan w:val="3"/>
            <w:tcBorders>
              <w:top w:val="single" w:sz="4" w:space="0" w:color="auto"/>
              <w:bottom w:val="single" w:sz="4" w:space="0" w:color="auto"/>
            </w:tcBorders>
            <w:shd w:val="clear" w:color="auto" w:fill="auto"/>
            <w:noWrap/>
            <w:vAlign w:val="center"/>
            <w:hideMark/>
          </w:tcPr>
          <w:p w14:paraId="2EEC048E"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9-storeys</w:t>
            </w:r>
          </w:p>
        </w:tc>
      </w:tr>
      <w:tr w:rsidR="00AF011A" w:rsidRPr="00AF011A" w14:paraId="44DA4313" w14:textId="77777777" w:rsidTr="00142D6F">
        <w:trPr>
          <w:trHeight w:val="264"/>
        </w:trPr>
        <w:tc>
          <w:tcPr>
            <w:tcW w:w="739" w:type="dxa"/>
            <w:vMerge/>
            <w:tcBorders>
              <w:top w:val="single" w:sz="4" w:space="0" w:color="auto"/>
              <w:bottom w:val="single" w:sz="4" w:space="0" w:color="000000"/>
            </w:tcBorders>
            <w:vAlign w:val="center"/>
            <w:hideMark/>
          </w:tcPr>
          <w:p w14:paraId="15091DAF" w14:textId="77777777" w:rsidR="00F47A65" w:rsidRPr="00AF011A" w:rsidRDefault="00F47A65" w:rsidP="00192922">
            <w:pPr>
              <w:rPr>
                <w:rFonts w:ascii="Times New Roman" w:hAnsi="Times New Roman"/>
                <w:color w:val="000000"/>
                <w:sz w:val="20"/>
                <w:lang w:eastAsia="id-ID"/>
              </w:rPr>
            </w:pPr>
          </w:p>
        </w:tc>
        <w:tc>
          <w:tcPr>
            <w:tcW w:w="966" w:type="dxa"/>
            <w:tcBorders>
              <w:top w:val="nil"/>
              <w:bottom w:val="single" w:sz="4" w:space="0" w:color="auto"/>
            </w:tcBorders>
            <w:shd w:val="clear" w:color="auto" w:fill="auto"/>
            <w:noWrap/>
            <w:vAlign w:val="center"/>
            <w:hideMark/>
          </w:tcPr>
          <w:p w14:paraId="19C4839D"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U30</w:t>
            </w:r>
          </w:p>
        </w:tc>
        <w:tc>
          <w:tcPr>
            <w:tcW w:w="966" w:type="dxa"/>
            <w:tcBorders>
              <w:top w:val="nil"/>
              <w:bottom w:val="single" w:sz="4" w:space="0" w:color="auto"/>
            </w:tcBorders>
            <w:shd w:val="clear" w:color="000000" w:fill="E7E6E6"/>
            <w:noWrap/>
            <w:vAlign w:val="center"/>
            <w:hideMark/>
          </w:tcPr>
          <w:p w14:paraId="22F9EAFD"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U30/50</w:t>
            </w:r>
          </w:p>
        </w:tc>
        <w:tc>
          <w:tcPr>
            <w:tcW w:w="966" w:type="dxa"/>
            <w:tcBorders>
              <w:top w:val="nil"/>
              <w:bottom w:val="single" w:sz="4" w:space="0" w:color="auto"/>
            </w:tcBorders>
            <w:shd w:val="clear" w:color="auto" w:fill="auto"/>
            <w:noWrap/>
            <w:vAlign w:val="center"/>
            <w:hideMark/>
          </w:tcPr>
          <w:p w14:paraId="68B8B44A"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U50</w:t>
            </w:r>
          </w:p>
        </w:tc>
        <w:tc>
          <w:tcPr>
            <w:tcW w:w="966" w:type="dxa"/>
            <w:tcBorders>
              <w:top w:val="nil"/>
              <w:bottom w:val="single" w:sz="4" w:space="0" w:color="auto"/>
            </w:tcBorders>
            <w:shd w:val="clear" w:color="auto" w:fill="auto"/>
            <w:noWrap/>
            <w:vAlign w:val="center"/>
            <w:hideMark/>
          </w:tcPr>
          <w:p w14:paraId="10E9668F"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U30</w:t>
            </w:r>
          </w:p>
        </w:tc>
        <w:tc>
          <w:tcPr>
            <w:tcW w:w="642" w:type="dxa"/>
            <w:tcBorders>
              <w:top w:val="nil"/>
              <w:bottom w:val="single" w:sz="4" w:space="0" w:color="auto"/>
            </w:tcBorders>
            <w:shd w:val="clear" w:color="000000" w:fill="E7E6E6"/>
            <w:noWrap/>
            <w:vAlign w:val="center"/>
            <w:hideMark/>
          </w:tcPr>
          <w:p w14:paraId="65103019"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U30/50</w:t>
            </w:r>
          </w:p>
        </w:tc>
        <w:tc>
          <w:tcPr>
            <w:tcW w:w="966" w:type="dxa"/>
            <w:tcBorders>
              <w:top w:val="nil"/>
              <w:bottom w:val="single" w:sz="4" w:space="0" w:color="auto"/>
            </w:tcBorders>
            <w:shd w:val="clear" w:color="auto" w:fill="auto"/>
            <w:noWrap/>
            <w:vAlign w:val="center"/>
            <w:hideMark/>
          </w:tcPr>
          <w:p w14:paraId="3912191B"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U50</w:t>
            </w:r>
          </w:p>
        </w:tc>
        <w:tc>
          <w:tcPr>
            <w:tcW w:w="966" w:type="dxa"/>
            <w:tcBorders>
              <w:top w:val="nil"/>
              <w:bottom w:val="single" w:sz="4" w:space="0" w:color="auto"/>
            </w:tcBorders>
            <w:shd w:val="clear" w:color="auto" w:fill="auto"/>
            <w:noWrap/>
            <w:vAlign w:val="center"/>
            <w:hideMark/>
          </w:tcPr>
          <w:p w14:paraId="0659FB7A"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U30</w:t>
            </w:r>
          </w:p>
        </w:tc>
        <w:tc>
          <w:tcPr>
            <w:tcW w:w="966" w:type="dxa"/>
            <w:tcBorders>
              <w:top w:val="nil"/>
              <w:bottom w:val="single" w:sz="4" w:space="0" w:color="auto"/>
            </w:tcBorders>
            <w:shd w:val="clear" w:color="000000" w:fill="E7E6E6"/>
            <w:noWrap/>
            <w:vAlign w:val="center"/>
            <w:hideMark/>
          </w:tcPr>
          <w:p w14:paraId="4511228E"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U30/50</w:t>
            </w:r>
          </w:p>
        </w:tc>
        <w:tc>
          <w:tcPr>
            <w:tcW w:w="966" w:type="dxa"/>
            <w:tcBorders>
              <w:top w:val="nil"/>
              <w:bottom w:val="single" w:sz="4" w:space="0" w:color="auto"/>
            </w:tcBorders>
            <w:shd w:val="clear" w:color="auto" w:fill="auto"/>
            <w:noWrap/>
            <w:vAlign w:val="center"/>
            <w:hideMark/>
          </w:tcPr>
          <w:p w14:paraId="3D677402" w14:textId="7777777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U50</w:t>
            </w:r>
          </w:p>
        </w:tc>
      </w:tr>
      <w:tr w:rsidR="00AF011A" w:rsidRPr="00AF011A" w14:paraId="5A2C8994" w14:textId="77777777" w:rsidTr="00142D6F">
        <w:trPr>
          <w:trHeight w:val="264"/>
        </w:trPr>
        <w:tc>
          <w:tcPr>
            <w:tcW w:w="739" w:type="dxa"/>
            <w:tcBorders>
              <w:top w:val="nil"/>
              <w:bottom w:val="nil"/>
            </w:tcBorders>
            <w:shd w:val="clear" w:color="auto" w:fill="auto"/>
            <w:noWrap/>
            <w:vAlign w:val="center"/>
            <w:hideMark/>
          </w:tcPr>
          <w:p w14:paraId="044BFB49"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1st</w:t>
            </w:r>
          </w:p>
        </w:tc>
        <w:tc>
          <w:tcPr>
            <w:tcW w:w="966" w:type="dxa"/>
            <w:tcBorders>
              <w:top w:val="single" w:sz="4" w:space="0" w:color="auto"/>
            </w:tcBorders>
            <w:shd w:val="clear" w:color="auto" w:fill="auto"/>
            <w:noWrap/>
            <w:vAlign w:val="center"/>
            <w:hideMark/>
          </w:tcPr>
          <w:p w14:paraId="71F3C8A7" w14:textId="683C458A"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129</w:t>
            </w:r>
            <w:r w:rsidR="00AF011A">
              <w:rPr>
                <w:rFonts w:ascii="Times New Roman" w:hAnsi="Times New Roman"/>
                <w:color w:val="000000"/>
                <w:sz w:val="20"/>
                <w:lang w:eastAsia="id-ID"/>
              </w:rPr>
              <w:t>.</w:t>
            </w:r>
            <w:r w:rsidRPr="00AF011A">
              <w:rPr>
                <w:rFonts w:ascii="Times New Roman" w:hAnsi="Times New Roman"/>
                <w:color w:val="000000"/>
                <w:sz w:val="20"/>
                <w:lang w:eastAsia="id-ID"/>
              </w:rPr>
              <w:t>8</w:t>
            </w:r>
          </w:p>
        </w:tc>
        <w:tc>
          <w:tcPr>
            <w:tcW w:w="966" w:type="dxa"/>
            <w:tcBorders>
              <w:top w:val="single" w:sz="4" w:space="0" w:color="auto"/>
            </w:tcBorders>
            <w:shd w:val="clear" w:color="000000" w:fill="E7E6E6"/>
            <w:noWrap/>
            <w:vAlign w:val="center"/>
            <w:hideMark/>
          </w:tcPr>
          <w:p w14:paraId="3065A428" w14:textId="136855E8"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138</w:t>
            </w:r>
            <w:r w:rsidR="00AF011A">
              <w:rPr>
                <w:rFonts w:ascii="Times New Roman" w:hAnsi="Times New Roman"/>
                <w:color w:val="000000"/>
                <w:sz w:val="20"/>
                <w:lang w:eastAsia="id-ID"/>
              </w:rPr>
              <w:t>.</w:t>
            </w:r>
            <w:r w:rsidRPr="00AF011A">
              <w:rPr>
                <w:rFonts w:ascii="Times New Roman" w:hAnsi="Times New Roman"/>
                <w:color w:val="000000"/>
                <w:sz w:val="20"/>
                <w:lang w:eastAsia="id-ID"/>
              </w:rPr>
              <w:t>1</w:t>
            </w:r>
          </w:p>
        </w:tc>
        <w:tc>
          <w:tcPr>
            <w:tcW w:w="966" w:type="dxa"/>
            <w:tcBorders>
              <w:top w:val="single" w:sz="4" w:space="0" w:color="auto"/>
            </w:tcBorders>
            <w:shd w:val="clear" w:color="auto" w:fill="auto"/>
            <w:noWrap/>
            <w:vAlign w:val="center"/>
            <w:hideMark/>
          </w:tcPr>
          <w:p w14:paraId="4657652D" w14:textId="45186D61"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201</w:t>
            </w:r>
            <w:r w:rsidR="00AF011A">
              <w:rPr>
                <w:rFonts w:ascii="Times New Roman" w:hAnsi="Times New Roman"/>
                <w:color w:val="000000"/>
                <w:sz w:val="20"/>
                <w:lang w:eastAsia="id-ID"/>
              </w:rPr>
              <w:t>.</w:t>
            </w:r>
            <w:r w:rsidRPr="00AF011A">
              <w:rPr>
                <w:rFonts w:ascii="Times New Roman" w:hAnsi="Times New Roman"/>
                <w:color w:val="000000"/>
                <w:sz w:val="20"/>
                <w:lang w:eastAsia="id-ID"/>
              </w:rPr>
              <w:t>8</w:t>
            </w:r>
          </w:p>
        </w:tc>
        <w:tc>
          <w:tcPr>
            <w:tcW w:w="966" w:type="dxa"/>
            <w:tcBorders>
              <w:top w:val="single" w:sz="4" w:space="0" w:color="auto"/>
            </w:tcBorders>
            <w:shd w:val="clear" w:color="auto" w:fill="auto"/>
            <w:noWrap/>
            <w:vAlign w:val="center"/>
            <w:hideMark/>
          </w:tcPr>
          <w:p w14:paraId="21D1569A" w14:textId="1E517196"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117</w:t>
            </w:r>
            <w:r w:rsidR="00AF011A">
              <w:rPr>
                <w:rFonts w:ascii="Times New Roman" w:hAnsi="Times New Roman"/>
                <w:color w:val="000000"/>
                <w:sz w:val="20"/>
                <w:lang w:eastAsia="id-ID"/>
              </w:rPr>
              <w:t>.</w:t>
            </w:r>
            <w:r w:rsidRPr="00AF011A">
              <w:rPr>
                <w:rFonts w:ascii="Times New Roman" w:hAnsi="Times New Roman"/>
                <w:color w:val="000000"/>
                <w:sz w:val="20"/>
                <w:lang w:eastAsia="id-ID"/>
              </w:rPr>
              <w:t>9</w:t>
            </w:r>
          </w:p>
        </w:tc>
        <w:tc>
          <w:tcPr>
            <w:tcW w:w="642" w:type="dxa"/>
            <w:tcBorders>
              <w:top w:val="single" w:sz="4" w:space="0" w:color="auto"/>
            </w:tcBorders>
            <w:shd w:val="clear" w:color="000000" w:fill="E7E6E6"/>
            <w:noWrap/>
            <w:vAlign w:val="center"/>
            <w:hideMark/>
          </w:tcPr>
          <w:p w14:paraId="76F410F5" w14:textId="0ABBC36C"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126</w:t>
            </w:r>
            <w:r w:rsidR="00AF011A">
              <w:rPr>
                <w:rFonts w:ascii="Times New Roman" w:hAnsi="Times New Roman"/>
                <w:color w:val="000000"/>
                <w:sz w:val="20"/>
                <w:lang w:eastAsia="id-ID"/>
              </w:rPr>
              <w:t>.</w:t>
            </w:r>
            <w:r w:rsidRPr="00AF011A">
              <w:rPr>
                <w:rFonts w:ascii="Times New Roman" w:hAnsi="Times New Roman"/>
                <w:color w:val="000000"/>
                <w:sz w:val="20"/>
                <w:lang w:eastAsia="id-ID"/>
              </w:rPr>
              <w:t>0</w:t>
            </w:r>
          </w:p>
        </w:tc>
        <w:tc>
          <w:tcPr>
            <w:tcW w:w="966" w:type="dxa"/>
            <w:tcBorders>
              <w:top w:val="single" w:sz="4" w:space="0" w:color="auto"/>
            </w:tcBorders>
            <w:shd w:val="clear" w:color="auto" w:fill="auto"/>
            <w:noWrap/>
            <w:vAlign w:val="center"/>
            <w:hideMark/>
          </w:tcPr>
          <w:p w14:paraId="0C3B7DFE" w14:textId="32C8374B"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183</w:t>
            </w:r>
            <w:r w:rsidR="00AF011A">
              <w:rPr>
                <w:rFonts w:ascii="Times New Roman" w:hAnsi="Times New Roman"/>
                <w:color w:val="000000"/>
                <w:sz w:val="20"/>
                <w:lang w:eastAsia="id-ID"/>
              </w:rPr>
              <w:t>.</w:t>
            </w:r>
            <w:r w:rsidRPr="00AF011A">
              <w:rPr>
                <w:rFonts w:ascii="Times New Roman" w:hAnsi="Times New Roman"/>
                <w:color w:val="000000"/>
                <w:sz w:val="20"/>
                <w:lang w:eastAsia="id-ID"/>
              </w:rPr>
              <w:t>2</w:t>
            </w:r>
          </w:p>
        </w:tc>
        <w:tc>
          <w:tcPr>
            <w:tcW w:w="966" w:type="dxa"/>
            <w:tcBorders>
              <w:top w:val="single" w:sz="4" w:space="0" w:color="auto"/>
            </w:tcBorders>
            <w:shd w:val="clear" w:color="auto" w:fill="auto"/>
            <w:noWrap/>
            <w:vAlign w:val="center"/>
            <w:hideMark/>
          </w:tcPr>
          <w:p w14:paraId="615D3DD5" w14:textId="13E59B7F"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1076</w:t>
            </w:r>
            <w:r w:rsidR="00AF011A">
              <w:rPr>
                <w:rFonts w:ascii="Times New Roman" w:hAnsi="Times New Roman"/>
                <w:color w:val="000000"/>
                <w:sz w:val="20"/>
                <w:lang w:eastAsia="id-ID"/>
              </w:rPr>
              <w:t>.0</w:t>
            </w:r>
          </w:p>
        </w:tc>
        <w:tc>
          <w:tcPr>
            <w:tcW w:w="966" w:type="dxa"/>
            <w:tcBorders>
              <w:top w:val="single" w:sz="4" w:space="0" w:color="auto"/>
            </w:tcBorders>
            <w:shd w:val="clear" w:color="000000" w:fill="E7E6E6"/>
            <w:noWrap/>
            <w:vAlign w:val="center"/>
            <w:hideMark/>
          </w:tcPr>
          <w:p w14:paraId="5119F5EF" w14:textId="1C290BA5"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1140</w:t>
            </w:r>
            <w:r w:rsidR="00AF011A">
              <w:rPr>
                <w:rFonts w:ascii="Times New Roman" w:hAnsi="Times New Roman"/>
                <w:color w:val="000000"/>
                <w:sz w:val="20"/>
                <w:lang w:eastAsia="id-ID"/>
              </w:rPr>
              <w:t>.</w:t>
            </w:r>
            <w:r w:rsidRPr="00AF011A">
              <w:rPr>
                <w:rFonts w:ascii="Times New Roman" w:hAnsi="Times New Roman"/>
                <w:color w:val="000000"/>
                <w:sz w:val="20"/>
                <w:lang w:eastAsia="id-ID"/>
              </w:rPr>
              <w:t>2</w:t>
            </w:r>
          </w:p>
        </w:tc>
        <w:tc>
          <w:tcPr>
            <w:tcW w:w="966" w:type="dxa"/>
            <w:tcBorders>
              <w:top w:val="single" w:sz="4" w:space="0" w:color="auto"/>
            </w:tcBorders>
            <w:shd w:val="clear" w:color="auto" w:fill="auto"/>
            <w:noWrap/>
            <w:vAlign w:val="center"/>
            <w:hideMark/>
          </w:tcPr>
          <w:p w14:paraId="6BFCBEB1" w14:textId="267A1FB6"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1671</w:t>
            </w:r>
            <w:r w:rsidR="00AF011A">
              <w:rPr>
                <w:rFonts w:ascii="Times New Roman" w:hAnsi="Times New Roman"/>
                <w:color w:val="000000"/>
                <w:sz w:val="20"/>
                <w:lang w:eastAsia="id-ID"/>
              </w:rPr>
              <w:t>.</w:t>
            </w:r>
            <w:r w:rsidRPr="00AF011A">
              <w:rPr>
                <w:rFonts w:ascii="Times New Roman" w:hAnsi="Times New Roman"/>
                <w:color w:val="000000"/>
                <w:sz w:val="20"/>
                <w:lang w:eastAsia="id-ID"/>
              </w:rPr>
              <w:t>0</w:t>
            </w:r>
          </w:p>
        </w:tc>
      </w:tr>
      <w:tr w:rsidR="00AF011A" w:rsidRPr="00AF011A" w14:paraId="303B4D38" w14:textId="77777777" w:rsidTr="00142D6F">
        <w:trPr>
          <w:trHeight w:val="264"/>
        </w:trPr>
        <w:tc>
          <w:tcPr>
            <w:tcW w:w="739" w:type="dxa"/>
            <w:tcBorders>
              <w:top w:val="nil"/>
              <w:bottom w:val="single" w:sz="4" w:space="0" w:color="auto"/>
            </w:tcBorders>
            <w:shd w:val="clear" w:color="auto" w:fill="auto"/>
            <w:noWrap/>
            <w:vAlign w:val="center"/>
            <w:hideMark/>
          </w:tcPr>
          <w:p w14:paraId="79A6E793"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bottom w:val="single" w:sz="4" w:space="0" w:color="auto"/>
            </w:tcBorders>
            <w:shd w:val="clear" w:color="auto" w:fill="auto"/>
            <w:noWrap/>
            <w:vAlign w:val="center"/>
            <w:hideMark/>
          </w:tcPr>
          <w:p w14:paraId="130EF96D"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40838A5D"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6.35</w:t>
            </w:r>
          </w:p>
        </w:tc>
        <w:tc>
          <w:tcPr>
            <w:tcW w:w="966" w:type="dxa"/>
            <w:tcBorders>
              <w:bottom w:val="single" w:sz="4" w:space="0" w:color="auto"/>
            </w:tcBorders>
            <w:shd w:val="clear" w:color="auto" w:fill="auto"/>
            <w:noWrap/>
            <w:vAlign w:val="center"/>
            <w:hideMark/>
          </w:tcPr>
          <w:p w14:paraId="115FDB5E"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256F66DD"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bottom w:val="single" w:sz="4" w:space="0" w:color="auto"/>
            </w:tcBorders>
            <w:shd w:val="clear" w:color="000000" w:fill="E7E6E6"/>
            <w:noWrap/>
            <w:vAlign w:val="center"/>
            <w:hideMark/>
          </w:tcPr>
          <w:p w14:paraId="3DC9EB3A"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6.82</w:t>
            </w:r>
          </w:p>
        </w:tc>
        <w:tc>
          <w:tcPr>
            <w:tcW w:w="966" w:type="dxa"/>
            <w:tcBorders>
              <w:bottom w:val="single" w:sz="4" w:space="0" w:color="auto"/>
            </w:tcBorders>
            <w:shd w:val="clear" w:color="auto" w:fill="auto"/>
            <w:noWrap/>
            <w:vAlign w:val="center"/>
            <w:hideMark/>
          </w:tcPr>
          <w:p w14:paraId="0651D9BB"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0D1A7D41"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4C43E16E"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5.91</w:t>
            </w:r>
          </w:p>
        </w:tc>
        <w:tc>
          <w:tcPr>
            <w:tcW w:w="966" w:type="dxa"/>
            <w:tcBorders>
              <w:bottom w:val="single" w:sz="4" w:space="0" w:color="auto"/>
            </w:tcBorders>
            <w:shd w:val="clear" w:color="auto" w:fill="auto"/>
            <w:noWrap/>
            <w:vAlign w:val="center"/>
            <w:hideMark/>
          </w:tcPr>
          <w:p w14:paraId="632C295A"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r w:rsidR="00AF011A" w:rsidRPr="00AF011A" w14:paraId="28A5001A" w14:textId="77777777" w:rsidTr="00142D6F">
        <w:trPr>
          <w:trHeight w:val="264"/>
        </w:trPr>
        <w:tc>
          <w:tcPr>
            <w:tcW w:w="739" w:type="dxa"/>
            <w:tcBorders>
              <w:top w:val="nil"/>
              <w:bottom w:val="nil"/>
            </w:tcBorders>
            <w:shd w:val="clear" w:color="auto" w:fill="auto"/>
            <w:noWrap/>
            <w:vAlign w:val="center"/>
            <w:hideMark/>
          </w:tcPr>
          <w:p w14:paraId="6E0E29EB"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2nd</w:t>
            </w:r>
          </w:p>
        </w:tc>
        <w:tc>
          <w:tcPr>
            <w:tcW w:w="966" w:type="dxa"/>
            <w:tcBorders>
              <w:top w:val="single" w:sz="4" w:space="0" w:color="auto"/>
            </w:tcBorders>
            <w:shd w:val="clear" w:color="auto" w:fill="auto"/>
            <w:noWrap/>
            <w:vAlign w:val="center"/>
            <w:hideMark/>
          </w:tcPr>
          <w:p w14:paraId="306B0EA3" w14:textId="7D3047B0"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90</w:t>
            </w:r>
            <w:r w:rsidR="00AF011A">
              <w:rPr>
                <w:rFonts w:ascii="Times New Roman" w:hAnsi="Times New Roman"/>
                <w:color w:val="000000"/>
                <w:sz w:val="20"/>
                <w:lang w:eastAsia="id-ID"/>
              </w:rPr>
              <w:t>.</w:t>
            </w:r>
            <w:r w:rsidRPr="00AF011A">
              <w:rPr>
                <w:rFonts w:ascii="Times New Roman" w:hAnsi="Times New Roman"/>
                <w:color w:val="000000"/>
                <w:sz w:val="20"/>
                <w:lang w:eastAsia="id-ID"/>
              </w:rPr>
              <w:t>6</w:t>
            </w:r>
          </w:p>
        </w:tc>
        <w:tc>
          <w:tcPr>
            <w:tcW w:w="966" w:type="dxa"/>
            <w:tcBorders>
              <w:top w:val="single" w:sz="4" w:space="0" w:color="auto"/>
            </w:tcBorders>
            <w:shd w:val="clear" w:color="000000" w:fill="E7E6E6"/>
            <w:noWrap/>
            <w:vAlign w:val="center"/>
            <w:hideMark/>
          </w:tcPr>
          <w:p w14:paraId="161D5D35" w14:textId="15C652DB"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98</w:t>
            </w:r>
            <w:r w:rsidR="00AF011A">
              <w:rPr>
                <w:rFonts w:ascii="Times New Roman" w:hAnsi="Times New Roman"/>
                <w:color w:val="000000"/>
                <w:sz w:val="20"/>
                <w:lang w:eastAsia="id-ID"/>
              </w:rPr>
              <w:t>.</w:t>
            </w:r>
            <w:r w:rsidRPr="00AF011A">
              <w:rPr>
                <w:rFonts w:ascii="Times New Roman" w:hAnsi="Times New Roman"/>
                <w:color w:val="000000"/>
                <w:sz w:val="20"/>
                <w:lang w:eastAsia="id-ID"/>
              </w:rPr>
              <w:t>2</w:t>
            </w:r>
          </w:p>
        </w:tc>
        <w:tc>
          <w:tcPr>
            <w:tcW w:w="966" w:type="dxa"/>
            <w:tcBorders>
              <w:top w:val="single" w:sz="4" w:space="0" w:color="auto"/>
            </w:tcBorders>
            <w:shd w:val="clear" w:color="auto" w:fill="auto"/>
            <w:noWrap/>
            <w:vAlign w:val="center"/>
            <w:hideMark/>
          </w:tcPr>
          <w:p w14:paraId="7F8D737F" w14:textId="17389EF1"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140</w:t>
            </w:r>
            <w:r w:rsidR="00AF011A">
              <w:rPr>
                <w:rFonts w:ascii="Times New Roman" w:hAnsi="Times New Roman"/>
                <w:color w:val="000000"/>
                <w:sz w:val="20"/>
                <w:lang w:eastAsia="id-ID"/>
              </w:rPr>
              <w:t>.0</w:t>
            </w:r>
          </w:p>
        </w:tc>
        <w:tc>
          <w:tcPr>
            <w:tcW w:w="966" w:type="dxa"/>
            <w:tcBorders>
              <w:top w:val="single" w:sz="4" w:space="0" w:color="auto"/>
            </w:tcBorders>
            <w:shd w:val="clear" w:color="auto" w:fill="auto"/>
            <w:noWrap/>
            <w:vAlign w:val="center"/>
            <w:hideMark/>
          </w:tcPr>
          <w:p w14:paraId="7094C6A5" w14:textId="013F2C94"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84</w:t>
            </w:r>
            <w:r w:rsidR="00AF011A">
              <w:rPr>
                <w:rFonts w:ascii="Times New Roman" w:hAnsi="Times New Roman"/>
                <w:color w:val="000000"/>
                <w:sz w:val="20"/>
                <w:lang w:eastAsia="id-ID"/>
              </w:rPr>
              <w:t>.</w:t>
            </w:r>
            <w:r w:rsidRPr="00AF011A">
              <w:rPr>
                <w:rFonts w:ascii="Times New Roman" w:hAnsi="Times New Roman"/>
                <w:color w:val="000000"/>
                <w:sz w:val="20"/>
                <w:lang w:eastAsia="id-ID"/>
              </w:rPr>
              <w:t>6</w:t>
            </w:r>
          </w:p>
        </w:tc>
        <w:tc>
          <w:tcPr>
            <w:tcW w:w="642" w:type="dxa"/>
            <w:tcBorders>
              <w:top w:val="single" w:sz="4" w:space="0" w:color="auto"/>
            </w:tcBorders>
            <w:shd w:val="clear" w:color="000000" w:fill="E7E6E6"/>
            <w:noWrap/>
            <w:vAlign w:val="center"/>
            <w:hideMark/>
          </w:tcPr>
          <w:p w14:paraId="16959D5B" w14:textId="535CC429"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91</w:t>
            </w:r>
            <w:r w:rsidR="00AF011A">
              <w:rPr>
                <w:rFonts w:ascii="Times New Roman" w:hAnsi="Times New Roman"/>
                <w:color w:val="000000"/>
                <w:sz w:val="20"/>
                <w:lang w:eastAsia="id-ID"/>
              </w:rPr>
              <w:t>.</w:t>
            </w:r>
            <w:r w:rsidRPr="00AF011A">
              <w:rPr>
                <w:rFonts w:ascii="Times New Roman" w:hAnsi="Times New Roman"/>
                <w:color w:val="000000"/>
                <w:sz w:val="20"/>
                <w:lang w:eastAsia="id-ID"/>
              </w:rPr>
              <w:t>9</w:t>
            </w:r>
          </w:p>
        </w:tc>
        <w:tc>
          <w:tcPr>
            <w:tcW w:w="966" w:type="dxa"/>
            <w:tcBorders>
              <w:top w:val="single" w:sz="4" w:space="0" w:color="auto"/>
            </w:tcBorders>
            <w:shd w:val="clear" w:color="auto" w:fill="auto"/>
            <w:noWrap/>
            <w:vAlign w:val="center"/>
            <w:hideMark/>
          </w:tcPr>
          <w:p w14:paraId="04C277D1" w14:textId="241C6D4C"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131</w:t>
            </w:r>
            <w:r w:rsidR="00AF011A">
              <w:rPr>
                <w:rFonts w:ascii="Times New Roman" w:hAnsi="Times New Roman"/>
                <w:color w:val="000000"/>
                <w:sz w:val="20"/>
                <w:lang w:eastAsia="id-ID"/>
              </w:rPr>
              <w:t>.</w:t>
            </w:r>
            <w:r w:rsidRPr="00AF011A">
              <w:rPr>
                <w:rFonts w:ascii="Times New Roman" w:hAnsi="Times New Roman"/>
                <w:color w:val="000000"/>
                <w:sz w:val="20"/>
                <w:lang w:eastAsia="id-ID"/>
              </w:rPr>
              <w:t>5</w:t>
            </w:r>
          </w:p>
        </w:tc>
        <w:tc>
          <w:tcPr>
            <w:tcW w:w="966" w:type="dxa"/>
            <w:tcBorders>
              <w:top w:val="single" w:sz="4" w:space="0" w:color="auto"/>
            </w:tcBorders>
            <w:shd w:val="clear" w:color="auto" w:fill="auto"/>
            <w:noWrap/>
            <w:vAlign w:val="center"/>
            <w:hideMark/>
          </w:tcPr>
          <w:p w14:paraId="337B328A" w14:textId="795CE233"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115</w:t>
            </w:r>
            <w:r w:rsidR="00AF011A">
              <w:rPr>
                <w:rFonts w:ascii="Times New Roman" w:hAnsi="Times New Roman"/>
                <w:color w:val="000000"/>
                <w:sz w:val="20"/>
                <w:lang w:eastAsia="id-ID"/>
              </w:rPr>
              <w:t>.</w:t>
            </w:r>
            <w:r w:rsidRPr="00AF011A">
              <w:rPr>
                <w:rFonts w:ascii="Times New Roman" w:hAnsi="Times New Roman"/>
                <w:color w:val="000000"/>
                <w:sz w:val="20"/>
                <w:lang w:eastAsia="id-ID"/>
              </w:rPr>
              <w:t>7</w:t>
            </w:r>
          </w:p>
        </w:tc>
        <w:tc>
          <w:tcPr>
            <w:tcW w:w="966" w:type="dxa"/>
            <w:tcBorders>
              <w:top w:val="single" w:sz="4" w:space="0" w:color="auto"/>
            </w:tcBorders>
            <w:shd w:val="clear" w:color="000000" w:fill="E7E6E6"/>
            <w:noWrap/>
            <w:vAlign w:val="center"/>
            <w:hideMark/>
          </w:tcPr>
          <w:p w14:paraId="184EB905" w14:textId="2E3A55F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123</w:t>
            </w:r>
            <w:r w:rsidR="00AF011A">
              <w:rPr>
                <w:rFonts w:ascii="Times New Roman" w:hAnsi="Times New Roman"/>
                <w:color w:val="000000"/>
                <w:sz w:val="20"/>
                <w:lang w:eastAsia="id-ID"/>
              </w:rPr>
              <w:t>.</w:t>
            </w:r>
            <w:r w:rsidRPr="00AF011A">
              <w:rPr>
                <w:rFonts w:ascii="Times New Roman" w:hAnsi="Times New Roman"/>
                <w:color w:val="000000"/>
                <w:sz w:val="20"/>
                <w:lang w:eastAsia="id-ID"/>
              </w:rPr>
              <w:t>7</w:t>
            </w:r>
          </w:p>
        </w:tc>
        <w:tc>
          <w:tcPr>
            <w:tcW w:w="966" w:type="dxa"/>
            <w:tcBorders>
              <w:top w:val="single" w:sz="4" w:space="0" w:color="auto"/>
            </w:tcBorders>
            <w:shd w:val="clear" w:color="auto" w:fill="auto"/>
            <w:noWrap/>
            <w:vAlign w:val="center"/>
            <w:hideMark/>
          </w:tcPr>
          <w:p w14:paraId="1F1CA2F9" w14:textId="64842434"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179</w:t>
            </w:r>
            <w:r w:rsidR="00AF011A">
              <w:rPr>
                <w:rFonts w:ascii="Times New Roman" w:hAnsi="Times New Roman"/>
                <w:color w:val="000000"/>
                <w:sz w:val="20"/>
                <w:lang w:eastAsia="id-ID"/>
              </w:rPr>
              <w:t>.</w:t>
            </w:r>
            <w:r w:rsidRPr="00AF011A">
              <w:rPr>
                <w:rFonts w:ascii="Times New Roman" w:hAnsi="Times New Roman"/>
                <w:color w:val="000000"/>
                <w:sz w:val="20"/>
                <w:lang w:eastAsia="id-ID"/>
              </w:rPr>
              <w:t>5</w:t>
            </w:r>
          </w:p>
        </w:tc>
      </w:tr>
      <w:tr w:rsidR="00AF011A" w:rsidRPr="00AF011A" w14:paraId="3DD64CB9" w14:textId="77777777" w:rsidTr="00142D6F">
        <w:trPr>
          <w:trHeight w:val="264"/>
        </w:trPr>
        <w:tc>
          <w:tcPr>
            <w:tcW w:w="739" w:type="dxa"/>
            <w:tcBorders>
              <w:top w:val="nil"/>
              <w:bottom w:val="single" w:sz="4" w:space="0" w:color="auto"/>
            </w:tcBorders>
            <w:shd w:val="clear" w:color="auto" w:fill="auto"/>
            <w:noWrap/>
            <w:vAlign w:val="center"/>
            <w:hideMark/>
          </w:tcPr>
          <w:p w14:paraId="5D01B086"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bottom w:val="single" w:sz="4" w:space="0" w:color="auto"/>
            </w:tcBorders>
            <w:shd w:val="clear" w:color="auto" w:fill="auto"/>
            <w:noWrap/>
            <w:vAlign w:val="center"/>
            <w:hideMark/>
          </w:tcPr>
          <w:p w14:paraId="24DDDEAC"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6EB425BA"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8.47</w:t>
            </w:r>
          </w:p>
        </w:tc>
        <w:tc>
          <w:tcPr>
            <w:tcW w:w="966" w:type="dxa"/>
            <w:tcBorders>
              <w:bottom w:val="single" w:sz="4" w:space="0" w:color="auto"/>
            </w:tcBorders>
            <w:shd w:val="clear" w:color="auto" w:fill="auto"/>
            <w:noWrap/>
            <w:vAlign w:val="center"/>
            <w:hideMark/>
          </w:tcPr>
          <w:p w14:paraId="10184816"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0E921CAE"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bottom w:val="single" w:sz="4" w:space="0" w:color="auto"/>
            </w:tcBorders>
            <w:shd w:val="clear" w:color="000000" w:fill="E7E6E6"/>
            <w:noWrap/>
            <w:vAlign w:val="center"/>
            <w:hideMark/>
          </w:tcPr>
          <w:p w14:paraId="16630AE4"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8.64</w:t>
            </w:r>
          </w:p>
        </w:tc>
        <w:tc>
          <w:tcPr>
            <w:tcW w:w="966" w:type="dxa"/>
            <w:tcBorders>
              <w:bottom w:val="single" w:sz="4" w:space="0" w:color="auto"/>
            </w:tcBorders>
            <w:shd w:val="clear" w:color="auto" w:fill="auto"/>
            <w:noWrap/>
            <w:vAlign w:val="center"/>
            <w:hideMark/>
          </w:tcPr>
          <w:p w14:paraId="70A591D6"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1AD8A3C0"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040EAA89"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6.93</w:t>
            </w:r>
          </w:p>
        </w:tc>
        <w:tc>
          <w:tcPr>
            <w:tcW w:w="966" w:type="dxa"/>
            <w:tcBorders>
              <w:bottom w:val="single" w:sz="4" w:space="0" w:color="auto"/>
            </w:tcBorders>
            <w:shd w:val="clear" w:color="auto" w:fill="auto"/>
            <w:noWrap/>
            <w:vAlign w:val="center"/>
            <w:hideMark/>
          </w:tcPr>
          <w:p w14:paraId="41B0FC92"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r w:rsidR="00AF011A" w:rsidRPr="00AF011A" w14:paraId="3D72F590" w14:textId="77777777" w:rsidTr="00142D6F">
        <w:trPr>
          <w:trHeight w:val="264"/>
        </w:trPr>
        <w:tc>
          <w:tcPr>
            <w:tcW w:w="739" w:type="dxa"/>
            <w:tcBorders>
              <w:top w:val="nil"/>
              <w:bottom w:val="nil"/>
            </w:tcBorders>
            <w:shd w:val="clear" w:color="auto" w:fill="auto"/>
            <w:noWrap/>
            <w:vAlign w:val="center"/>
            <w:hideMark/>
          </w:tcPr>
          <w:p w14:paraId="614A2D52"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3rd</w:t>
            </w:r>
          </w:p>
        </w:tc>
        <w:tc>
          <w:tcPr>
            <w:tcW w:w="966" w:type="dxa"/>
            <w:tcBorders>
              <w:top w:val="single" w:sz="4" w:space="0" w:color="auto"/>
            </w:tcBorders>
            <w:shd w:val="clear" w:color="auto" w:fill="auto"/>
            <w:noWrap/>
            <w:vAlign w:val="center"/>
            <w:hideMark/>
          </w:tcPr>
          <w:p w14:paraId="75B99401" w14:textId="2DC11689"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60</w:t>
            </w:r>
            <w:r w:rsidR="00AF011A">
              <w:rPr>
                <w:rFonts w:ascii="Times New Roman" w:hAnsi="Times New Roman"/>
                <w:color w:val="000000"/>
                <w:sz w:val="20"/>
                <w:lang w:eastAsia="id-ID"/>
              </w:rPr>
              <w:t>.</w:t>
            </w:r>
            <w:r w:rsidRPr="00AF011A">
              <w:rPr>
                <w:rFonts w:ascii="Times New Roman" w:hAnsi="Times New Roman"/>
                <w:color w:val="000000"/>
                <w:sz w:val="20"/>
                <w:lang w:eastAsia="id-ID"/>
              </w:rPr>
              <w:t>9</w:t>
            </w:r>
          </w:p>
        </w:tc>
        <w:tc>
          <w:tcPr>
            <w:tcW w:w="966" w:type="dxa"/>
            <w:tcBorders>
              <w:top w:val="single" w:sz="4" w:space="0" w:color="auto"/>
            </w:tcBorders>
            <w:shd w:val="clear" w:color="000000" w:fill="E7E6E6"/>
            <w:noWrap/>
            <w:vAlign w:val="center"/>
            <w:hideMark/>
          </w:tcPr>
          <w:p w14:paraId="6B6FD5CF" w14:textId="26FAB7AB"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67</w:t>
            </w:r>
            <w:r w:rsidR="00AF011A">
              <w:rPr>
                <w:rFonts w:ascii="Times New Roman" w:hAnsi="Times New Roman"/>
                <w:color w:val="000000"/>
                <w:sz w:val="20"/>
                <w:lang w:eastAsia="id-ID"/>
              </w:rPr>
              <w:t>.</w:t>
            </w:r>
            <w:r w:rsidRPr="00AF011A">
              <w:rPr>
                <w:rFonts w:ascii="Times New Roman" w:hAnsi="Times New Roman"/>
                <w:color w:val="000000"/>
                <w:sz w:val="20"/>
                <w:lang w:eastAsia="id-ID"/>
              </w:rPr>
              <w:t>2</w:t>
            </w:r>
          </w:p>
        </w:tc>
        <w:tc>
          <w:tcPr>
            <w:tcW w:w="966" w:type="dxa"/>
            <w:tcBorders>
              <w:top w:val="single" w:sz="4" w:space="0" w:color="auto"/>
            </w:tcBorders>
            <w:shd w:val="clear" w:color="auto" w:fill="auto"/>
            <w:noWrap/>
            <w:vAlign w:val="center"/>
            <w:hideMark/>
          </w:tcPr>
          <w:p w14:paraId="3C6A5252" w14:textId="77CB3601"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94</w:t>
            </w:r>
            <w:r w:rsidR="00AF011A">
              <w:rPr>
                <w:rFonts w:ascii="Times New Roman" w:hAnsi="Times New Roman"/>
                <w:color w:val="000000"/>
                <w:sz w:val="20"/>
                <w:lang w:eastAsia="id-ID"/>
              </w:rPr>
              <w:t>.</w:t>
            </w:r>
            <w:r w:rsidRPr="00AF011A">
              <w:rPr>
                <w:rFonts w:ascii="Times New Roman" w:hAnsi="Times New Roman"/>
                <w:color w:val="000000"/>
                <w:sz w:val="20"/>
                <w:lang w:eastAsia="id-ID"/>
              </w:rPr>
              <w:t>1</w:t>
            </w:r>
          </w:p>
        </w:tc>
        <w:tc>
          <w:tcPr>
            <w:tcW w:w="966" w:type="dxa"/>
            <w:tcBorders>
              <w:top w:val="single" w:sz="4" w:space="0" w:color="auto"/>
            </w:tcBorders>
            <w:shd w:val="clear" w:color="auto" w:fill="auto"/>
            <w:noWrap/>
            <w:vAlign w:val="center"/>
            <w:hideMark/>
          </w:tcPr>
          <w:p w14:paraId="55E4F1D3" w14:textId="244F048F"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77</w:t>
            </w:r>
            <w:r w:rsidR="00AF011A">
              <w:rPr>
                <w:rFonts w:ascii="Times New Roman" w:hAnsi="Times New Roman"/>
                <w:color w:val="000000"/>
                <w:sz w:val="20"/>
                <w:lang w:eastAsia="id-ID"/>
              </w:rPr>
              <w:t>.</w:t>
            </w:r>
            <w:r w:rsidRPr="00AF011A">
              <w:rPr>
                <w:rFonts w:ascii="Times New Roman" w:hAnsi="Times New Roman"/>
                <w:color w:val="000000"/>
                <w:sz w:val="20"/>
                <w:lang w:eastAsia="id-ID"/>
              </w:rPr>
              <w:t>5</w:t>
            </w:r>
          </w:p>
        </w:tc>
        <w:tc>
          <w:tcPr>
            <w:tcW w:w="642" w:type="dxa"/>
            <w:tcBorders>
              <w:top w:val="single" w:sz="4" w:space="0" w:color="auto"/>
            </w:tcBorders>
            <w:shd w:val="clear" w:color="000000" w:fill="E7E6E6"/>
            <w:noWrap/>
            <w:vAlign w:val="center"/>
            <w:hideMark/>
          </w:tcPr>
          <w:p w14:paraId="4B1E03EB" w14:textId="640C78BB"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84</w:t>
            </w:r>
            <w:r w:rsidR="00AF011A">
              <w:rPr>
                <w:rFonts w:ascii="Times New Roman" w:hAnsi="Times New Roman"/>
                <w:color w:val="000000"/>
                <w:sz w:val="20"/>
                <w:lang w:eastAsia="id-ID"/>
              </w:rPr>
              <w:t>.</w:t>
            </w:r>
            <w:r w:rsidRPr="00AF011A">
              <w:rPr>
                <w:rFonts w:ascii="Times New Roman" w:hAnsi="Times New Roman"/>
                <w:color w:val="000000"/>
                <w:sz w:val="20"/>
                <w:lang w:eastAsia="id-ID"/>
              </w:rPr>
              <w:t>9</w:t>
            </w:r>
          </w:p>
        </w:tc>
        <w:tc>
          <w:tcPr>
            <w:tcW w:w="966" w:type="dxa"/>
            <w:tcBorders>
              <w:top w:val="single" w:sz="4" w:space="0" w:color="auto"/>
            </w:tcBorders>
            <w:shd w:val="clear" w:color="auto" w:fill="auto"/>
            <w:noWrap/>
            <w:vAlign w:val="center"/>
            <w:hideMark/>
          </w:tcPr>
          <w:p w14:paraId="59892729" w14:textId="03FA4A11"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120</w:t>
            </w:r>
            <w:r w:rsidR="00AF011A">
              <w:rPr>
                <w:rFonts w:ascii="Times New Roman" w:hAnsi="Times New Roman"/>
                <w:color w:val="000000"/>
                <w:sz w:val="20"/>
                <w:lang w:eastAsia="id-ID"/>
              </w:rPr>
              <w:t>.</w:t>
            </w:r>
            <w:r w:rsidRPr="00AF011A">
              <w:rPr>
                <w:rFonts w:ascii="Times New Roman" w:hAnsi="Times New Roman"/>
                <w:color w:val="000000"/>
                <w:sz w:val="20"/>
                <w:lang w:eastAsia="id-ID"/>
              </w:rPr>
              <w:t>5</w:t>
            </w:r>
          </w:p>
        </w:tc>
        <w:tc>
          <w:tcPr>
            <w:tcW w:w="966" w:type="dxa"/>
            <w:tcBorders>
              <w:top w:val="single" w:sz="4" w:space="0" w:color="auto"/>
            </w:tcBorders>
            <w:shd w:val="clear" w:color="auto" w:fill="auto"/>
            <w:noWrap/>
            <w:vAlign w:val="center"/>
            <w:hideMark/>
          </w:tcPr>
          <w:p w14:paraId="7DB03319" w14:textId="4C637B88"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82</w:t>
            </w:r>
            <w:r w:rsidR="00AF011A">
              <w:rPr>
                <w:rFonts w:ascii="Times New Roman" w:hAnsi="Times New Roman"/>
                <w:color w:val="000000"/>
                <w:sz w:val="20"/>
                <w:lang w:eastAsia="id-ID"/>
              </w:rPr>
              <w:t>.</w:t>
            </w:r>
            <w:r w:rsidRPr="00AF011A">
              <w:rPr>
                <w:rFonts w:ascii="Times New Roman" w:hAnsi="Times New Roman"/>
                <w:color w:val="000000"/>
                <w:sz w:val="20"/>
                <w:lang w:eastAsia="id-ID"/>
              </w:rPr>
              <w:t>6</w:t>
            </w:r>
          </w:p>
        </w:tc>
        <w:tc>
          <w:tcPr>
            <w:tcW w:w="966" w:type="dxa"/>
            <w:tcBorders>
              <w:top w:val="single" w:sz="4" w:space="0" w:color="auto"/>
            </w:tcBorders>
            <w:shd w:val="clear" w:color="000000" w:fill="E7E6E6"/>
            <w:noWrap/>
            <w:vAlign w:val="center"/>
            <w:hideMark/>
          </w:tcPr>
          <w:p w14:paraId="6BA532CD" w14:textId="7BF4894F"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89</w:t>
            </w:r>
            <w:r w:rsidR="00AF011A">
              <w:rPr>
                <w:rFonts w:ascii="Times New Roman" w:hAnsi="Times New Roman"/>
                <w:color w:val="000000"/>
                <w:sz w:val="20"/>
                <w:lang w:eastAsia="id-ID"/>
              </w:rPr>
              <w:t>.</w:t>
            </w:r>
            <w:r w:rsidRPr="00AF011A">
              <w:rPr>
                <w:rFonts w:ascii="Times New Roman" w:hAnsi="Times New Roman"/>
                <w:color w:val="000000"/>
                <w:sz w:val="20"/>
                <w:lang w:eastAsia="id-ID"/>
              </w:rPr>
              <w:t>9</w:t>
            </w:r>
          </w:p>
        </w:tc>
        <w:tc>
          <w:tcPr>
            <w:tcW w:w="966" w:type="dxa"/>
            <w:tcBorders>
              <w:top w:val="single" w:sz="4" w:space="0" w:color="auto"/>
            </w:tcBorders>
            <w:shd w:val="clear" w:color="auto" w:fill="auto"/>
            <w:noWrap/>
            <w:vAlign w:val="center"/>
            <w:hideMark/>
          </w:tcPr>
          <w:p w14:paraId="3B9AD1E4" w14:textId="2DC11028"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128</w:t>
            </w:r>
            <w:r w:rsidR="00AF011A">
              <w:rPr>
                <w:rFonts w:ascii="Times New Roman" w:hAnsi="Times New Roman"/>
                <w:color w:val="000000"/>
                <w:sz w:val="20"/>
                <w:lang w:eastAsia="id-ID"/>
              </w:rPr>
              <w:t>.</w:t>
            </w:r>
            <w:r w:rsidRPr="00AF011A">
              <w:rPr>
                <w:rFonts w:ascii="Times New Roman" w:hAnsi="Times New Roman"/>
                <w:color w:val="000000"/>
                <w:sz w:val="20"/>
                <w:lang w:eastAsia="id-ID"/>
              </w:rPr>
              <w:t>3</w:t>
            </w:r>
          </w:p>
        </w:tc>
      </w:tr>
      <w:tr w:rsidR="00AF011A" w:rsidRPr="00AF011A" w14:paraId="2BE1B0A8" w14:textId="77777777" w:rsidTr="00692739">
        <w:trPr>
          <w:trHeight w:val="264"/>
        </w:trPr>
        <w:tc>
          <w:tcPr>
            <w:tcW w:w="739" w:type="dxa"/>
            <w:tcBorders>
              <w:top w:val="nil"/>
              <w:bottom w:val="single" w:sz="4" w:space="0" w:color="auto"/>
            </w:tcBorders>
            <w:shd w:val="clear" w:color="auto" w:fill="auto"/>
            <w:noWrap/>
            <w:vAlign w:val="center"/>
            <w:hideMark/>
          </w:tcPr>
          <w:p w14:paraId="7E437811"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bottom w:val="single" w:sz="4" w:space="0" w:color="auto"/>
            </w:tcBorders>
            <w:shd w:val="clear" w:color="auto" w:fill="auto"/>
            <w:noWrap/>
            <w:vAlign w:val="center"/>
            <w:hideMark/>
          </w:tcPr>
          <w:p w14:paraId="7D620D72"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35AAD68F"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10.33</w:t>
            </w:r>
          </w:p>
        </w:tc>
        <w:tc>
          <w:tcPr>
            <w:tcW w:w="966" w:type="dxa"/>
            <w:tcBorders>
              <w:bottom w:val="single" w:sz="4" w:space="0" w:color="auto"/>
            </w:tcBorders>
            <w:shd w:val="clear" w:color="auto" w:fill="auto"/>
            <w:noWrap/>
            <w:vAlign w:val="center"/>
            <w:hideMark/>
          </w:tcPr>
          <w:p w14:paraId="75F6076F"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7A882535"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bottom w:val="single" w:sz="4" w:space="0" w:color="auto"/>
            </w:tcBorders>
            <w:shd w:val="clear" w:color="000000" w:fill="E7E6E6"/>
            <w:noWrap/>
            <w:vAlign w:val="center"/>
            <w:hideMark/>
          </w:tcPr>
          <w:p w14:paraId="54085412"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9.51</w:t>
            </w:r>
          </w:p>
        </w:tc>
        <w:tc>
          <w:tcPr>
            <w:tcW w:w="966" w:type="dxa"/>
            <w:tcBorders>
              <w:bottom w:val="single" w:sz="4" w:space="0" w:color="auto"/>
            </w:tcBorders>
            <w:shd w:val="clear" w:color="auto" w:fill="auto"/>
            <w:noWrap/>
            <w:vAlign w:val="center"/>
            <w:hideMark/>
          </w:tcPr>
          <w:p w14:paraId="5E8E0D14"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0A98B09B"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1EBBD2D9"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8.78</w:t>
            </w:r>
          </w:p>
        </w:tc>
        <w:tc>
          <w:tcPr>
            <w:tcW w:w="966" w:type="dxa"/>
            <w:tcBorders>
              <w:bottom w:val="single" w:sz="4" w:space="0" w:color="auto"/>
            </w:tcBorders>
            <w:shd w:val="clear" w:color="auto" w:fill="auto"/>
            <w:noWrap/>
            <w:vAlign w:val="center"/>
            <w:hideMark/>
          </w:tcPr>
          <w:p w14:paraId="26948C93"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r w:rsidR="00AF011A" w:rsidRPr="00AF011A" w14:paraId="54078A16" w14:textId="77777777" w:rsidTr="00692739">
        <w:trPr>
          <w:trHeight w:val="264"/>
        </w:trPr>
        <w:tc>
          <w:tcPr>
            <w:tcW w:w="739" w:type="dxa"/>
            <w:tcBorders>
              <w:top w:val="nil"/>
              <w:bottom w:val="nil"/>
            </w:tcBorders>
            <w:shd w:val="clear" w:color="auto" w:fill="auto"/>
            <w:noWrap/>
            <w:vAlign w:val="center"/>
            <w:hideMark/>
          </w:tcPr>
          <w:p w14:paraId="0C42DAED"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4th</w:t>
            </w:r>
          </w:p>
        </w:tc>
        <w:tc>
          <w:tcPr>
            <w:tcW w:w="966" w:type="dxa"/>
            <w:tcBorders>
              <w:top w:val="single" w:sz="4" w:space="0" w:color="auto"/>
            </w:tcBorders>
            <w:shd w:val="clear" w:color="auto" w:fill="808080" w:themeFill="background1" w:themeFillShade="80"/>
            <w:noWrap/>
            <w:vAlign w:val="bottom"/>
            <w:hideMark/>
          </w:tcPr>
          <w:p w14:paraId="7BD56AEB"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single" w:sz="4" w:space="0" w:color="auto"/>
            </w:tcBorders>
            <w:shd w:val="clear" w:color="auto" w:fill="808080" w:themeFill="background1" w:themeFillShade="80"/>
            <w:noWrap/>
            <w:vAlign w:val="bottom"/>
            <w:hideMark/>
          </w:tcPr>
          <w:p w14:paraId="4573BBBF"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single" w:sz="4" w:space="0" w:color="auto"/>
            </w:tcBorders>
            <w:shd w:val="clear" w:color="auto" w:fill="808080" w:themeFill="background1" w:themeFillShade="80"/>
            <w:noWrap/>
            <w:vAlign w:val="bottom"/>
            <w:hideMark/>
          </w:tcPr>
          <w:p w14:paraId="03F66A54"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single" w:sz="4" w:space="0" w:color="auto"/>
            </w:tcBorders>
            <w:shd w:val="clear" w:color="auto" w:fill="auto"/>
            <w:noWrap/>
            <w:vAlign w:val="center"/>
            <w:hideMark/>
          </w:tcPr>
          <w:p w14:paraId="1F59C720" w14:textId="6C5F331A"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74</w:t>
            </w:r>
            <w:r w:rsidR="00AF011A">
              <w:rPr>
                <w:rFonts w:ascii="Times New Roman" w:hAnsi="Times New Roman"/>
                <w:color w:val="000000"/>
                <w:sz w:val="20"/>
                <w:lang w:eastAsia="id-ID"/>
              </w:rPr>
              <w:t>.</w:t>
            </w:r>
            <w:r w:rsidRPr="00AF011A">
              <w:rPr>
                <w:rFonts w:ascii="Times New Roman" w:hAnsi="Times New Roman"/>
                <w:color w:val="000000"/>
                <w:sz w:val="20"/>
                <w:lang w:eastAsia="id-ID"/>
              </w:rPr>
              <w:t>7</w:t>
            </w:r>
          </w:p>
        </w:tc>
        <w:tc>
          <w:tcPr>
            <w:tcW w:w="642" w:type="dxa"/>
            <w:tcBorders>
              <w:top w:val="single" w:sz="4" w:space="0" w:color="auto"/>
            </w:tcBorders>
            <w:shd w:val="clear" w:color="000000" w:fill="E7E6E6"/>
            <w:noWrap/>
            <w:vAlign w:val="center"/>
            <w:hideMark/>
          </w:tcPr>
          <w:p w14:paraId="5238C95A" w14:textId="5C9DFF40"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82</w:t>
            </w:r>
            <w:r w:rsidR="00AF011A">
              <w:rPr>
                <w:rFonts w:ascii="Times New Roman" w:hAnsi="Times New Roman"/>
                <w:color w:val="000000"/>
                <w:sz w:val="20"/>
                <w:lang w:eastAsia="id-ID"/>
              </w:rPr>
              <w:t>.</w:t>
            </w:r>
            <w:r w:rsidRPr="00AF011A">
              <w:rPr>
                <w:rFonts w:ascii="Times New Roman" w:hAnsi="Times New Roman"/>
                <w:color w:val="000000"/>
                <w:sz w:val="20"/>
                <w:lang w:eastAsia="id-ID"/>
              </w:rPr>
              <w:t>2</w:t>
            </w:r>
          </w:p>
        </w:tc>
        <w:tc>
          <w:tcPr>
            <w:tcW w:w="966" w:type="dxa"/>
            <w:tcBorders>
              <w:top w:val="single" w:sz="4" w:space="0" w:color="auto"/>
            </w:tcBorders>
            <w:shd w:val="clear" w:color="auto" w:fill="auto"/>
            <w:noWrap/>
            <w:vAlign w:val="center"/>
            <w:hideMark/>
          </w:tcPr>
          <w:p w14:paraId="67915A69" w14:textId="27B47F39"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116</w:t>
            </w:r>
            <w:r w:rsidR="00AF011A">
              <w:rPr>
                <w:rFonts w:ascii="Times New Roman" w:hAnsi="Times New Roman"/>
                <w:color w:val="000000"/>
                <w:sz w:val="20"/>
                <w:lang w:eastAsia="id-ID"/>
              </w:rPr>
              <w:t>.</w:t>
            </w:r>
            <w:r w:rsidRPr="00AF011A">
              <w:rPr>
                <w:rFonts w:ascii="Times New Roman" w:hAnsi="Times New Roman"/>
                <w:color w:val="000000"/>
                <w:sz w:val="20"/>
                <w:lang w:eastAsia="id-ID"/>
              </w:rPr>
              <w:t>0</w:t>
            </w:r>
          </w:p>
        </w:tc>
        <w:tc>
          <w:tcPr>
            <w:tcW w:w="966" w:type="dxa"/>
            <w:tcBorders>
              <w:top w:val="single" w:sz="4" w:space="0" w:color="auto"/>
            </w:tcBorders>
            <w:shd w:val="clear" w:color="auto" w:fill="auto"/>
            <w:noWrap/>
            <w:vAlign w:val="center"/>
            <w:hideMark/>
          </w:tcPr>
          <w:p w14:paraId="4E464A61" w14:textId="1AD63750"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75</w:t>
            </w:r>
            <w:r w:rsidR="00AF011A">
              <w:rPr>
                <w:rFonts w:ascii="Times New Roman" w:hAnsi="Times New Roman"/>
                <w:color w:val="000000"/>
                <w:sz w:val="20"/>
                <w:lang w:eastAsia="id-ID"/>
              </w:rPr>
              <w:t>.</w:t>
            </w:r>
            <w:r w:rsidRPr="00AF011A">
              <w:rPr>
                <w:rFonts w:ascii="Times New Roman" w:hAnsi="Times New Roman"/>
                <w:color w:val="000000"/>
                <w:sz w:val="20"/>
                <w:lang w:eastAsia="id-ID"/>
              </w:rPr>
              <w:t>6</w:t>
            </w:r>
          </w:p>
        </w:tc>
        <w:tc>
          <w:tcPr>
            <w:tcW w:w="966" w:type="dxa"/>
            <w:tcBorders>
              <w:top w:val="single" w:sz="4" w:space="0" w:color="auto"/>
            </w:tcBorders>
            <w:shd w:val="clear" w:color="000000" w:fill="E7E6E6"/>
            <w:noWrap/>
            <w:vAlign w:val="center"/>
            <w:hideMark/>
          </w:tcPr>
          <w:p w14:paraId="79A05C14" w14:textId="68AEB210"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82</w:t>
            </w:r>
            <w:r w:rsidR="00AF011A">
              <w:rPr>
                <w:rFonts w:ascii="Times New Roman" w:hAnsi="Times New Roman"/>
                <w:color w:val="000000"/>
                <w:sz w:val="20"/>
                <w:lang w:eastAsia="id-ID"/>
              </w:rPr>
              <w:t>.</w:t>
            </w:r>
            <w:r w:rsidRPr="00AF011A">
              <w:rPr>
                <w:rFonts w:ascii="Times New Roman" w:hAnsi="Times New Roman"/>
                <w:color w:val="000000"/>
                <w:sz w:val="20"/>
                <w:lang w:eastAsia="id-ID"/>
              </w:rPr>
              <w:t>9</w:t>
            </w:r>
          </w:p>
        </w:tc>
        <w:tc>
          <w:tcPr>
            <w:tcW w:w="966" w:type="dxa"/>
            <w:tcBorders>
              <w:top w:val="single" w:sz="4" w:space="0" w:color="auto"/>
            </w:tcBorders>
            <w:shd w:val="clear" w:color="auto" w:fill="auto"/>
            <w:noWrap/>
            <w:vAlign w:val="center"/>
            <w:hideMark/>
          </w:tcPr>
          <w:p w14:paraId="17F95A3D" w14:textId="27D4869D"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117</w:t>
            </w:r>
            <w:r w:rsidR="00AF011A">
              <w:rPr>
                <w:rFonts w:ascii="Times New Roman" w:hAnsi="Times New Roman"/>
                <w:color w:val="000000"/>
                <w:sz w:val="20"/>
                <w:lang w:eastAsia="id-ID"/>
              </w:rPr>
              <w:t>.</w:t>
            </w:r>
            <w:r w:rsidRPr="00AF011A">
              <w:rPr>
                <w:rFonts w:ascii="Times New Roman" w:hAnsi="Times New Roman"/>
                <w:color w:val="000000"/>
                <w:sz w:val="20"/>
                <w:lang w:eastAsia="id-ID"/>
              </w:rPr>
              <w:t>4</w:t>
            </w:r>
          </w:p>
        </w:tc>
      </w:tr>
      <w:tr w:rsidR="00AF011A" w:rsidRPr="00AF011A" w14:paraId="0DB608E4" w14:textId="77777777" w:rsidTr="00692739">
        <w:trPr>
          <w:trHeight w:val="264"/>
        </w:trPr>
        <w:tc>
          <w:tcPr>
            <w:tcW w:w="739" w:type="dxa"/>
            <w:tcBorders>
              <w:top w:val="nil"/>
              <w:bottom w:val="single" w:sz="4" w:space="0" w:color="auto"/>
            </w:tcBorders>
            <w:shd w:val="clear" w:color="auto" w:fill="auto"/>
            <w:noWrap/>
            <w:vAlign w:val="center"/>
            <w:hideMark/>
          </w:tcPr>
          <w:p w14:paraId="4049431C"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top w:val="nil"/>
            </w:tcBorders>
            <w:shd w:val="clear" w:color="auto" w:fill="808080" w:themeFill="background1" w:themeFillShade="80"/>
            <w:noWrap/>
            <w:vAlign w:val="bottom"/>
            <w:hideMark/>
          </w:tcPr>
          <w:p w14:paraId="55A07033"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tcBorders>
            <w:shd w:val="clear" w:color="auto" w:fill="808080" w:themeFill="background1" w:themeFillShade="80"/>
            <w:noWrap/>
            <w:vAlign w:val="bottom"/>
            <w:hideMark/>
          </w:tcPr>
          <w:p w14:paraId="06FD2501"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tcBorders>
            <w:shd w:val="clear" w:color="auto" w:fill="808080" w:themeFill="background1" w:themeFillShade="80"/>
            <w:noWrap/>
            <w:vAlign w:val="bottom"/>
            <w:hideMark/>
          </w:tcPr>
          <w:p w14:paraId="38814DFD"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5399A658"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bottom w:val="single" w:sz="4" w:space="0" w:color="auto"/>
            </w:tcBorders>
            <w:shd w:val="clear" w:color="000000" w:fill="E7E6E6"/>
            <w:noWrap/>
            <w:vAlign w:val="center"/>
            <w:hideMark/>
          </w:tcPr>
          <w:p w14:paraId="488F6A17"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9.97</w:t>
            </w:r>
          </w:p>
        </w:tc>
        <w:tc>
          <w:tcPr>
            <w:tcW w:w="966" w:type="dxa"/>
            <w:tcBorders>
              <w:bottom w:val="single" w:sz="4" w:space="0" w:color="auto"/>
            </w:tcBorders>
            <w:shd w:val="clear" w:color="auto" w:fill="auto"/>
            <w:noWrap/>
            <w:vAlign w:val="center"/>
            <w:hideMark/>
          </w:tcPr>
          <w:p w14:paraId="40E5D251"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4BC23EB9"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75ED1C1D"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9.65</w:t>
            </w:r>
          </w:p>
        </w:tc>
        <w:tc>
          <w:tcPr>
            <w:tcW w:w="966" w:type="dxa"/>
            <w:tcBorders>
              <w:bottom w:val="single" w:sz="4" w:space="0" w:color="auto"/>
            </w:tcBorders>
            <w:shd w:val="clear" w:color="auto" w:fill="auto"/>
            <w:noWrap/>
            <w:vAlign w:val="center"/>
            <w:hideMark/>
          </w:tcPr>
          <w:p w14:paraId="245C8DBB"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r w:rsidR="00AF011A" w:rsidRPr="00AF011A" w14:paraId="59E73A39" w14:textId="77777777" w:rsidTr="00692739">
        <w:trPr>
          <w:trHeight w:val="264"/>
        </w:trPr>
        <w:tc>
          <w:tcPr>
            <w:tcW w:w="739" w:type="dxa"/>
            <w:tcBorders>
              <w:top w:val="nil"/>
              <w:bottom w:val="nil"/>
            </w:tcBorders>
            <w:shd w:val="clear" w:color="auto" w:fill="auto"/>
            <w:noWrap/>
            <w:vAlign w:val="center"/>
            <w:hideMark/>
          </w:tcPr>
          <w:p w14:paraId="1B7FD105"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5th</w:t>
            </w:r>
          </w:p>
        </w:tc>
        <w:tc>
          <w:tcPr>
            <w:tcW w:w="966" w:type="dxa"/>
            <w:tcBorders>
              <w:top w:val="nil"/>
            </w:tcBorders>
            <w:shd w:val="clear" w:color="auto" w:fill="808080" w:themeFill="background1" w:themeFillShade="80"/>
            <w:noWrap/>
            <w:vAlign w:val="bottom"/>
            <w:hideMark/>
          </w:tcPr>
          <w:p w14:paraId="11827D84"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tcBorders>
            <w:shd w:val="clear" w:color="auto" w:fill="808080" w:themeFill="background1" w:themeFillShade="80"/>
            <w:noWrap/>
            <w:vAlign w:val="bottom"/>
            <w:hideMark/>
          </w:tcPr>
          <w:p w14:paraId="5615FC7B"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tcBorders>
            <w:shd w:val="clear" w:color="auto" w:fill="808080" w:themeFill="background1" w:themeFillShade="80"/>
            <w:noWrap/>
            <w:vAlign w:val="bottom"/>
            <w:hideMark/>
          </w:tcPr>
          <w:p w14:paraId="2483D81F"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single" w:sz="4" w:space="0" w:color="auto"/>
            </w:tcBorders>
            <w:shd w:val="clear" w:color="auto" w:fill="auto"/>
            <w:noWrap/>
            <w:vAlign w:val="center"/>
            <w:hideMark/>
          </w:tcPr>
          <w:p w14:paraId="7106E424" w14:textId="35A55E66"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70</w:t>
            </w:r>
            <w:r w:rsidR="00AF011A">
              <w:rPr>
                <w:rFonts w:ascii="Times New Roman" w:hAnsi="Times New Roman"/>
                <w:color w:val="000000"/>
                <w:sz w:val="20"/>
                <w:lang w:eastAsia="id-ID"/>
              </w:rPr>
              <w:t>.</w:t>
            </w:r>
            <w:r w:rsidRPr="00AF011A">
              <w:rPr>
                <w:rFonts w:ascii="Times New Roman" w:hAnsi="Times New Roman"/>
                <w:color w:val="000000"/>
                <w:sz w:val="20"/>
                <w:lang w:eastAsia="id-ID"/>
              </w:rPr>
              <w:t>3</w:t>
            </w:r>
          </w:p>
        </w:tc>
        <w:tc>
          <w:tcPr>
            <w:tcW w:w="642" w:type="dxa"/>
            <w:tcBorders>
              <w:top w:val="single" w:sz="4" w:space="0" w:color="auto"/>
            </w:tcBorders>
            <w:shd w:val="clear" w:color="000000" w:fill="E7E6E6"/>
            <w:noWrap/>
            <w:vAlign w:val="center"/>
            <w:hideMark/>
          </w:tcPr>
          <w:p w14:paraId="306B32D6" w14:textId="058CBE81"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77</w:t>
            </w:r>
            <w:r w:rsidR="00AF011A">
              <w:rPr>
                <w:rFonts w:ascii="Times New Roman" w:hAnsi="Times New Roman"/>
                <w:color w:val="000000"/>
                <w:sz w:val="20"/>
                <w:lang w:eastAsia="id-ID"/>
              </w:rPr>
              <w:t>.</w:t>
            </w:r>
            <w:r w:rsidRPr="00AF011A">
              <w:rPr>
                <w:rFonts w:ascii="Times New Roman" w:hAnsi="Times New Roman"/>
                <w:color w:val="000000"/>
                <w:sz w:val="20"/>
                <w:lang w:eastAsia="id-ID"/>
              </w:rPr>
              <w:t>7</w:t>
            </w:r>
          </w:p>
        </w:tc>
        <w:tc>
          <w:tcPr>
            <w:tcW w:w="966" w:type="dxa"/>
            <w:tcBorders>
              <w:top w:val="single" w:sz="4" w:space="0" w:color="auto"/>
            </w:tcBorders>
            <w:shd w:val="clear" w:color="auto" w:fill="auto"/>
            <w:noWrap/>
            <w:vAlign w:val="center"/>
            <w:hideMark/>
          </w:tcPr>
          <w:p w14:paraId="1B8A1C07" w14:textId="74A8938C"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108</w:t>
            </w:r>
            <w:r w:rsidR="00AF011A">
              <w:rPr>
                <w:rFonts w:ascii="Times New Roman" w:hAnsi="Times New Roman"/>
                <w:color w:val="000000"/>
                <w:sz w:val="20"/>
                <w:lang w:eastAsia="id-ID"/>
              </w:rPr>
              <w:t>.</w:t>
            </w:r>
            <w:r w:rsidRPr="00AF011A">
              <w:rPr>
                <w:rFonts w:ascii="Times New Roman" w:hAnsi="Times New Roman"/>
                <w:color w:val="000000"/>
                <w:sz w:val="20"/>
                <w:lang w:eastAsia="id-ID"/>
              </w:rPr>
              <w:t>8</w:t>
            </w:r>
          </w:p>
        </w:tc>
        <w:tc>
          <w:tcPr>
            <w:tcW w:w="966" w:type="dxa"/>
            <w:tcBorders>
              <w:top w:val="single" w:sz="4" w:space="0" w:color="auto"/>
            </w:tcBorders>
            <w:shd w:val="clear" w:color="auto" w:fill="auto"/>
            <w:noWrap/>
            <w:vAlign w:val="center"/>
            <w:hideMark/>
          </w:tcPr>
          <w:p w14:paraId="1C61FBAE" w14:textId="04CB2D11"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73</w:t>
            </w:r>
            <w:r w:rsidR="00AF011A">
              <w:rPr>
                <w:rFonts w:ascii="Times New Roman" w:hAnsi="Times New Roman"/>
                <w:color w:val="000000"/>
                <w:sz w:val="20"/>
                <w:lang w:eastAsia="id-ID"/>
              </w:rPr>
              <w:t>.</w:t>
            </w:r>
            <w:r w:rsidRPr="00AF011A">
              <w:rPr>
                <w:rFonts w:ascii="Times New Roman" w:hAnsi="Times New Roman"/>
                <w:color w:val="000000"/>
                <w:sz w:val="20"/>
                <w:lang w:eastAsia="id-ID"/>
              </w:rPr>
              <w:t>3</w:t>
            </w:r>
          </w:p>
        </w:tc>
        <w:tc>
          <w:tcPr>
            <w:tcW w:w="966" w:type="dxa"/>
            <w:tcBorders>
              <w:top w:val="single" w:sz="4" w:space="0" w:color="auto"/>
            </w:tcBorders>
            <w:shd w:val="clear" w:color="000000" w:fill="E7E6E6"/>
            <w:noWrap/>
            <w:vAlign w:val="center"/>
            <w:hideMark/>
          </w:tcPr>
          <w:p w14:paraId="76011275" w14:textId="45CCB42D"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80</w:t>
            </w:r>
            <w:r w:rsidR="00AF011A">
              <w:rPr>
                <w:rFonts w:ascii="Times New Roman" w:hAnsi="Times New Roman"/>
                <w:color w:val="000000"/>
                <w:sz w:val="20"/>
                <w:lang w:eastAsia="id-ID"/>
              </w:rPr>
              <w:t>.</w:t>
            </w:r>
            <w:r w:rsidRPr="00AF011A">
              <w:rPr>
                <w:rFonts w:ascii="Times New Roman" w:hAnsi="Times New Roman"/>
                <w:color w:val="000000"/>
                <w:sz w:val="20"/>
                <w:lang w:eastAsia="id-ID"/>
              </w:rPr>
              <w:t>7</w:t>
            </w:r>
          </w:p>
        </w:tc>
        <w:tc>
          <w:tcPr>
            <w:tcW w:w="966" w:type="dxa"/>
            <w:tcBorders>
              <w:top w:val="single" w:sz="4" w:space="0" w:color="auto"/>
            </w:tcBorders>
            <w:shd w:val="clear" w:color="auto" w:fill="auto"/>
            <w:noWrap/>
            <w:vAlign w:val="center"/>
            <w:hideMark/>
          </w:tcPr>
          <w:p w14:paraId="222E00F3" w14:textId="207C4C9C"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114</w:t>
            </w:r>
            <w:r w:rsidR="00AF011A">
              <w:rPr>
                <w:rFonts w:ascii="Times New Roman" w:hAnsi="Times New Roman"/>
                <w:color w:val="000000"/>
                <w:sz w:val="20"/>
                <w:lang w:eastAsia="id-ID"/>
              </w:rPr>
              <w:t>.</w:t>
            </w:r>
            <w:r w:rsidRPr="00AF011A">
              <w:rPr>
                <w:rFonts w:ascii="Times New Roman" w:hAnsi="Times New Roman"/>
                <w:color w:val="000000"/>
                <w:sz w:val="20"/>
                <w:lang w:eastAsia="id-ID"/>
              </w:rPr>
              <w:t>0</w:t>
            </w:r>
          </w:p>
        </w:tc>
      </w:tr>
      <w:tr w:rsidR="00AF011A" w:rsidRPr="00AF011A" w14:paraId="225117CF" w14:textId="77777777" w:rsidTr="00692739">
        <w:trPr>
          <w:trHeight w:val="264"/>
        </w:trPr>
        <w:tc>
          <w:tcPr>
            <w:tcW w:w="739" w:type="dxa"/>
            <w:tcBorders>
              <w:top w:val="nil"/>
              <w:bottom w:val="single" w:sz="4" w:space="0" w:color="auto"/>
            </w:tcBorders>
            <w:shd w:val="clear" w:color="auto" w:fill="auto"/>
            <w:noWrap/>
            <w:vAlign w:val="center"/>
            <w:hideMark/>
          </w:tcPr>
          <w:p w14:paraId="16B195A5"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top w:val="nil"/>
            </w:tcBorders>
            <w:shd w:val="clear" w:color="auto" w:fill="808080" w:themeFill="background1" w:themeFillShade="80"/>
            <w:noWrap/>
            <w:vAlign w:val="bottom"/>
            <w:hideMark/>
          </w:tcPr>
          <w:p w14:paraId="35C694DD"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tcBorders>
            <w:shd w:val="clear" w:color="auto" w:fill="808080" w:themeFill="background1" w:themeFillShade="80"/>
            <w:noWrap/>
            <w:vAlign w:val="bottom"/>
            <w:hideMark/>
          </w:tcPr>
          <w:p w14:paraId="1E49A56C"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tcBorders>
            <w:shd w:val="clear" w:color="auto" w:fill="808080" w:themeFill="background1" w:themeFillShade="80"/>
            <w:noWrap/>
            <w:vAlign w:val="bottom"/>
            <w:hideMark/>
          </w:tcPr>
          <w:p w14:paraId="0A5BF07C"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04258D22"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bottom w:val="single" w:sz="4" w:space="0" w:color="auto"/>
            </w:tcBorders>
            <w:shd w:val="clear" w:color="000000" w:fill="E7E6E6"/>
            <w:noWrap/>
            <w:vAlign w:val="center"/>
            <w:hideMark/>
          </w:tcPr>
          <w:p w14:paraId="2FA3FACA"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10.52</w:t>
            </w:r>
          </w:p>
        </w:tc>
        <w:tc>
          <w:tcPr>
            <w:tcW w:w="966" w:type="dxa"/>
            <w:tcBorders>
              <w:bottom w:val="single" w:sz="4" w:space="0" w:color="auto"/>
            </w:tcBorders>
            <w:shd w:val="clear" w:color="auto" w:fill="auto"/>
            <w:noWrap/>
            <w:vAlign w:val="center"/>
            <w:hideMark/>
          </w:tcPr>
          <w:p w14:paraId="40D8DC04"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5A7D6DFA"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18F0F893"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9.99</w:t>
            </w:r>
          </w:p>
        </w:tc>
        <w:tc>
          <w:tcPr>
            <w:tcW w:w="966" w:type="dxa"/>
            <w:tcBorders>
              <w:bottom w:val="single" w:sz="4" w:space="0" w:color="auto"/>
            </w:tcBorders>
            <w:shd w:val="clear" w:color="auto" w:fill="auto"/>
            <w:noWrap/>
            <w:vAlign w:val="center"/>
            <w:hideMark/>
          </w:tcPr>
          <w:p w14:paraId="6F7CD054"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r w:rsidR="00AF011A" w:rsidRPr="00AF011A" w14:paraId="495A724D" w14:textId="77777777" w:rsidTr="00692739">
        <w:trPr>
          <w:trHeight w:val="264"/>
        </w:trPr>
        <w:tc>
          <w:tcPr>
            <w:tcW w:w="739" w:type="dxa"/>
            <w:tcBorders>
              <w:top w:val="nil"/>
              <w:bottom w:val="nil"/>
            </w:tcBorders>
            <w:shd w:val="clear" w:color="auto" w:fill="auto"/>
            <w:noWrap/>
            <w:vAlign w:val="center"/>
            <w:hideMark/>
          </w:tcPr>
          <w:p w14:paraId="1C0B2C41"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6th</w:t>
            </w:r>
          </w:p>
        </w:tc>
        <w:tc>
          <w:tcPr>
            <w:tcW w:w="966" w:type="dxa"/>
            <w:tcBorders>
              <w:top w:val="nil"/>
            </w:tcBorders>
            <w:shd w:val="clear" w:color="auto" w:fill="808080" w:themeFill="background1" w:themeFillShade="80"/>
            <w:noWrap/>
            <w:vAlign w:val="bottom"/>
            <w:hideMark/>
          </w:tcPr>
          <w:p w14:paraId="73AD7B19"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tcBorders>
            <w:shd w:val="clear" w:color="auto" w:fill="808080" w:themeFill="background1" w:themeFillShade="80"/>
            <w:noWrap/>
            <w:vAlign w:val="bottom"/>
            <w:hideMark/>
          </w:tcPr>
          <w:p w14:paraId="615864D7"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tcBorders>
            <w:shd w:val="clear" w:color="auto" w:fill="808080" w:themeFill="background1" w:themeFillShade="80"/>
            <w:noWrap/>
            <w:vAlign w:val="bottom"/>
            <w:hideMark/>
          </w:tcPr>
          <w:p w14:paraId="17218890"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single" w:sz="4" w:space="0" w:color="auto"/>
            </w:tcBorders>
            <w:shd w:val="clear" w:color="auto" w:fill="auto"/>
            <w:noWrap/>
            <w:vAlign w:val="center"/>
            <w:hideMark/>
          </w:tcPr>
          <w:p w14:paraId="7C80CAD5" w14:textId="2EF29400"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49</w:t>
            </w:r>
            <w:r w:rsidR="00AF011A">
              <w:rPr>
                <w:rFonts w:ascii="Times New Roman" w:hAnsi="Times New Roman"/>
                <w:color w:val="000000"/>
                <w:sz w:val="20"/>
                <w:lang w:eastAsia="id-ID"/>
              </w:rPr>
              <w:t>.</w:t>
            </w:r>
            <w:r w:rsidRPr="00AF011A">
              <w:rPr>
                <w:rFonts w:ascii="Times New Roman" w:hAnsi="Times New Roman"/>
                <w:color w:val="000000"/>
                <w:sz w:val="20"/>
                <w:lang w:eastAsia="id-ID"/>
              </w:rPr>
              <w:t>4</w:t>
            </w:r>
          </w:p>
        </w:tc>
        <w:tc>
          <w:tcPr>
            <w:tcW w:w="642" w:type="dxa"/>
            <w:tcBorders>
              <w:top w:val="single" w:sz="4" w:space="0" w:color="auto"/>
            </w:tcBorders>
            <w:shd w:val="clear" w:color="000000" w:fill="E7E6E6"/>
            <w:noWrap/>
            <w:vAlign w:val="center"/>
            <w:hideMark/>
          </w:tcPr>
          <w:p w14:paraId="73F25B5D" w14:textId="307A7C2A"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55</w:t>
            </w:r>
            <w:r w:rsidR="00AF011A">
              <w:rPr>
                <w:rFonts w:ascii="Times New Roman" w:hAnsi="Times New Roman"/>
                <w:color w:val="000000"/>
                <w:sz w:val="20"/>
                <w:lang w:eastAsia="id-ID"/>
              </w:rPr>
              <w:t>.</w:t>
            </w:r>
            <w:r w:rsidRPr="00AF011A">
              <w:rPr>
                <w:rFonts w:ascii="Times New Roman" w:hAnsi="Times New Roman"/>
                <w:color w:val="000000"/>
                <w:sz w:val="20"/>
                <w:lang w:eastAsia="id-ID"/>
              </w:rPr>
              <w:t>1</w:t>
            </w:r>
          </w:p>
        </w:tc>
        <w:tc>
          <w:tcPr>
            <w:tcW w:w="966" w:type="dxa"/>
            <w:tcBorders>
              <w:top w:val="single" w:sz="4" w:space="0" w:color="auto"/>
            </w:tcBorders>
            <w:shd w:val="clear" w:color="auto" w:fill="auto"/>
            <w:noWrap/>
            <w:vAlign w:val="center"/>
            <w:hideMark/>
          </w:tcPr>
          <w:p w14:paraId="33A80715" w14:textId="7763CB92"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75</w:t>
            </w:r>
            <w:r w:rsidR="00AF011A">
              <w:rPr>
                <w:rFonts w:ascii="Times New Roman" w:hAnsi="Times New Roman"/>
                <w:color w:val="000000"/>
                <w:sz w:val="20"/>
                <w:lang w:eastAsia="id-ID"/>
              </w:rPr>
              <w:t>.</w:t>
            </w:r>
            <w:r w:rsidRPr="00AF011A">
              <w:rPr>
                <w:rFonts w:ascii="Times New Roman" w:hAnsi="Times New Roman"/>
                <w:color w:val="000000"/>
                <w:sz w:val="20"/>
                <w:lang w:eastAsia="id-ID"/>
              </w:rPr>
              <w:t>4</w:t>
            </w:r>
          </w:p>
        </w:tc>
        <w:tc>
          <w:tcPr>
            <w:tcW w:w="966" w:type="dxa"/>
            <w:tcBorders>
              <w:top w:val="single" w:sz="4" w:space="0" w:color="auto"/>
            </w:tcBorders>
            <w:shd w:val="clear" w:color="auto" w:fill="auto"/>
            <w:noWrap/>
            <w:vAlign w:val="center"/>
            <w:hideMark/>
          </w:tcPr>
          <w:p w14:paraId="502473B0" w14:textId="56186A53"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72</w:t>
            </w:r>
            <w:r w:rsidR="00AF011A">
              <w:rPr>
                <w:rFonts w:ascii="Times New Roman" w:hAnsi="Times New Roman"/>
                <w:color w:val="000000"/>
                <w:sz w:val="20"/>
                <w:lang w:eastAsia="id-ID"/>
              </w:rPr>
              <w:t>.</w:t>
            </w:r>
            <w:r w:rsidRPr="00AF011A">
              <w:rPr>
                <w:rFonts w:ascii="Times New Roman" w:hAnsi="Times New Roman"/>
                <w:color w:val="000000"/>
                <w:sz w:val="20"/>
                <w:lang w:eastAsia="id-ID"/>
              </w:rPr>
              <w:t>5</w:t>
            </w:r>
          </w:p>
        </w:tc>
        <w:tc>
          <w:tcPr>
            <w:tcW w:w="966" w:type="dxa"/>
            <w:tcBorders>
              <w:top w:val="single" w:sz="4" w:space="0" w:color="auto"/>
            </w:tcBorders>
            <w:shd w:val="clear" w:color="000000" w:fill="E7E6E6"/>
            <w:noWrap/>
            <w:vAlign w:val="center"/>
            <w:hideMark/>
          </w:tcPr>
          <w:p w14:paraId="21771695" w14:textId="36CD4FBD"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79</w:t>
            </w:r>
            <w:r w:rsidR="00AF011A">
              <w:rPr>
                <w:rFonts w:ascii="Times New Roman" w:hAnsi="Times New Roman"/>
                <w:color w:val="000000"/>
                <w:sz w:val="20"/>
                <w:lang w:eastAsia="id-ID"/>
              </w:rPr>
              <w:t>.</w:t>
            </w:r>
            <w:r w:rsidRPr="00AF011A">
              <w:rPr>
                <w:rFonts w:ascii="Times New Roman" w:hAnsi="Times New Roman"/>
                <w:color w:val="000000"/>
                <w:sz w:val="20"/>
                <w:lang w:eastAsia="id-ID"/>
              </w:rPr>
              <w:t>8</w:t>
            </w:r>
          </w:p>
        </w:tc>
        <w:tc>
          <w:tcPr>
            <w:tcW w:w="966" w:type="dxa"/>
            <w:tcBorders>
              <w:top w:val="single" w:sz="4" w:space="0" w:color="auto"/>
            </w:tcBorders>
            <w:shd w:val="clear" w:color="auto" w:fill="auto"/>
            <w:noWrap/>
            <w:vAlign w:val="center"/>
            <w:hideMark/>
          </w:tcPr>
          <w:p w14:paraId="70AA1E54" w14:textId="7867FE86"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112</w:t>
            </w:r>
            <w:r w:rsidR="00AF011A">
              <w:rPr>
                <w:rFonts w:ascii="Times New Roman" w:hAnsi="Times New Roman"/>
                <w:color w:val="000000"/>
                <w:sz w:val="20"/>
                <w:lang w:eastAsia="id-ID"/>
              </w:rPr>
              <w:t>.</w:t>
            </w:r>
            <w:r w:rsidRPr="00AF011A">
              <w:rPr>
                <w:rFonts w:ascii="Times New Roman" w:hAnsi="Times New Roman"/>
                <w:color w:val="000000"/>
                <w:sz w:val="20"/>
                <w:lang w:eastAsia="id-ID"/>
              </w:rPr>
              <w:t>4</w:t>
            </w:r>
          </w:p>
        </w:tc>
      </w:tr>
      <w:tr w:rsidR="00AF011A" w:rsidRPr="00AF011A" w14:paraId="0326F12B" w14:textId="77777777" w:rsidTr="00692739">
        <w:trPr>
          <w:trHeight w:val="264"/>
        </w:trPr>
        <w:tc>
          <w:tcPr>
            <w:tcW w:w="739" w:type="dxa"/>
            <w:tcBorders>
              <w:top w:val="nil"/>
              <w:bottom w:val="single" w:sz="4" w:space="0" w:color="auto"/>
            </w:tcBorders>
            <w:shd w:val="clear" w:color="auto" w:fill="auto"/>
            <w:noWrap/>
            <w:vAlign w:val="center"/>
            <w:hideMark/>
          </w:tcPr>
          <w:p w14:paraId="2DDFE27E"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top w:val="nil"/>
            </w:tcBorders>
            <w:shd w:val="clear" w:color="auto" w:fill="808080" w:themeFill="background1" w:themeFillShade="80"/>
            <w:noWrap/>
            <w:vAlign w:val="bottom"/>
            <w:hideMark/>
          </w:tcPr>
          <w:p w14:paraId="0100D28B"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tcBorders>
            <w:shd w:val="clear" w:color="auto" w:fill="808080" w:themeFill="background1" w:themeFillShade="80"/>
            <w:noWrap/>
            <w:vAlign w:val="bottom"/>
            <w:hideMark/>
          </w:tcPr>
          <w:p w14:paraId="1799DF03"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tcBorders>
            <w:shd w:val="clear" w:color="auto" w:fill="808080" w:themeFill="background1" w:themeFillShade="80"/>
            <w:noWrap/>
            <w:vAlign w:val="bottom"/>
            <w:hideMark/>
          </w:tcPr>
          <w:p w14:paraId="050D38A2"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674242DA"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bottom w:val="single" w:sz="4" w:space="0" w:color="auto"/>
            </w:tcBorders>
            <w:shd w:val="clear" w:color="000000" w:fill="E7E6E6"/>
            <w:noWrap/>
            <w:vAlign w:val="center"/>
            <w:hideMark/>
          </w:tcPr>
          <w:p w14:paraId="740B9CE4"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11.56</w:t>
            </w:r>
          </w:p>
        </w:tc>
        <w:tc>
          <w:tcPr>
            <w:tcW w:w="966" w:type="dxa"/>
            <w:tcBorders>
              <w:bottom w:val="single" w:sz="4" w:space="0" w:color="auto"/>
            </w:tcBorders>
            <w:shd w:val="clear" w:color="auto" w:fill="auto"/>
            <w:noWrap/>
            <w:vAlign w:val="center"/>
            <w:hideMark/>
          </w:tcPr>
          <w:p w14:paraId="7C8ECA5D"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0CF65596"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613E2273"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10.04</w:t>
            </w:r>
          </w:p>
        </w:tc>
        <w:tc>
          <w:tcPr>
            <w:tcW w:w="966" w:type="dxa"/>
            <w:tcBorders>
              <w:bottom w:val="single" w:sz="4" w:space="0" w:color="auto"/>
            </w:tcBorders>
            <w:shd w:val="clear" w:color="auto" w:fill="auto"/>
            <w:noWrap/>
            <w:vAlign w:val="center"/>
            <w:hideMark/>
          </w:tcPr>
          <w:p w14:paraId="27BC7025"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r w:rsidR="00AF011A" w:rsidRPr="00AF011A" w14:paraId="275D807B" w14:textId="77777777" w:rsidTr="00692739">
        <w:trPr>
          <w:trHeight w:val="264"/>
        </w:trPr>
        <w:tc>
          <w:tcPr>
            <w:tcW w:w="739" w:type="dxa"/>
            <w:tcBorders>
              <w:top w:val="nil"/>
              <w:bottom w:val="nil"/>
            </w:tcBorders>
            <w:shd w:val="clear" w:color="auto" w:fill="auto"/>
            <w:noWrap/>
            <w:vAlign w:val="center"/>
            <w:hideMark/>
          </w:tcPr>
          <w:p w14:paraId="07FEBB2B"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7th</w:t>
            </w:r>
          </w:p>
        </w:tc>
        <w:tc>
          <w:tcPr>
            <w:tcW w:w="966" w:type="dxa"/>
            <w:shd w:val="clear" w:color="auto" w:fill="808080" w:themeFill="background1" w:themeFillShade="80"/>
            <w:noWrap/>
            <w:vAlign w:val="bottom"/>
            <w:hideMark/>
          </w:tcPr>
          <w:p w14:paraId="525F0B1B"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shd w:val="clear" w:color="auto" w:fill="808080" w:themeFill="background1" w:themeFillShade="80"/>
            <w:noWrap/>
            <w:vAlign w:val="bottom"/>
            <w:hideMark/>
          </w:tcPr>
          <w:p w14:paraId="2339FB45"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shd w:val="clear" w:color="auto" w:fill="808080" w:themeFill="background1" w:themeFillShade="80"/>
            <w:noWrap/>
            <w:vAlign w:val="bottom"/>
            <w:hideMark/>
          </w:tcPr>
          <w:p w14:paraId="026942EA"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single" w:sz="4" w:space="0" w:color="auto"/>
            </w:tcBorders>
            <w:shd w:val="clear" w:color="auto" w:fill="808080" w:themeFill="background1" w:themeFillShade="80"/>
            <w:noWrap/>
            <w:vAlign w:val="bottom"/>
            <w:hideMark/>
          </w:tcPr>
          <w:p w14:paraId="1B38AB01"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642" w:type="dxa"/>
            <w:tcBorders>
              <w:top w:val="single" w:sz="4" w:space="0" w:color="auto"/>
            </w:tcBorders>
            <w:shd w:val="clear" w:color="auto" w:fill="808080" w:themeFill="background1" w:themeFillShade="80"/>
            <w:noWrap/>
            <w:vAlign w:val="bottom"/>
            <w:hideMark/>
          </w:tcPr>
          <w:p w14:paraId="68050E58"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single" w:sz="4" w:space="0" w:color="auto"/>
            </w:tcBorders>
            <w:shd w:val="clear" w:color="auto" w:fill="808080" w:themeFill="background1" w:themeFillShade="80"/>
            <w:noWrap/>
            <w:vAlign w:val="bottom"/>
            <w:hideMark/>
          </w:tcPr>
          <w:p w14:paraId="250433AA"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single" w:sz="4" w:space="0" w:color="auto"/>
            </w:tcBorders>
            <w:shd w:val="clear" w:color="auto" w:fill="auto"/>
            <w:noWrap/>
            <w:vAlign w:val="center"/>
            <w:hideMark/>
          </w:tcPr>
          <w:p w14:paraId="2D3ED79A" w14:textId="393E3B80"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71</w:t>
            </w:r>
            <w:r w:rsidR="00AF011A">
              <w:rPr>
                <w:rFonts w:ascii="Times New Roman" w:hAnsi="Times New Roman"/>
                <w:color w:val="000000"/>
                <w:sz w:val="20"/>
                <w:lang w:eastAsia="id-ID"/>
              </w:rPr>
              <w:t>.</w:t>
            </w:r>
            <w:r w:rsidRPr="00AF011A">
              <w:rPr>
                <w:rFonts w:ascii="Times New Roman" w:hAnsi="Times New Roman"/>
                <w:color w:val="000000"/>
                <w:sz w:val="20"/>
                <w:lang w:eastAsia="id-ID"/>
              </w:rPr>
              <w:t>6</w:t>
            </w:r>
          </w:p>
        </w:tc>
        <w:tc>
          <w:tcPr>
            <w:tcW w:w="966" w:type="dxa"/>
            <w:tcBorders>
              <w:top w:val="single" w:sz="4" w:space="0" w:color="auto"/>
            </w:tcBorders>
            <w:shd w:val="clear" w:color="000000" w:fill="E7E6E6"/>
            <w:noWrap/>
            <w:vAlign w:val="center"/>
            <w:hideMark/>
          </w:tcPr>
          <w:p w14:paraId="5EE1F66D" w14:textId="4A6F7547"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78</w:t>
            </w:r>
            <w:r w:rsidR="00AF011A">
              <w:rPr>
                <w:rFonts w:ascii="Times New Roman" w:hAnsi="Times New Roman"/>
                <w:color w:val="000000"/>
                <w:sz w:val="20"/>
                <w:lang w:eastAsia="id-ID"/>
              </w:rPr>
              <w:t>.</w:t>
            </w:r>
            <w:r w:rsidRPr="00AF011A">
              <w:rPr>
                <w:rFonts w:ascii="Times New Roman" w:hAnsi="Times New Roman"/>
                <w:color w:val="000000"/>
                <w:sz w:val="20"/>
                <w:lang w:eastAsia="id-ID"/>
              </w:rPr>
              <w:t>8</w:t>
            </w:r>
          </w:p>
        </w:tc>
        <w:tc>
          <w:tcPr>
            <w:tcW w:w="966" w:type="dxa"/>
            <w:tcBorders>
              <w:top w:val="single" w:sz="4" w:space="0" w:color="auto"/>
            </w:tcBorders>
            <w:shd w:val="clear" w:color="auto" w:fill="auto"/>
            <w:noWrap/>
            <w:vAlign w:val="center"/>
            <w:hideMark/>
          </w:tcPr>
          <w:p w14:paraId="1DB79861" w14:textId="7D0E431B"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110</w:t>
            </w:r>
            <w:r w:rsidR="00AF011A">
              <w:rPr>
                <w:rFonts w:ascii="Times New Roman" w:hAnsi="Times New Roman"/>
                <w:color w:val="000000"/>
                <w:sz w:val="20"/>
                <w:lang w:eastAsia="id-ID"/>
              </w:rPr>
              <w:t>.</w:t>
            </w:r>
            <w:r w:rsidRPr="00AF011A">
              <w:rPr>
                <w:rFonts w:ascii="Times New Roman" w:hAnsi="Times New Roman"/>
                <w:color w:val="000000"/>
                <w:sz w:val="20"/>
                <w:lang w:eastAsia="id-ID"/>
              </w:rPr>
              <w:t>6</w:t>
            </w:r>
          </w:p>
        </w:tc>
      </w:tr>
      <w:tr w:rsidR="00AF011A" w:rsidRPr="00AF011A" w14:paraId="4D7AF59C" w14:textId="77777777" w:rsidTr="00692739">
        <w:trPr>
          <w:trHeight w:val="264"/>
        </w:trPr>
        <w:tc>
          <w:tcPr>
            <w:tcW w:w="739" w:type="dxa"/>
            <w:tcBorders>
              <w:top w:val="nil"/>
              <w:bottom w:val="single" w:sz="4" w:space="0" w:color="auto"/>
            </w:tcBorders>
            <w:shd w:val="clear" w:color="auto" w:fill="auto"/>
            <w:noWrap/>
            <w:vAlign w:val="center"/>
            <w:hideMark/>
          </w:tcPr>
          <w:p w14:paraId="4916ADD9"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top w:val="nil"/>
            </w:tcBorders>
            <w:shd w:val="clear" w:color="auto" w:fill="808080" w:themeFill="background1" w:themeFillShade="80"/>
            <w:noWrap/>
            <w:vAlign w:val="bottom"/>
            <w:hideMark/>
          </w:tcPr>
          <w:p w14:paraId="06183C65"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tcBorders>
            <w:shd w:val="clear" w:color="auto" w:fill="808080" w:themeFill="background1" w:themeFillShade="80"/>
            <w:noWrap/>
            <w:vAlign w:val="bottom"/>
            <w:hideMark/>
          </w:tcPr>
          <w:p w14:paraId="6AD1AB02"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tcBorders>
            <w:shd w:val="clear" w:color="auto" w:fill="808080" w:themeFill="background1" w:themeFillShade="80"/>
            <w:noWrap/>
            <w:vAlign w:val="bottom"/>
            <w:hideMark/>
          </w:tcPr>
          <w:p w14:paraId="089A4E09"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tcBorders>
            <w:shd w:val="clear" w:color="auto" w:fill="808080" w:themeFill="background1" w:themeFillShade="80"/>
            <w:noWrap/>
            <w:vAlign w:val="bottom"/>
            <w:hideMark/>
          </w:tcPr>
          <w:p w14:paraId="22B06EBC"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top w:val="nil"/>
            </w:tcBorders>
            <w:shd w:val="clear" w:color="auto" w:fill="808080" w:themeFill="background1" w:themeFillShade="80"/>
            <w:noWrap/>
            <w:vAlign w:val="bottom"/>
            <w:hideMark/>
          </w:tcPr>
          <w:p w14:paraId="6594F65D"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tcBorders>
            <w:shd w:val="clear" w:color="auto" w:fill="808080" w:themeFill="background1" w:themeFillShade="80"/>
            <w:noWrap/>
            <w:vAlign w:val="bottom"/>
            <w:hideMark/>
          </w:tcPr>
          <w:p w14:paraId="1EBC4659"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37E381C6"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2DF660AC"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10.02</w:t>
            </w:r>
          </w:p>
        </w:tc>
        <w:tc>
          <w:tcPr>
            <w:tcW w:w="966" w:type="dxa"/>
            <w:tcBorders>
              <w:bottom w:val="single" w:sz="4" w:space="0" w:color="auto"/>
            </w:tcBorders>
            <w:shd w:val="clear" w:color="auto" w:fill="auto"/>
            <w:noWrap/>
            <w:vAlign w:val="center"/>
            <w:hideMark/>
          </w:tcPr>
          <w:p w14:paraId="5FE774DC"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r w:rsidR="00AF011A" w:rsidRPr="00AF011A" w14:paraId="595AD822" w14:textId="77777777" w:rsidTr="00692739">
        <w:trPr>
          <w:trHeight w:val="264"/>
        </w:trPr>
        <w:tc>
          <w:tcPr>
            <w:tcW w:w="739" w:type="dxa"/>
            <w:tcBorders>
              <w:top w:val="nil"/>
              <w:bottom w:val="nil"/>
            </w:tcBorders>
            <w:shd w:val="clear" w:color="auto" w:fill="auto"/>
            <w:noWrap/>
            <w:vAlign w:val="center"/>
            <w:hideMark/>
          </w:tcPr>
          <w:p w14:paraId="012D4BC6"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8th</w:t>
            </w:r>
          </w:p>
        </w:tc>
        <w:tc>
          <w:tcPr>
            <w:tcW w:w="966" w:type="dxa"/>
            <w:tcBorders>
              <w:top w:val="nil"/>
            </w:tcBorders>
            <w:shd w:val="clear" w:color="auto" w:fill="808080" w:themeFill="background1" w:themeFillShade="80"/>
            <w:noWrap/>
            <w:vAlign w:val="bottom"/>
            <w:hideMark/>
          </w:tcPr>
          <w:p w14:paraId="41C0A633"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tcBorders>
            <w:shd w:val="clear" w:color="auto" w:fill="808080" w:themeFill="background1" w:themeFillShade="80"/>
            <w:noWrap/>
            <w:vAlign w:val="bottom"/>
            <w:hideMark/>
          </w:tcPr>
          <w:p w14:paraId="16B4C002"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tcBorders>
            <w:shd w:val="clear" w:color="auto" w:fill="808080" w:themeFill="background1" w:themeFillShade="80"/>
            <w:noWrap/>
            <w:vAlign w:val="bottom"/>
            <w:hideMark/>
          </w:tcPr>
          <w:p w14:paraId="2F36C4A0"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tcBorders>
            <w:shd w:val="clear" w:color="auto" w:fill="808080" w:themeFill="background1" w:themeFillShade="80"/>
            <w:noWrap/>
            <w:vAlign w:val="bottom"/>
            <w:hideMark/>
          </w:tcPr>
          <w:p w14:paraId="6321F4EE"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642" w:type="dxa"/>
            <w:tcBorders>
              <w:top w:val="nil"/>
            </w:tcBorders>
            <w:shd w:val="clear" w:color="auto" w:fill="808080" w:themeFill="background1" w:themeFillShade="80"/>
            <w:noWrap/>
            <w:vAlign w:val="bottom"/>
            <w:hideMark/>
          </w:tcPr>
          <w:p w14:paraId="28BE4141"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tcBorders>
            <w:shd w:val="clear" w:color="auto" w:fill="808080" w:themeFill="background1" w:themeFillShade="80"/>
            <w:noWrap/>
            <w:vAlign w:val="bottom"/>
            <w:hideMark/>
          </w:tcPr>
          <w:p w14:paraId="25DA1895"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single" w:sz="4" w:space="0" w:color="auto"/>
            </w:tcBorders>
            <w:shd w:val="clear" w:color="auto" w:fill="auto"/>
            <w:noWrap/>
            <w:vAlign w:val="center"/>
            <w:hideMark/>
          </w:tcPr>
          <w:p w14:paraId="3AEDC7EC" w14:textId="1A8A0568"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67</w:t>
            </w:r>
            <w:r w:rsidR="00AF011A">
              <w:rPr>
                <w:rFonts w:ascii="Times New Roman" w:hAnsi="Times New Roman"/>
                <w:color w:val="000000"/>
                <w:sz w:val="20"/>
                <w:lang w:eastAsia="id-ID"/>
              </w:rPr>
              <w:t>.</w:t>
            </w:r>
            <w:r w:rsidRPr="00AF011A">
              <w:rPr>
                <w:rFonts w:ascii="Times New Roman" w:hAnsi="Times New Roman"/>
                <w:color w:val="000000"/>
                <w:sz w:val="20"/>
                <w:lang w:eastAsia="id-ID"/>
              </w:rPr>
              <w:t>9</w:t>
            </w:r>
          </w:p>
        </w:tc>
        <w:tc>
          <w:tcPr>
            <w:tcW w:w="966" w:type="dxa"/>
            <w:tcBorders>
              <w:top w:val="single" w:sz="4" w:space="0" w:color="auto"/>
            </w:tcBorders>
            <w:shd w:val="clear" w:color="000000" w:fill="E7E6E6"/>
            <w:noWrap/>
            <w:vAlign w:val="center"/>
            <w:hideMark/>
          </w:tcPr>
          <w:p w14:paraId="4F1B80A0" w14:textId="7B80DD9E"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74</w:t>
            </w:r>
            <w:r w:rsidR="00AF011A">
              <w:rPr>
                <w:rFonts w:ascii="Times New Roman" w:hAnsi="Times New Roman"/>
                <w:color w:val="000000"/>
                <w:sz w:val="20"/>
                <w:lang w:eastAsia="id-ID"/>
              </w:rPr>
              <w:t>.</w:t>
            </w:r>
            <w:r w:rsidRPr="00AF011A">
              <w:rPr>
                <w:rFonts w:ascii="Times New Roman" w:hAnsi="Times New Roman"/>
                <w:color w:val="000000"/>
                <w:sz w:val="20"/>
                <w:lang w:eastAsia="id-ID"/>
              </w:rPr>
              <w:t>9</w:t>
            </w:r>
          </w:p>
        </w:tc>
        <w:tc>
          <w:tcPr>
            <w:tcW w:w="966" w:type="dxa"/>
            <w:tcBorders>
              <w:top w:val="single" w:sz="4" w:space="0" w:color="auto"/>
            </w:tcBorders>
            <w:shd w:val="clear" w:color="auto" w:fill="auto"/>
            <w:noWrap/>
            <w:vAlign w:val="center"/>
            <w:hideMark/>
          </w:tcPr>
          <w:p w14:paraId="6D22566F" w14:textId="0F1C4DE0"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104</w:t>
            </w:r>
            <w:r w:rsidR="00AF011A">
              <w:rPr>
                <w:rFonts w:ascii="Times New Roman" w:hAnsi="Times New Roman"/>
                <w:color w:val="000000"/>
                <w:sz w:val="20"/>
                <w:lang w:eastAsia="id-ID"/>
              </w:rPr>
              <w:t>.</w:t>
            </w:r>
            <w:r w:rsidRPr="00AF011A">
              <w:rPr>
                <w:rFonts w:ascii="Times New Roman" w:hAnsi="Times New Roman"/>
                <w:color w:val="000000"/>
                <w:sz w:val="20"/>
                <w:lang w:eastAsia="id-ID"/>
              </w:rPr>
              <w:t>0</w:t>
            </w:r>
          </w:p>
        </w:tc>
      </w:tr>
      <w:tr w:rsidR="00AF011A" w:rsidRPr="00AF011A" w14:paraId="2E850E6A" w14:textId="77777777" w:rsidTr="00692739">
        <w:trPr>
          <w:trHeight w:val="264"/>
        </w:trPr>
        <w:tc>
          <w:tcPr>
            <w:tcW w:w="739" w:type="dxa"/>
            <w:tcBorders>
              <w:top w:val="nil"/>
              <w:bottom w:val="single" w:sz="4" w:space="0" w:color="auto"/>
            </w:tcBorders>
            <w:shd w:val="clear" w:color="auto" w:fill="auto"/>
            <w:noWrap/>
            <w:vAlign w:val="center"/>
            <w:hideMark/>
          </w:tcPr>
          <w:p w14:paraId="0D227B47"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top w:val="nil"/>
            </w:tcBorders>
            <w:shd w:val="clear" w:color="auto" w:fill="808080" w:themeFill="background1" w:themeFillShade="80"/>
            <w:noWrap/>
            <w:vAlign w:val="bottom"/>
            <w:hideMark/>
          </w:tcPr>
          <w:p w14:paraId="7EE00DFC"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tcBorders>
            <w:shd w:val="clear" w:color="auto" w:fill="808080" w:themeFill="background1" w:themeFillShade="80"/>
            <w:noWrap/>
            <w:vAlign w:val="bottom"/>
            <w:hideMark/>
          </w:tcPr>
          <w:p w14:paraId="7485696A"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tcBorders>
            <w:shd w:val="clear" w:color="auto" w:fill="808080" w:themeFill="background1" w:themeFillShade="80"/>
            <w:noWrap/>
            <w:vAlign w:val="bottom"/>
            <w:hideMark/>
          </w:tcPr>
          <w:p w14:paraId="3D2A04DD"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tcBorders>
            <w:shd w:val="clear" w:color="auto" w:fill="808080" w:themeFill="background1" w:themeFillShade="80"/>
            <w:noWrap/>
            <w:vAlign w:val="bottom"/>
            <w:hideMark/>
          </w:tcPr>
          <w:p w14:paraId="100967C8"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top w:val="nil"/>
            </w:tcBorders>
            <w:shd w:val="clear" w:color="auto" w:fill="808080" w:themeFill="background1" w:themeFillShade="80"/>
            <w:noWrap/>
            <w:vAlign w:val="bottom"/>
            <w:hideMark/>
          </w:tcPr>
          <w:p w14:paraId="53DF20CC"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tcBorders>
            <w:shd w:val="clear" w:color="auto" w:fill="808080" w:themeFill="background1" w:themeFillShade="80"/>
            <w:noWrap/>
            <w:vAlign w:val="bottom"/>
            <w:hideMark/>
          </w:tcPr>
          <w:p w14:paraId="31FA1457"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center"/>
            <w:hideMark/>
          </w:tcPr>
          <w:p w14:paraId="61EB2C77"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1615A96D"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10.21</w:t>
            </w:r>
          </w:p>
        </w:tc>
        <w:tc>
          <w:tcPr>
            <w:tcW w:w="966" w:type="dxa"/>
            <w:tcBorders>
              <w:bottom w:val="single" w:sz="4" w:space="0" w:color="auto"/>
            </w:tcBorders>
            <w:shd w:val="clear" w:color="auto" w:fill="auto"/>
            <w:noWrap/>
            <w:vAlign w:val="center"/>
            <w:hideMark/>
          </w:tcPr>
          <w:p w14:paraId="5811660E"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r w:rsidR="00AF011A" w:rsidRPr="00AF011A" w14:paraId="264AE9B7" w14:textId="77777777" w:rsidTr="00692739">
        <w:trPr>
          <w:trHeight w:val="264"/>
        </w:trPr>
        <w:tc>
          <w:tcPr>
            <w:tcW w:w="739" w:type="dxa"/>
            <w:tcBorders>
              <w:top w:val="single" w:sz="4" w:space="0" w:color="auto"/>
            </w:tcBorders>
            <w:shd w:val="clear" w:color="auto" w:fill="auto"/>
            <w:noWrap/>
            <w:vAlign w:val="center"/>
            <w:hideMark/>
          </w:tcPr>
          <w:p w14:paraId="4186BE7E"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9th</w:t>
            </w:r>
          </w:p>
        </w:tc>
        <w:tc>
          <w:tcPr>
            <w:tcW w:w="966" w:type="dxa"/>
            <w:tcBorders>
              <w:top w:val="nil"/>
            </w:tcBorders>
            <w:shd w:val="clear" w:color="auto" w:fill="808080" w:themeFill="background1" w:themeFillShade="80"/>
            <w:noWrap/>
            <w:vAlign w:val="bottom"/>
            <w:hideMark/>
          </w:tcPr>
          <w:p w14:paraId="6946B446"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tcBorders>
            <w:shd w:val="clear" w:color="auto" w:fill="808080" w:themeFill="background1" w:themeFillShade="80"/>
            <w:noWrap/>
            <w:vAlign w:val="bottom"/>
            <w:hideMark/>
          </w:tcPr>
          <w:p w14:paraId="587ECCBA"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tcBorders>
            <w:shd w:val="clear" w:color="auto" w:fill="808080" w:themeFill="background1" w:themeFillShade="80"/>
            <w:noWrap/>
            <w:vAlign w:val="bottom"/>
            <w:hideMark/>
          </w:tcPr>
          <w:p w14:paraId="1380D99C"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tcBorders>
            <w:shd w:val="clear" w:color="auto" w:fill="808080" w:themeFill="background1" w:themeFillShade="80"/>
            <w:noWrap/>
            <w:vAlign w:val="bottom"/>
            <w:hideMark/>
          </w:tcPr>
          <w:p w14:paraId="5128E793"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642" w:type="dxa"/>
            <w:tcBorders>
              <w:top w:val="nil"/>
            </w:tcBorders>
            <w:shd w:val="clear" w:color="auto" w:fill="808080" w:themeFill="background1" w:themeFillShade="80"/>
            <w:noWrap/>
            <w:vAlign w:val="bottom"/>
            <w:hideMark/>
          </w:tcPr>
          <w:p w14:paraId="2948CB32"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nil"/>
            </w:tcBorders>
            <w:shd w:val="clear" w:color="auto" w:fill="808080" w:themeFill="background1" w:themeFillShade="80"/>
            <w:noWrap/>
            <w:vAlign w:val="bottom"/>
            <w:hideMark/>
          </w:tcPr>
          <w:p w14:paraId="68A7FA01"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 </w:t>
            </w:r>
          </w:p>
        </w:tc>
        <w:tc>
          <w:tcPr>
            <w:tcW w:w="966" w:type="dxa"/>
            <w:tcBorders>
              <w:top w:val="single" w:sz="4" w:space="0" w:color="auto"/>
            </w:tcBorders>
            <w:shd w:val="clear" w:color="auto" w:fill="auto"/>
            <w:noWrap/>
            <w:vAlign w:val="center"/>
            <w:hideMark/>
          </w:tcPr>
          <w:p w14:paraId="0F2EE516" w14:textId="0F013D8F"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47</w:t>
            </w:r>
            <w:r w:rsidR="00AF011A">
              <w:rPr>
                <w:rFonts w:ascii="Times New Roman" w:hAnsi="Times New Roman"/>
                <w:color w:val="000000"/>
                <w:sz w:val="20"/>
                <w:lang w:eastAsia="id-ID"/>
              </w:rPr>
              <w:t>.</w:t>
            </w:r>
            <w:r w:rsidRPr="00AF011A">
              <w:rPr>
                <w:rFonts w:ascii="Times New Roman" w:hAnsi="Times New Roman"/>
                <w:color w:val="000000"/>
                <w:sz w:val="20"/>
                <w:lang w:eastAsia="id-ID"/>
              </w:rPr>
              <w:t>7</w:t>
            </w:r>
          </w:p>
        </w:tc>
        <w:tc>
          <w:tcPr>
            <w:tcW w:w="966" w:type="dxa"/>
            <w:tcBorders>
              <w:top w:val="single" w:sz="4" w:space="0" w:color="auto"/>
            </w:tcBorders>
            <w:shd w:val="clear" w:color="000000" w:fill="E7E6E6"/>
            <w:noWrap/>
            <w:vAlign w:val="center"/>
            <w:hideMark/>
          </w:tcPr>
          <w:p w14:paraId="151745FA" w14:textId="4137F955"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52</w:t>
            </w:r>
            <w:r w:rsidR="00AF011A">
              <w:rPr>
                <w:rFonts w:ascii="Times New Roman" w:hAnsi="Times New Roman"/>
                <w:color w:val="000000"/>
                <w:sz w:val="20"/>
                <w:lang w:eastAsia="id-ID"/>
              </w:rPr>
              <w:t>.</w:t>
            </w:r>
            <w:r w:rsidRPr="00AF011A">
              <w:rPr>
                <w:rFonts w:ascii="Times New Roman" w:hAnsi="Times New Roman"/>
                <w:color w:val="000000"/>
                <w:sz w:val="20"/>
                <w:lang w:eastAsia="id-ID"/>
              </w:rPr>
              <w:t>8</w:t>
            </w:r>
          </w:p>
        </w:tc>
        <w:tc>
          <w:tcPr>
            <w:tcW w:w="966" w:type="dxa"/>
            <w:tcBorders>
              <w:top w:val="single" w:sz="4" w:space="0" w:color="auto"/>
            </w:tcBorders>
            <w:shd w:val="clear" w:color="auto" w:fill="auto"/>
            <w:noWrap/>
            <w:vAlign w:val="center"/>
            <w:hideMark/>
          </w:tcPr>
          <w:p w14:paraId="38E43826" w14:textId="5E1AFB1F" w:rsidR="00F47A65" w:rsidRPr="00AF011A" w:rsidRDefault="00F47A65" w:rsidP="00192922">
            <w:pPr>
              <w:jc w:val="center"/>
              <w:rPr>
                <w:rFonts w:ascii="Times New Roman" w:hAnsi="Times New Roman"/>
                <w:color w:val="000000"/>
                <w:sz w:val="20"/>
                <w:lang w:eastAsia="id-ID"/>
              </w:rPr>
            </w:pPr>
            <w:r w:rsidRPr="00AF011A">
              <w:rPr>
                <w:rFonts w:ascii="Times New Roman" w:hAnsi="Times New Roman"/>
                <w:color w:val="000000"/>
                <w:sz w:val="20"/>
                <w:lang w:eastAsia="id-ID"/>
              </w:rPr>
              <w:t>71</w:t>
            </w:r>
            <w:r w:rsidR="00AF011A">
              <w:rPr>
                <w:rFonts w:ascii="Times New Roman" w:hAnsi="Times New Roman"/>
                <w:color w:val="000000"/>
                <w:sz w:val="20"/>
                <w:lang w:eastAsia="id-ID"/>
              </w:rPr>
              <w:t>.</w:t>
            </w:r>
            <w:r w:rsidRPr="00AF011A">
              <w:rPr>
                <w:rFonts w:ascii="Times New Roman" w:hAnsi="Times New Roman"/>
                <w:color w:val="000000"/>
                <w:sz w:val="20"/>
                <w:lang w:eastAsia="id-ID"/>
              </w:rPr>
              <w:t>6</w:t>
            </w:r>
          </w:p>
        </w:tc>
      </w:tr>
      <w:tr w:rsidR="00AF011A" w:rsidRPr="00AF011A" w14:paraId="5519F42C" w14:textId="77777777" w:rsidTr="00692739">
        <w:trPr>
          <w:trHeight w:val="264"/>
        </w:trPr>
        <w:tc>
          <w:tcPr>
            <w:tcW w:w="739" w:type="dxa"/>
            <w:tcBorders>
              <w:top w:val="nil"/>
              <w:bottom w:val="single" w:sz="4" w:space="0" w:color="auto"/>
            </w:tcBorders>
            <w:shd w:val="clear" w:color="auto" w:fill="auto"/>
            <w:noWrap/>
            <w:vAlign w:val="center"/>
            <w:hideMark/>
          </w:tcPr>
          <w:p w14:paraId="22F4D824" w14:textId="77777777" w:rsidR="00F47A65" w:rsidRPr="00AF011A" w:rsidRDefault="00F47A65" w:rsidP="00192922">
            <w:pPr>
              <w:rPr>
                <w:rFonts w:ascii="Times New Roman" w:hAnsi="Times New Roman"/>
                <w:color w:val="000000"/>
                <w:sz w:val="20"/>
                <w:lang w:eastAsia="id-ID"/>
              </w:rPr>
            </w:pPr>
            <w:r w:rsidRPr="00AF011A">
              <w:rPr>
                <w:rFonts w:ascii="Times New Roman" w:hAnsi="Times New Roman"/>
                <w:color w:val="000000"/>
                <w:sz w:val="20"/>
                <w:lang w:eastAsia="id-ID"/>
              </w:rPr>
              <w:t>Sig. (%)</w:t>
            </w:r>
          </w:p>
        </w:tc>
        <w:tc>
          <w:tcPr>
            <w:tcW w:w="966" w:type="dxa"/>
            <w:tcBorders>
              <w:top w:val="nil"/>
              <w:bottom w:val="single" w:sz="4" w:space="0" w:color="auto"/>
            </w:tcBorders>
            <w:shd w:val="clear" w:color="auto" w:fill="808080" w:themeFill="background1" w:themeFillShade="80"/>
            <w:noWrap/>
            <w:vAlign w:val="bottom"/>
            <w:hideMark/>
          </w:tcPr>
          <w:p w14:paraId="26149B92"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auto" w:fill="808080" w:themeFill="background1" w:themeFillShade="80"/>
            <w:noWrap/>
            <w:vAlign w:val="bottom"/>
            <w:hideMark/>
          </w:tcPr>
          <w:p w14:paraId="7FA0F63E"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auto" w:fill="808080" w:themeFill="background1" w:themeFillShade="80"/>
            <w:noWrap/>
            <w:vAlign w:val="bottom"/>
            <w:hideMark/>
          </w:tcPr>
          <w:p w14:paraId="5D13B04B"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auto" w:fill="808080" w:themeFill="background1" w:themeFillShade="80"/>
            <w:noWrap/>
            <w:vAlign w:val="bottom"/>
            <w:hideMark/>
          </w:tcPr>
          <w:p w14:paraId="575F0C2E"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642" w:type="dxa"/>
            <w:tcBorders>
              <w:top w:val="nil"/>
              <w:bottom w:val="single" w:sz="4" w:space="0" w:color="auto"/>
            </w:tcBorders>
            <w:shd w:val="clear" w:color="auto" w:fill="808080" w:themeFill="background1" w:themeFillShade="80"/>
            <w:noWrap/>
            <w:vAlign w:val="bottom"/>
            <w:hideMark/>
          </w:tcPr>
          <w:p w14:paraId="74631FDE"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top w:val="nil"/>
              <w:bottom w:val="single" w:sz="4" w:space="0" w:color="auto"/>
            </w:tcBorders>
            <w:shd w:val="clear" w:color="auto" w:fill="808080" w:themeFill="background1" w:themeFillShade="80"/>
            <w:noWrap/>
            <w:vAlign w:val="bottom"/>
            <w:hideMark/>
          </w:tcPr>
          <w:p w14:paraId="19CA7BB7"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auto" w:fill="auto"/>
            <w:noWrap/>
            <w:vAlign w:val="bottom"/>
            <w:hideMark/>
          </w:tcPr>
          <w:p w14:paraId="07F8DCE6"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c>
          <w:tcPr>
            <w:tcW w:w="966" w:type="dxa"/>
            <w:tcBorders>
              <w:bottom w:val="single" w:sz="4" w:space="0" w:color="auto"/>
            </w:tcBorders>
            <w:shd w:val="clear" w:color="000000" w:fill="E7E6E6"/>
            <w:noWrap/>
            <w:vAlign w:val="center"/>
            <w:hideMark/>
          </w:tcPr>
          <w:p w14:paraId="713F069E" w14:textId="77777777" w:rsidR="00F47A65" w:rsidRPr="00AF011A" w:rsidRDefault="00F47A65" w:rsidP="00192922">
            <w:pPr>
              <w:jc w:val="center"/>
              <w:rPr>
                <w:rFonts w:ascii="Times New Roman" w:hAnsi="Times New Roman"/>
                <w:i/>
                <w:iCs/>
                <w:color w:val="000000"/>
                <w:sz w:val="20"/>
                <w:lang w:eastAsia="id-ID"/>
              </w:rPr>
            </w:pPr>
            <w:r w:rsidRPr="00AF011A">
              <w:rPr>
                <w:rFonts w:ascii="Times New Roman" w:hAnsi="Times New Roman"/>
                <w:i/>
                <w:iCs/>
                <w:color w:val="000000"/>
                <w:sz w:val="20"/>
                <w:lang w:eastAsia="id-ID"/>
              </w:rPr>
              <w:t>10.85</w:t>
            </w:r>
          </w:p>
        </w:tc>
        <w:tc>
          <w:tcPr>
            <w:tcW w:w="966" w:type="dxa"/>
            <w:tcBorders>
              <w:bottom w:val="single" w:sz="4" w:space="0" w:color="auto"/>
            </w:tcBorders>
            <w:shd w:val="clear" w:color="auto" w:fill="auto"/>
            <w:noWrap/>
            <w:vAlign w:val="bottom"/>
            <w:hideMark/>
          </w:tcPr>
          <w:p w14:paraId="19EDDBE7" w14:textId="77777777" w:rsidR="00F47A65" w:rsidRPr="00AF011A" w:rsidRDefault="00F47A65" w:rsidP="00192922">
            <w:pPr>
              <w:rPr>
                <w:rFonts w:ascii="Times New Roman" w:hAnsi="Times New Roman"/>
                <w:i/>
                <w:iCs/>
                <w:color w:val="000000"/>
                <w:sz w:val="20"/>
                <w:lang w:eastAsia="id-ID"/>
              </w:rPr>
            </w:pPr>
            <w:r w:rsidRPr="00AF011A">
              <w:rPr>
                <w:rFonts w:ascii="Times New Roman" w:hAnsi="Times New Roman"/>
                <w:i/>
                <w:iCs/>
                <w:color w:val="000000"/>
                <w:sz w:val="20"/>
                <w:lang w:eastAsia="id-ID"/>
              </w:rPr>
              <w:t> </w:t>
            </w:r>
          </w:p>
        </w:tc>
      </w:tr>
    </w:tbl>
    <w:p w14:paraId="024F575E" w14:textId="77777777" w:rsidR="00F47A65" w:rsidRPr="006D55C6" w:rsidRDefault="00F47A65" w:rsidP="00F47A65">
      <w:pPr>
        <w:pStyle w:val="FigureCaption"/>
      </w:pPr>
    </w:p>
    <w:p w14:paraId="647CA941" w14:textId="77777777" w:rsidR="00D1461E" w:rsidRPr="006D55C6" w:rsidRDefault="00D1461E" w:rsidP="00D1461E">
      <w:pPr>
        <w:jc w:val="center"/>
        <w:rPr>
          <w:rFonts w:ascii="Times New Roman" w:hAnsi="Times New Roman"/>
        </w:rPr>
      </w:pPr>
      <w:r w:rsidRPr="006D55C6">
        <w:rPr>
          <w:rFonts w:ascii="Times New Roman" w:hAnsi="Times New Roman"/>
          <w:noProof/>
          <w:lang w:val="en-US"/>
        </w:rPr>
        <w:drawing>
          <wp:inline distT="0" distB="0" distL="0" distR="0" wp14:anchorId="6C9751D7" wp14:editId="042B8C10">
            <wp:extent cx="4320000" cy="2160000"/>
            <wp:effectExtent l="0" t="0" r="4445" b="0"/>
            <wp:docPr id="2" name="Chart 2">
              <a:extLst xmlns:a="http://schemas.openxmlformats.org/drawingml/2006/main">
                <a:ext uri="{FF2B5EF4-FFF2-40B4-BE49-F238E27FC236}">
                  <a16:creationId xmlns:a16="http://schemas.microsoft.com/office/drawing/2014/main" id="{9DC5C7CE-15EA-4C96-A733-276071339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D7617CE" w14:textId="77777777" w:rsidR="00D1461E" w:rsidRPr="006D55C6" w:rsidRDefault="00D1461E" w:rsidP="00D1461E">
      <w:pPr>
        <w:jc w:val="center"/>
        <w:rPr>
          <w:rFonts w:ascii="Times New Roman" w:hAnsi="Times New Roman"/>
        </w:rPr>
      </w:pPr>
      <w:r w:rsidRPr="006D55C6">
        <w:rPr>
          <w:rFonts w:ascii="Times New Roman" w:hAnsi="Times New Roman"/>
        </w:rPr>
        <w:t>(a)</w:t>
      </w:r>
    </w:p>
    <w:p w14:paraId="567BF09C" w14:textId="77777777" w:rsidR="00D1461E" w:rsidRPr="006D55C6" w:rsidRDefault="00D1461E" w:rsidP="00D1461E">
      <w:pPr>
        <w:jc w:val="center"/>
        <w:rPr>
          <w:rFonts w:ascii="Times New Roman" w:hAnsi="Times New Roman"/>
        </w:rPr>
      </w:pPr>
      <w:r w:rsidRPr="006D55C6">
        <w:rPr>
          <w:rFonts w:ascii="Times New Roman" w:hAnsi="Times New Roman"/>
          <w:noProof/>
          <w:lang w:val="en-US"/>
        </w:rPr>
        <w:drawing>
          <wp:inline distT="0" distB="0" distL="0" distR="0" wp14:anchorId="15A8E51B" wp14:editId="0B6A057E">
            <wp:extent cx="4320000" cy="2160000"/>
            <wp:effectExtent l="0" t="0" r="4445" b="0"/>
            <wp:docPr id="6" name="Chart 6">
              <a:extLst xmlns:a="http://schemas.openxmlformats.org/drawingml/2006/main">
                <a:ext uri="{FF2B5EF4-FFF2-40B4-BE49-F238E27FC236}">
                  <a16:creationId xmlns:a16="http://schemas.microsoft.com/office/drawing/2014/main" id="{9C4A05CC-21FA-40BA-9687-81696ACE97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CA620B" w14:textId="77777777" w:rsidR="00D1461E" w:rsidRPr="006D55C6" w:rsidRDefault="00D1461E" w:rsidP="00D1461E">
      <w:pPr>
        <w:jc w:val="center"/>
        <w:rPr>
          <w:rFonts w:ascii="Times New Roman" w:hAnsi="Times New Roman"/>
        </w:rPr>
      </w:pPr>
      <w:r w:rsidRPr="006D55C6">
        <w:rPr>
          <w:rFonts w:ascii="Times New Roman" w:hAnsi="Times New Roman"/>
        </w:rPr>
        <w:t>(b)</w:t>
      </w:r>
    </w:p>
    <w:p w14:paraId="4E2023E0" w14:textId="77777777" w:rsidR="00D1461E" w:rsidRPr="006D55C6" w:rsidRDefault="00D1461E" w:rsidP="00D1461E">
      <w:pPr>
        <w:jc w:val="center"/>
        <w:rPr>
          <w:rFonts w:ascii="Times New Roman" w:hAnsi="Times New Roman"/>
        </w:rPr>
      </w:pPr>
      <w:r w:rsidRPr="006D55C6">
        <w:rPr>
          <w:rFonts w:ascii="Times New Roman" w:hAnsi="Times New Roman"/>
          <w:noProof/>
          <w:lang w:val="en-US"/>
        </w:rPr>
        <w:drawing>
          <wp:inline distT="0" distB="0" distL="0" distR="0" wp14:anchorId="7D616D97" wp14:editId="1DB62A40">
            <wp:extent cx="4320000" cy="2160000"/>
            <wp:effectExtent l="0" t="0" r="4445" b="0"/>
            <wp:docPr id="9" name="Chart 9">
              <a:extLst xmlns:a="http://schemas.openxmlformats.org/drawingml/2006/main">
                <a:ext uri="{FF2B5EF4-FFF2-40B4-BE49-F238E27FC236}">
                  <a16:creationId xmlns:a16="http://schemas.microsoft.com/office/drawing/2014/main" id="{F4153EEC-5CE0-43D3-8018-EB474D6FA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0D2729" w14:textId="77777777" w:rsidR="00D1461E" w:rsidRPr="006D55C6" w:rsidRDefault="00D1461E" w:rsidP="00D1461E">
      <w:pPr>
        <w:jc w:val="center"/>
        <w:rPr>
          <w:rFonts w:ascii="Times New Roman" w:hAnsi="Times New Roman"/>
        </w:rPr>
      </w:pPr>
      <w:r w:rsidRPr="006D55C6">
        <w:rPr>
          <w:rFonts w:ascii="Times New Roman" w:hAnsi="Times New Roman"/>
        </w:rPr>
        <w:t>(c)</w:t>
      </w:r>
    </w:p>
    <w:p w14:paraId="0DA4211F" w14:textId="719C6543" w:rsidR="00D1461E" w:rsidRDefault="00D1461E" w:rsidP="00D1461E">
      <w:pPr>
        <w:pStyle w:val="FigureCaption"/>
      </w:pPr>
      <w:r w:rsidRPr="00CC3D0B">
        <w:rPr>
          <w:b/>
          <w:bCs/>
        </w:rPr>
        <w:t>Figure 1.</w:t>
      </w:r>
      <w:r w:rsidRPr="006D55C6">
        <w:t xml:space="preserve"> </w:t>
      </w:r>
      <w:r>
        <w:t>S</w:t>
      </w:r>
      <w:r w:rsidRPr="007675C9">
        <w:t xml:space="preserve">torey stiffness </w:t>
      </w:r>
      <w:r>
        <w:t xml:space="preserve">of building with </w:t>
      </w:r>
      <w:r w:rsidRPr="006D55C6">
        <w:t>(a) 3-storey, (b) 6-storey, dan (c) 9 storey</w:t>
      </w:r>
    </w:p>
    <w:p w14:paraId="6016FABF" w14:textId="77777777" w:rsidR="00FA64C3" w:rsidRDefault="00FA64C3" w:rsidP="00FA64C3">
      <w:pPr>
        <w:pStyle w:val="BodytextIndented"/>
      </w:pPr>
      <w:r w:rsidRPr="00F77691">
        <w:t xml:space="preserve">The </w:t>
      </w:r>
      <w:r>
        <w:t>less</w:t>
      </w:r>
      <w:r w:rsidRPr="00F77691">
        <w:t xml:space="preserve"> increase in </w:t>
      </w:r>
      <w:proofErr w:type="spellStart"/>
      <w:r>
        <w:t>storey</w:t>
      </w:r>
      <w:proofErr w:type="spellEnd"/>
      <w:r w:rsidRPr="00F77691">
        <w:t xml:space="preserve"> stiffness at the lower level is due to the dominance of</w:t>
      </w:r>
      <w:r>
        <w:t xml:space="preserve"> </w:t>
      </w:r>
      <w:proofErr w:type="spellStart"/>
      <w:r>
        <w:t>behaviour</w:t>
      </w:r>
      <w:proofErr w:type="spellEnd"/>
      <w:r>
        <w:t xml:space="preserve"> of structures in general which </w:t>
      </w:r>
      <w:r w:rsidRPr="00F77691">
        <w:t xml:space="preserve">the stiffness will increase due to the influence of the restraint </w:t>
      </w:r>
      <w:r>
        <w:t>provided</w:t>
      </w:r>
      <w:r w:rsidRPr="00F77691">
        <w:t xml:space="preserve"> by column</w:t>
      </w:r>
      <w:r>
        <w:t>s</w:t>
      </w:r>
      <w:r w:rsidRPr="00F77691">
        <w:t xml:space="preserve"> as </w:t>
      </w:r>
      <w:r>
        <w:t xml:space="preserve">axial resisting elements </w:t>
      </w:r>
      <w:r>
        <w:fldChar w:fldCharType="begin"/>
      </w:r>
      <w:r>
        <w:instrText xml:space="preserve"> ADDIN ZOTERO_ITEM CSL_CITATION {"citationID":"bf4VVPrX","properties":{"formattedCitation":"[13]","plainCitation":"[13]","noteIndex":0},"citationItems":[{"id":41,"uris":["http://zotero.org/users/6762436/items/RZVVVYIA"],"uri":["http://zotero.org/users/6762436/items/RZVVVYIA"],"itemData":{"id":41,"type":"article-journal","abstract":"During an earthquake, high-rise buildings attempt to dissipate energy by generating swaying motion, which causes inevitable building damage. The dampers or passive energy dissipation devices can significantly diminish the energy emitted by earthquakes and reduce building damage accordingly. Especially for high-rise building structures constructed in an earthquake-prone area, it is necessary to install a sufficient number of dampers to reduce the building response. The passive energy dissipation devices present such an optimal performance depends on their locations in the building structures. Therefore, the objective of this paper is to observe an optimal placement configuration of passive energy devices lest excessive installment of the devices. The proposed approach is performance-based optimizations, which seismic performance of buildings considered is story drift of the building. This study focuses on optimizing fluid viscous dampers (FVD) placement incorporated into three-dimensional (3D) regular RC building structure. The result shows that fluid viscous dampers (FVD) when incorporated into three-dimensional of regular RC building structures can modify the performance of the building to fulfill the code standard of allowable drift ratio. It will be then suggested to be prevention acts to improve the performance of high-rise buildings under earthquakes excitation. Hence, the protection of the occupants therein can be accomplished.","container-title":"IOP Conference Series: Materials Science and Engineering","DOI":"10.1088/1757-899X/669/1/012056","ISSN":"1757-899X","journalAbbreviation":"IOP Conf. Ser.: Mater. Sci. Eng.","language":"en","page":"012056","source":"DOI.org (Crossref)","title":"The optimal damper placement configuration for three-dimensional RC building","volume":"669","author":[{"family":"Sulaksitaningrum","given":"R"},{"family":"Umniati","given":"B S"},{"family":"Ellsa Sarassantika","given":"I P"},{"family":"Casita","given":"C B"},{"family":"Pratama","given":"M M A"},{"family":"Santoso","given":"E"},{"family":"Sulton","given":"M"}],"issued":{"date-parts":[["2019",11,21]]}}}],"schema":"https://github.com/citation-style-language/schema/raw/master/csl-citation.json"} </w:instrText>
      </w:r>
      <w:r>
        <w:fldChar w:fldCharType="separate"/>
      </w:r>
      <w:r w:rsidRPr="00646999">
        <w:rPr>
          <w:rFonts w:cs="Times"/>
        </w:rPr>
        <w:t>[13]</w:t>
      </w:r>
      <w:r>
        <w:fldChar w:fldCharType="end"/>
      </w:r>
      <w:r w:rsidRPr="00F77691">
        <w:t>. The presence of axial load</w:t>
      </w:r>
      <w:r>
        <w:t xml:space="preserve"> in compression</w:t>
      </w:r>
      <w:r w:rsidRPr="00F77691">
        <w:t xml:space="preserve"> </w:t>
      </w:r>
      <w:r>
        <w:t>working at columns resulted from</w:t>
      </w:r>
      <w:r w:rsidRPr="00F77691">
        <w:t xml:space="preserve"> the </w:t>
      </w:r>
      <w:r>
        <w:t xml:space="preserve">designed </w:t>
      </w:r>
      <w:r w:rsidRPr="00F77691">
        <w:t>weight of the building</w:t>
      </w:r>
      <w:r>
        <w:t>,</w:t>
      </w:r>
      <w:r w:rsidRPr="00F77691">
        <w:t xml:space="preserve"> and </w:t>
      </w:r>
      <w:r>
        <w:t xml:space="preserve">it </w:t>
      </w:r>
      <w:r w:rsidRPr="00F77691">
        <w:t xml:space="preserve">accumulates at </w:t>
      </w:r>
      <w:r>
        <w:t xml:space="preserve">the lower </w:t>
      </w:r>
      <w:proofErr w:type="spellStart"/>
      <w:r>
        <w:t>storey</w:t>
      </w:r>
      <w:proofErr w:type="spellEnd"/>
      <w:r w:rsidRPr="00F77691">
        <w:t xml:space="preserve"> creating a rigid floor </w:t>
      </w:r>
      <w:r>
        <w:t xml:space="preserve">effect </w:t>
      </w:r>
      <w:r w:rsidRPr="00F77691">
        <w:t xml:space="preserve">at the </w:t>
      </w:r>
      <w:r>
        <w:t>building base</w:t>
      </w:r>
      <w:r w:rsidRPr="00F77691">
        <w:t xml:space="preserve">. </w:t>
      </w:r>
      <w:r>
        <w:t>This evidence is reflected in</w:t>
      </w:r>
      <w:r w:rsidRPr="00F77691">
        <w:t xml:space="preserve"> the </w:t>
      </w:r>
      <w:r>
        <w:t>graph</w:t>
      </w:r>
      <w:r w:rsidRPr="00F77691">
        <w:t xml:space="preserve"> </w:t>
      </w:r>
      <w:r>
        <w:t xml:space="preserve">plotting </w:t>
      </w:r>
      <w:r w:rsidRPr="00F77691">
        <w:t xml:space="preserve">the </w:t>
      </w:r>
      <w:proofErr w:type="spellStart"/>
      <w:r>
        <w:t>storey</w:t>
      </w:r>
      <w:proofErr w:type="spellEnd"/>
      <w:r>
        <w:t xml:space="preserve"> levels </w:t>
      </w:r>
      <w:r w:rsidRPr="00F77691">
        <w:t>to the resulting floor stiffness (</w:t>
      </w:r>
      <w:r>
        <w:t>F</w:t>
      </w:r>
      <w:r w:rsidRPr="00F77691">
        <w:t xml:space="preserve">igure </w:t>
      </w:r>
      <w:r>
        <w:t>1</w:t>
      </w:r>
      <w:r w:rsidRPr="00F77691">
        <w:t xml:space="preserve">). Figure </w:t>
      </w:r>
      <w:r>
        <w:t>1</w:t>
      </w:r>
      <w:r w:rsidRPr="00F77691">
        <w:t xml:space="preserve"> shows that the </w:t>
      </w:r>
      <w:r>
        <w:t>lower</w:t>
      </w:r>
      <w:r w:rsidRPr="00F77691">
        <w:t xml:space="preserve"> the </w:t>
      </w:r>
      <w:proofErr w:type="spellStart"/>
      <w:r>
        <w:t>storey</w:t>
      </w:r>
      <w:proofErr w:type="spellEnd"/>
      <w:r>
        <w:t xml:space="preserve"> level</w:t>
      </w:r>
      <w:r w:rsidRPr="00F77691">
        <w:t xml:space="preserve">, the greater the </w:t>
      </w:r>
      <w:proofErr w:type="spellStart"/>
      <w:r>
        <w:t>storey</w:t>
      </w:r>
      <w:proofErr w:type="spellEnd"/>
      <w:r w:rsidRPr="00F77691">
        <w:t xml:space="preserve"> stiffness.</w:t>
      </w:r>
      <w:r>
        <w:t xml:space="preserve"> The value of </w:t>
      </w:r>
      <w:proofErr w:type="spellStart"/>
      <w:r>
        <w:t>storey</w:t>
      </w:r>
      <w:proofErr w:type="spellEnd"/>
      <w:r>
        <w:t xml:space="preserve"> stiffness at the base will significantly increase with the increase of </w:t>
      </w:r>
      <w:proofErr w:type="spellStart"/>
      <w:r>
        <w:t>storey</w:t>
      </w:r>
      <w:proofErr w:type="spellEnd"/>
      <w:r>
        <w:t xml:space="preserve"> level in a building. The increase of </w:t>
      </w:r>
      <w:proofErr w:type="spellStart"/>
      <w:r>
        <w:t>storey</w:t>
      </w:r>
      <w:proofErr w:type="spellEnd"/>
      <w:r>
        <w:t xml:space="preserve"> stiffness at the 1</w:t>
      </w:r>
      <w:r w:rsidRPr="00702D8B">
        <w:rPr>
          <w:vertAlign w:val="superscript"/>
        </w:rPr>
        <w:t>st</w:t>
      </w:r>
      <w:r>
        <w:t xml:space="preserve"> </w:t>
      </w:r>
      <w:proofErr w:type="spellStart"/>
      <w:r>
        <w:t>storey</w:t>
      </w:r>
      <w:proofErr w:type="spellEnd"/>
      <w:r>
        <w:t xml:space="preserve"> approaches up to 10 times compared to the 2</w:t>
      </w:r>
      <w:r w:rsidRPr="00702D8B">
        <w:rPr>
          <w:vertAlign w:val="superscript"/>
        </w:rPr>
        <w:t>nd</w:t>
      </w:r>
      <w:r>
        <w:t xml:space="preserve"> level in the 9-storey building model. T</w:t>
      </w:r>
      <w:r w:rsidRPr="00F77691">
        <w:t xml:space="preserve">he application of </w:t>
      </w:r>
      <w:r>
        <w:t xml:space="preserve">graded </w:t>
      </w:r>
      <w:r w:rsidRPr="00F77691">
        <w:t xml:space="preserve">concrete as building materials in </w:t>
      </w:r>
      <w:r>
        <w:t>multi-</w:t>
      </w:r>
      <w:proofErr w:type="spellStart"/>
      <w:r>
        <w:t>storey</w:t>
      </w:r>
      <w:proofErr w:type="spellEnd"/>
      <w:r w:rsidRPr="00F77691">
        <w:t xml:space="preserve"> buildings can be applied in </w:t>
      </w:r>
      <w:proofErr w:type="spellStart"/>
      <w:r>
        <w:t>storey</w:t>
      </w:r>
      <w:proofErr w:type="spellEnd"/>
      <w:r>
        <w:t xml:space="preserve"> level above </w:t>
      </w:r>
      <w:r w:rsidRPr="00F77691">
        <w:t>the 1st floor so that the factors</w:t>
      </w:r>
      <w:r>
        <w:t xml:space="preserve"> of material characteristics</w:t>
      </w:r>
      <w:r w:rsidRPr="00F77691">
        <w:t xml:space="preserve"> </w:t>
      </w:r>
      <w:r>
        <w:t xml:space="preserve">will </w:t>
      </w:r>
      <w:r w:rsidRPr="00F77691">
        <w:t xml:space="preserve">dominate rather than the </w:t>
      </w:r>
      <w:proofErr w:type="spellStart"/>
      <w:r w:rsidRPr="00F77691">
        <w:t>behavio</w:t>
      </w:r>
      <w:r>
        <w:t>u</w:t>
      </w:r>
      <w:r w:rsidRPr="00F77691">
        <w:t>r</w:t>
      </w:r>
      <w:proofErr w:type="spellEnd"/>
      <w:r w:rsidRPr="00F77691">
        <w:t xml:space="preserve"> of the structures to create efficient construction.</w:t>
      </w:r>
      <w:r>
        <w:t xml:space="preserve"> The value comparison of </w:t>
      </w:r>
      <w:proofErr w:type="spellStart"/>
      <w:r>
        <w:t>storey</w:t>
      </w:r>
      <w:proofErr w:type="spellEnd"/>
      <w:r>
        <w:t xml:space="preserve"> stiffness of each building is shown in Figure 1.</w:t>
      </w:r>
    </w:p>
    <w:p w14:paraId="11353299" w14:textId="77777777" w:rsidR="00D1461E" w:rsidRPr="001B63AD" w:rsidRDefault="00D1461E" w:rsidP="00692739">
      <w:pPr>
        <w:pStyle w:val="Heading2"/>
      </w:pPr>
      <w:r w:rsidRPr="001B63AD">
        <w:t xml:space="preserve">Story </w:t>
      </w:r>
      <w:r>
        <w:t>d</w:t>
      </w:r>
      <w:r w:rsidRPr="001B63AD">
        <w:t>isplacement</w:t>
      </w:r>
    </w:p>
    <w:p w14:paraId="40E2CF7B" w14:textId="59FD93A2" w:rsidR="00D1461E" w:rsidRDefault="00D1461E" w:rsidP="00D1461E">
      <w:pPr>
        <w:pStyle w:val="Bodytext"/>
      </w:pPr>
      <w:r w:rsidRPr="001B63AD">
        <w:t xml:space="preserve">Table </w:t>
      </w:r>
      <w:r>
        <w:t>8</w:t>
      </w:r>
      <w:r w:rsidRPr="001B63AD">
        <w:t xml:space="preserve"> and </w:t>
      </w:r>
      <w:r>
        <w:t>F</w:t>
      </w:r>
      <w:r w:rsidRPr="001B63AD">
        <w:t xml:space="preserve">igure </w:t>
      </w:r>
      <w:r>
        <w:t>2</w:t>
      </w:r>
      <w:r w:rsidRPr="001B63AD">
        <w:t xml:space="preserve"> show the storey displacement </w:t>
      </w:r>
      <w:r>
        <w:t>occurring in</w:t>
      </w:r>
      <w:r w:rsidRPr="001B63AD">
        <w:t xml:space="preserve"> each building model, both the </w:t>
      </w:r>
      <w:r>
        <w:t>graded concrete and the of normal concrete</w:t>
      </w:r>
      <w:r w:rsidRPr="001B63AD">
        <w:t>. The results of the analysis show that the use of grad</w:t>
      </w:r>
      <w:r>
        <w:t xml:space="preserve">ed </w:t>
      </w:r>
      <w:r w:rsidRPr="001B63AD">
        <w:t xml:space="preserve">concrete can reduce the </w:t>
      </w:r>
      <w:r>
        <w:t>value</w:t>
      </w:r>
      <w:r w:rsidRPr="001B63AD">
        <w:t xml:space="preserve"> of </w:t>
      </w:r>
      <w:r>
        <w:t>sway</w:t>
      </w:r>
      <w:r w:rsidRPr="001B63AD">
        <w:t xml:space="preserve"> in each model. The reduction </w:t>
      </w:r>
      <w:r>
        <w:t xml:space="preserve">of </w:t>
      </w:r>
      <w:r w:rsidRPr="001B63AD">
        <w:t xml:space="preserve">the </w:t>
      </w:r>
      <w:r>
        <w:t>sway</w:t>
      </w:r>
      <w:r w:rsidRPr="001B63AD">
        <w:t xml:space="preserve"> gradually increases on the upper floor of the building</w:t>
      </w:r>
      <w:r w:rsidR="00CC3D0B">
        <w:t xml:space="preserve"> </w:t>
      </w:r>
      <w:r w:rsidR="00CC3D0B">
        <w:fldChar w:fldCharType="begin"/>
      </w:r>
      <w:r w:rsidR="00CC3D0B">
        <w:instrText xml:space="preserve"> ADDIN ZOTERO_ITEM CSL_CITATION {"citationID":"jKM3fZll","properties":{"formattedCitation":"[14]","plainCitation":"[14]","noteIndex":0},"citationItems":[{"id":58,"uris":["http://zotero.org/users/6762436/items/8TKEM3UK"],"uri":["http://zotero.org/users/6762436/items/8TKEM3UK"],"itemData":{"id":58,"type":"article-journal","abstract":"On 25 April 2015, a strong earthquake of magnitude 7.8 struck central Nepal including the capital city, Kathmandu. Several powerful aftershocks of magnitude 6.7, 6.9 and 7.3 together with hundreds of aftershocks of local magnitude greater than 4 hit the same area until May 2015. This earthquake sequence resulted in considerable damage to the reinforced concrete buildings apart from brick and stone masonry constructions. High-rise buildings in Nepal are mainly conﬁned in Kathmandu valley and their performance was found to be in the life safety to collapse prevention level during the Gorkha earthquake sequence. In this paper, seismic performance assessment of a reinforced concrete apartment building with brick inﬁll masonry walls that sustained life safety performance level is presented. Rapid visual assessment performed after the 12 May aftershock (MW 7.3) highlighted the need for detailed assessment, thus, we carried out nonlinear time history analysis using the recorded accelerograms. The building was ﬁrst simulated for the recorded acceleration time history (PGA = 0.16 g) and the PGA was scaled up to 0.36 g to assess the behaviour of building in the case of the maximum considered earthquake occurrence. The sum of results and observations highlighted that the building sustained minor damage due to low PGA occurrence during the Gorkha earthquake and considerable damage would have occurred in the case of 0.36 g PGA.","container-title":"Buildings","DOI":"10.3390/buildings9020036","ISSN":"2075-5309","issue":"2","journalAbbreviation":"Buildings","language":"en","page":"36","source":"DOI.org (Crossref)","title":"Seismic Performance of High-Rise Condominium Building during the 2015 Gorkha Earthquake Sequence","volume":"9","author":[{"family":"Malla","given":"Suraj"},{"family":"Karanjit","given":"Sudip"},{"family":"Dangol","given":"Purushottam"},{"family":"Gautam","given":"Dipendra"}],"issued":{"date-parts":[["2019",1,30]]}}}],"schema":"https://github.com/citation-style-language/schema/raw/master/csl-citation.json"} </w:instrText>
      </w:r>
      <w:r w:rsidR="00CC3D0B">
        <w:fldChar w:fldCharType="separate"/>
      </w:r>
      <w:r w:rsidR="00CC3D0B" w:rsidRPr="00CC3D0B">
        <w:rPr>
          <w:rFonts w:cs="Times"/>
        </w:rPr>
        <w:t>[14]</w:t>
      </w:r>
      <w:r w:rsidR="00CC3D0B">
        <w:fldChar w:fldCharType="end"/>
      </w:r>
      <w:r w:rsidRPr="001B63AD">
        <w:t>. This is related to the additional stiffness contributed by the graded concrete material in the beam</w:t>
      </w:r>
      <w:r>
        <w:t>s</w:t>
      </w:r>
      <w:r w:rsidRPr="001B63AD">
        <w:t xml:space="preserve"> against the </w:t>
      </w:r>
      <w:r>
        <w:t>slabs</w:t>
      </w:r>
      <w:r w:rsidRPr="001B63AD">
        <w:t xml:space="preserve">. </w:t>
      </w:r>
      <w:r>
        <w:t>It</w:t>
      </w:r>
      <w:r w:rsidRPr="001B63AD">
        <w:t xml:space="preserve"> has the same analogy with the discussion regarding storey stiffness in which the higher the floor elevation, the effect of structural behaviour does not dominate when compared to the lower level</w:t>
      </w:r>
      <w:r>
        <w:t>s</w:t>
      </w:r>
      <w:r w:rsidRPr="001B63AD">
        <w:t>. The effect of the use of grad</w:t>
      </w:r>
      <w:r>
        <w:t>ed</w:t>
      </w:r>
      <w:r w:rsidRPr="001B63AD">
        <w:t xml:space="preserve"> concrete to reduce the value of storey displacement shows an insignificant trend in high-rise buildings. In </w:t>
      </w:r>
      <w:r w:rsidR="0074453D">
        <w:t xml:space="preserve">the </w:t>
      </w:r>
      <w:r w:rsidRPr="001B63AD">
        <w:t>analysis</w:t>
      </w:r>
      <w:r>
        <w:t>, the value of story displacement relies on</w:t>
      </w:r>
      <w:r w:rsidRPr="001B63AD">
        <w:t xml:space="preserve"> the compressive strength of concrete than the modulus of elasticity of the material. Considering that grad</w:t>
      </w:r>
      <w:r>
        <w:t>ed</w:t>
      </w:r>
      <w:r w:rsidRPr="001B63AD">
        <w:t xml:space="preserve"> concrete has</w:t>
      </w:r>
      <w:r>
        <w:t xml:space="preserve"> the similar value of resulting</w:t>
      </w:r>
      <w:r w:rsidRPr="001B63AD">
        <w:t xml:space="preserve"> compressive strength as</w:t>
      </w:r>
      <w:r>
        <w:t xml:space="preserve"> the</w:t>
      </w:r>
      <w:r w:rsidRPr="001B63AD">
        <w:t xml:space="preserve"> low</w:t>
      </w:r>
      <w:r>
        <w:t>-strength</w:t>
      </w:r>
      <w:r w:rsidRPr="001B63AD">
        <w:t xml:space="preserve"> concrete, the value of storey displacement is not much different when compared to building models that use low quality, especially in high-rise buildings. </w:t>
      </w:r>
      <w:r>
        <w:t>The storey displacement of each building is shown in Table 8.</w:t>
      </w:r>
    </w:p>
    <w:p w14:paraId="6B5C8050" w14:textId="77777777" w:rsidR="00D1461E" w:rsidRPr="006D55C6" w:rsidRDefault="00D1461E" w:rsidP="00192922">
      <w:pPr>
        <w:pStyle w:val="FigureCaption"/>
      </w:pPr>
      <w:r w:rsidRPr="00CC3D0B">
        <w:rPr>
          <w:b/>
          <w:bCs/>
        </w:rPr>
        <w:t>Table 8.</w:t>
      </w:r>
      <w:r>
        <w:t xml:space="preserve"> </w:t>
      </w:r>
      <w:r w:rsidRPr="006D55C6">
        <w:t xml:space="preserve">Storey </w:t>
      </w:r>
      <w:r>
        <w:t>d</w:t>
      </w:r>
      <w:r w:rsidRPr="006D55C6">
        <w:t>isplacement</w:t>
      </w:r>
    </w:p>
    <w:tbl>
      <w:tblPr>
        <w:tblW w:w="8952" w:type="dxa"/>
        <w:tblLook w:val="04A0" w:firstRow="1" w:lastRow="0" w:firstColumn="1" w:lastColumn="0" w:noHBand="0" w:noVBand="1"/>
      </w:tblPr>
      <w:tblGrid>
        <w:gridCol w:w="993"/>
        <w:gridCol w:w="703"/>
        <w:gridCol w:w="856"/>
        <w:gridCol w:w="703"/>
        <w:gridCol w:w="983"/>
        <w:gridCol w:w="983"/>
        <w:gridCol w:w="974"/>
        <w:gridCol w:w="9"/>
        <w:gridCol w:w="887"/>
        <w:gridCol w:w="1106"/>
        <w:gridCol w:w="755"/>
      </w:tblGrid>
      <w:tr w:rsidR="00D1461E" w:rsidRPr="00D1461E" w14:paraId="2C9B83CB" w14:textId="77777777" w:rsidTr="00D1461E">
        <w:trPr>
          <w:trHeight w:val="288"/>
        </w:trPr>
        <w:tc>
          <w:tcPr>
            <w:tcW w:w="993" w:type="dxa"/>
            <w:vMerge w:val="restart"/>
            <w:tcBorders>
              <w:top w:val="single" w:sz="4" w:space="0" w:color="auto"/>
              <w:bottom w:val="single" w:sz="4" w:space="0" w:color="auto"/>
            </w:tcBorders>
            <w:shd w:val="clear" w:color="auto" w:fill="auto"/>
            <w:noWrap/>
            <w:vAlign w:val="center"/>
            <w:hideMark/>
          </w:tcPr>
          <w:p w14:paraId="56B36AE8"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Elevation (m)</w:t>
            </w:r>
          </w:p>
        </w:tc>
        <w:tc>
          <w:tcPr>
            <w:tcW w:w="7959" w:type="dxa"/>
            <w:gridSpan w:val="10"/>
            <w:tcBorders>
              <w:top w:val="single" w:sz="4" w:space="0" w:color="auto"/>
              <w:bottom w:val="single" w:sz="4" w:space="0" w:color="auto"/>
            </w:tcBorders>
            <w:shd w:val="clear" w:color="auto" w:fill="auto"/>
            <w:noWrap/>
            <w:vAlign w:val="bottom"/>
            <w:hideMark/>
          </w:tcPr>
          <w:p w14:paraId="3C192B36"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Storey Displacement (mm)</w:t>
            </w:r>
          </w:p>
        </w:tc>
      </w:tr>
      <w:tr w:rsidR="00D1461E" w:rsidRPr="00D1461E" w14:paraId="007D5202" w14:textId="77777777" w:rsidTr="00D1461E">
        <w:trPr>
          <w:trHeight w:val="288"/>
        </w:trPr>
        <w:tc>
          <w:tcPr>
            <w:tcW w:w="993" w:type="dxa"/>
            <w:vMerge/>
            <w:tcBorders>
              <w:top w:val="single" w:sz="4" w:space="0" w:color="auto"/>
              <w:bottom w:val="single" w:sz="4" w:space="0" w:color="auto"/>
            </w:tcBorders>
            <w:vAlign w:val="center"/>
            <w:hideMark/>
          </w:tcPr>
          <w:p w14:paraId="651BE008" w14:textId="77777777" w:rsidR="00D1461E" w:rsidRPr="00D1461E" w:rsidRDefault="00D1461E" w:rsidP="00192922">
            <w:pPr>
              <w:rPr>
                <w:rFonts w:ascii="Times New Roman" w:hAnsi="Times New Roman"/>
                <w:color w:val="000000"/>
                <w:sz w:val="20"/>
                <w:lang w:eastAsia="id-ID"/>
              </w:rPr>
            </w:pPr>
          </w:p>
        </w:tc>
        <w:tc>
          <w:tcPr>
            <w:tcW w:w="2262" w:type="dxa"/>
            <w:gridSpan w:val="3"/>
            <w:tcBorders>
              <w:top w:val="single" w:sz="4" w:space="0" w:color="auto"/>
              <w:bottom w:val="single" w:sz="4" w:space="0" w:color="auto"/>
            </w:tcBorders>
            <w:shd w:val="clear" w:color="auto" w:fill="auto"/>
            <w:noWrap/>
            <w:vAlign w:val="center"/>
            <w:hideMark/>
          </w:tcPr>
          <w:p w14:paraId="796E7236"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3-storeys</w:t>
            </w:r>
          </w:p>
        </w:tc>
        <w:tc>
          <w:tcPr>
            <w:tcW w:w="2940" w:type="dxa"/>
            <w:gridSpan w:val="3"/>
            <w:tcBorders>
              <w:top w:val="single" w:sz="4" w:space="0" w:color="auto"/>
              <w:bottom w:val="single" w:sz="4" w:space="0" w:color="auto"/>
            </w:tcBorders>
            <w:shd w:val="clear" w:color="auto" w:fill="auto"/>
            <w:noWrap/>
            <w:vAlign w:val="center"/>
            <w:hideMark/>
          </w:tcPr>
          <w:p w14:paraId="1D20839F"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6-storeys</w:t>
            </w:r>
          </w:p>
        </w:tc>
        <w:tc>
          <w:tcPr>
            <w:tcW w:w="2757" w:type="dxa"/>
            <w:gridSpan w:val="4"/>
            <w:tcBorders>
              <w:top w:val="single" w:sz="4" w:space="0" w:color="auto"/>
              <w:bottom w:val="single" w:sz="4" w:space="0" w:color="auto"/>
            </w:tcBorders>
            <w:shd w:val="clear" w:color="auto" w:fill="auto"/>
            <w:noWrap/>
            <w:vAlign w:val="center"/>
            <w:hideMark/>
          </w:tcPr>
          <w:p w14:paraId="036623F0"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9-storeys</w:t>
            </w:r>
          </w:p>
        </w:tc>
      </w:tr>
      <w:tr w:rsidR="00D1461E" w:rsidRPr="00D1461E" w14:paraId="6C9A627E" w14:textId="77777777" w:rsidTr="00692739">
        <w:trPr>
          <w:trHeight w:val="288"/>
        </w:trPr>
        <w:tc>
          <w:tcPr>
            <w:tcW w:w="993" w:type="dxa"/>
            <w:vMerge/>
            <w:tcBorders>
              <w:top w:val="single" w:sz="4" w:space="0" w:color="auto"/>
              <w:bottom w:val="single" w:sz="4" w:space="0" w:color="auto"/>
            </w:tcBorders>
            <w:vAlign w:val="center"/>
            <w:hideMark/>
          </w:tcPr>
          <w:p w14:paraId="62BFC375" w14:textId="77777777" w:rsidR="00D1461E" w:rsidRPr="00D1461E" w:rsidRDefault="00D1461E" w:rsidP="00192922">
            <w:pPr>
              <w:rPr>
                <w:rFonts w:ascii="Times New Roman" w:hAnsi="Times New Roman"/>
                <w:color w:val="000000"/>
                <w:sz w:val="20"/>
                <w:lang w:eastAsia="id-ID"/>
              </w:rPr>
            </w:pPr>
          </w:p>
        </w:tc>
        <w:tc>
          <w:tcPr>
            <w:tcW w:w="703" w:type="dxa"/>
            <w:tcBorders>
              <w:top w:val="nil"/>
              <w:bottom w:val="single" w:sz="4" w:space="0" w:color="auto"/>
            </w:tcBorders>
            <w:shd w:val="clear" w:color="auto" w:fill="auto"/>
            <w:noWrap/>
            <w:vAlign w:val="center"/>
            <w:hideMark/>
          </w:tcPr>
          <w:p w14:paraId="71BA4A33"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U30</w:t>
            </w:r>
          </w:p>
        </w:tc>
        <w:tc>
          <w:tcPr>
            <w:tcW w:w="856" w:type="dxa"/>
            <w:tcBorders>
              <w:top w:val="nil"/>
              <w:bottom w:val="single" w:sz="4" w:space="0" w:color="auto"/>
            </w:tcBorders>
            <w:shd w:val="clear" w:color="000000" w:fill="E7E6E6"/>
            <w:noWrap/>
            <w:vAlign w:val="center"/>
            <w:hideMark/>
          </w:tcPr>
          <w:p w14:paraId="12BD8502"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U30/50</w:t>
            </w:r>
          </w:p>
        </w:tc>
        <w:tc>
          <w:tcPr>
            <w:tcW w:w="702" w:type="dxa"/>
            <w:tcBorders>
              <w:top w:val="nil"/>
              <w:bottom w:val="single" w:sz="4" w:space="0" w:color="auto"/>
            </w:tcBorders>
            <w:shd w:val="clear" w:color="auto" w:fill="auto"/>
            <w:noWrap/>
            <w:vAlign w:val="center"/>
            <w:hideMark/>
          </w:tcPr>
          <w:p w14:paraId="0BA46895"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U50</w:t>
            </w:r>
          </w:p>
        </w:tc>
        <w:tc>
          <w:tcPr>
            <w:tcW w:w="983" w:type="dxa"/>
            <w:tcBorders>
              <w:top w:val="nil"/>
              <w:bottom w:val="single" w:sz="4" w:space="0" w:color="auto"/>
            </w:tcBorders>
            <w:shd w:val="clear" w:color="auto" w:fill="auto"/>
            <w:noWrap/>
            <w:vAlign w:val="center"/>
            <w:hideMark/>
          </w:tcPr>
          <w:p w14:paraId="3D4CE137"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U30</w:t>
            </w:r>
          </w:p>
        </w:tc>
        <w:tc>
          <w:tcPr>
            <w:tcW w:w="983" w:type="dxa"/>
            <w:tcBorders>
              <w:top w:val="nil"/>
              <w:bottom w:val="single" w:sz="4" w:space="0" w:color="auto"/>
            </w:tcBorders>
            <w:shd w:val="clear" w:color="000000" w:fill="E7E6E6"/>
            <w:noWrap/>
            <w:vAlign w:val="center"/>
            <w:hideMark/>
          </w:tcPr>
          <w:p w14:paraId="4968C097"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U30/50</w:t>
            </w:r>
          </w:p>
        </w:tc>
        <w:tc>
          <w:tcPr>
            <w:tcW w:w="983" w:type="dxa"/>
            <w:gridSpan w:val="2"/>
            <w:tcBorders>
              <w:top w:val="nil"/>
              <w:bottom w:val="single" w:sz="4" w:space="0" w:color="auto"/>
            </w:tcBorders>
            <w:shd w:val="clear" w:color="auto" w:fill="auto"/>
            <w:noWrap/>
            <w:vAlign w:val="center"/>
            <w:hideMark/>
          </w:tcPr>
          <w:p w14:paraId="52B130E1"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U50</w:t>
            </w:r>
          </w:p>
        </w:tc>
        <w:tc>
          <w:tcPr>
            <w:tcW w:w="887" w:type="dxa"/>
            <w:tcBorders>
              <w:top w:val="nil"/>
              <w:bottom w:val="single" w:sz="4" w:space="0" w:color="auto"/>
            </w:tcBorders>
            <w:shd w:val="clear" w:color="auto" w:fill="auto"/>
            <w:noWrap/>
            <w:vAlign w:val="center"/>
            <w:hideMark/>
          </w:tcPr>
          <w:p w14:paraId="72AD0146"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U30</w:t>
            </w:r>
          </w:p>
        </w:tc>
        <w:tc>
          <w:tcPr>
            <w:tcW w:w="1106" w:type="dxa"/>
            <w:tcBorders>
              <w:top w:val="nil"/>
              <w:bottom w:val="single" w:sz="4" w:space="0" w:color="auto"/>
            </w:tcBorders>
            <w:shd w:val="clear" w:color="000000" w:fill="E7E6E6"/>
            <w:noWrap/>
            <w:vAlign w:val="center"/>
            <w:hideMark/>
          </w:tcPr>
          <w:p w14:paraId="7216DCF4"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U30/50</w:t>
            </w:r>
          </w:p>
        </w:tc>
        <w:tc>
          <w:tcPr>
            <w:tcW w:w="755" w:type="dxa"/>
            <w:tcBorders>
              <w:top w:val="nil"/>
              <w:bottom w:val="single" w:sz="4" w:space="0" w:color="auto"/>
            </w:tcBorders>
            <w:shd w:val="clear" w:color="auto" w:fill="auto"/>
            <w:noWrap/>
            <w:vAlign w:val="center"/>
            <w:hideMark/>
          </w:tcPr>
          <w:p w14:paraId="722766A9"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U50</w:t>
            </w:r>
          </w:p>
        </w:tc>
      </w:tr>
      <w:tr w:rsidR="00D1461E" w:rsidRPr="00D1461E" w14:paraId="1080E3E7" w14:textId="77777777" w:rsidTr="00692739">
        <w:trPr>
          <w:trHeight w:val="288"/>
        </w:trPr>
        <w:tc>
          <w:tcPr>
            <w:tcW w:w="993" w:type="dxa"/>
            <w:tcBorders>
              <w:top w:val="nil"/>
              <w:bottom w:val="nil"/>
            </w:tcBorders>
            <w:shd w:val="clear" w:color="auto" w:fill="auto"/>
            <w:noWrap/>
            <w:vAlign w:val="center"/>
            <w:hideMark/>
          </w:tcPr>
          <w:p w14:paraId="79C17AC6"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+29.2</w:t>
            </w:r>
          </w:p>
        </w:tc>
        <w:tc>
          <w:tcPr>
            <w:tcW w:w="703" w:type="dxa"/>
            <w:tcBorders>
              <w:top w:val="single" w:sz="4" w:space="0" w:color="auto"/>
            </w:tcBorders>
            <w:shd w:val="clear" w:color="auto" w:fill="808080" w:themeFill="background1" w:themeFillShade="80"/>
            <w:noWrap/>
            <w:vAlign w:val="bottom"/>
            <w:hideMark/>
          </w:tcPr>
          <w:p w14:paraId="0E8FF9A4"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856" w:type="dxa"/>
            <w:tcBorders>
              <w:top w:val="single" w:sz="4" w:space="0" w:color="auto"/>
            </w:tcBorders>
            <w:shd w:val="clear" w:color="auto" w:fill="808080" w:themeFill="background1" w:themeFillShade="80"/>
            <w:noWrap/>
            <w:vAlign w:val="bottom"/>
            <w:hideMark/>
          </w:tcPr>
          <w:p w14:paraId="4468B7DC"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702" w:type="dxa"/>
            <w:tcBorders>
              <w:top w:val="single" w:sz="4" w:space="0" w:color="auto"/>
            </w:tcBorders>
            <w:shd w:val="clear" w:color="auto" w:fill="808080" w:themeFill="background1" w:themeFillShade="80"/>
            <w:noWrap/>
            <w:vAlign w:val="bottom"/>
            <w:hideMark/>
          </w:tcPr>
          <w:p w14:paraId="00623E01"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tcBorders>
              <w:top w:val="single" w:sz="4" w:space="0" w:color="auto"/>
            </w:tcBorders>
            <w:shd w:val="clear" w:color="auto" w:fill="808080" w:themeFill="background1" w:themeFillShade="80"/>
            <w:noWrap/>
            <w:vAlign w:val="bottom"/>
            <w:hideMark/>
          </w:tcPr>
          <w:p w14:paraId="53F15FFD"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tcBorders>
              <w:top w:val="single" w:sz="4" w:space="0" w:color="auto"/>
            </w:tcBorders>
            <w:shd w:val="clear" w:color="auto" w:fill="808080" w:themeFill="background1" w:themeFillShade="80"/>
            <w:noWrap/>
            <w:vAlign w:val="bottom"/>
            <w:hideMark/>
          </w:tcPr>
          <w:p w14:paraId="6DFC4C85"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gridSpan w:val="2"/>
            <w:tcBorders>
              <w:top w:val="single" w:sz="4" w:space="0" w:color="auto"/>
            </w:tcBorders>
            <w:shd w:val="clear" w:color="auto" w:fill="808080" w:themeFill="background1" w:themeFillShade="80"/>
            <w:noWrap/>
            <w:vAlign w:val="bottom"/>
            <w:hideMark/>
          </w:tcPr>
          <w:p w14:paraId="031069DB"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887" w:type="dxa"/>
            <w:tcBorders>
              <w:top w:val="single" w:sz="4" w:space="0" w:color="auto"/>
            </w:tcBorders>
            <w:shd w:val="clear" w:color="auto" w:fill="auto"/>
            <w:noWrap/>
            <w:vAlign w:val="center"/>
            <w:hideMark/>
          </w:tcPr>
          <w:p w14:paraId="27B99A73"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40.19</w:t>
            </w:r>
          </w:p>
        </w:tc>
        <w:tc>
          <w:tcPr>
            <w:tcW w:w="1106" w:type="dxa"/>
            <w:tcBorders>
              <w:top w:val="single" w:sz="4" w:space="0" w:color="auto"/>
            </w:tcBorders>
            <w:shd w:val="clear" w:color="000000" w:fill="E7E6E6"/>
            <w:noWrap/>
            <w:vAlign w:val="center"/>
            <w:hideMark/>
          </w:tcPr>
          <w:p w14:paraId="166707D9"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38.50</w:t>
            </w:r>
          </w:p>
        </w:tc>
        <w:tc>
          <w:tcPr>
            <w:tcW w:w="755" w:type="dxa"/>
            <w:tcBorders>
              <w:top w:val="single" w:sz="4" w:space="0" w:color="auto"/>
            </w:tcBorders>
            <w:shd w:val="clear" w:color="auto" w:fill="auto"/>
            <w:noWrap/>
            <w:vAlign w:val="center"/>
            <w:hideMark/>
          </w:tcPr>
          <w:p w14:paraId="09A4C0B0"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32.69</w:t>
            </w:r>
          </w:p>
        </w:tc>
      </w:tr>
      <w:tr w:rsidR="00D1461E" w:rsidRPr="00D1461E" w14:paraId="6EB08178" w14:textId="77777777" w:rsidTr="00692739">
        <w:trPr>
          <w:trHeight w:val="288"/>
        </w:trPr>
        <w:tc>
          <w:tcPr>
            <w:tcW w:w="993" w:type="dxa"/>
            <w:tcBorders>
              <w:top w:val="nil"/>
              <w:bottom w:val="single" w:sz="4" w:space="0" w:color="auto"/>
            </w:tcBorders>
            <w:shd w:val="clear" w:color="auto" w:fill="auto"/>
            <w:noWrap/>
            <w:vAlign w:val="center"/>
            <w:hideMark/>
          </w:tcPr>
          <w:p w14:paraId="3BB3BEBB"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top w:val="nil"/>
            </w:tcBorders>
            <w:shd w:val="clear" w:color="auto" w:fill="808080" w:themeFill="background1" w:themeFillShade="80"/>
            <w:noWrap/>
            <w:vAlign w:val="bottom"/>
            <w:hideMark/>
          </w:tcPr>
          <w:p w14:paraId="79A8CD0B"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top w:val="nil"/>
            </w:tcBorders>
            <w:shd w:val="clear" w:color="auto" w:fill="808080" w:themeFill="background1" w:themeFillShade="80"/>
            <w:noWrap/>
            <w:vAlign w:val="bottom"/>
            <w:hideMark/>
          </w:tcPr>
          <w:p w14:paraId="5BCF1947"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702" w:type="dxa"/>
            <w:tcBorders>
              <w:top w:val="nil"/>
            </w:tcBorders>
            <w:shd w:val="clear" w:color="auto" w:fill="808080" w:themeFill="background1" w:themeFillShade="80"/>
            <w:noWrap/>
            <w:vAlign w:val="bottom"/>
            <w:hideMark/>
          </w:tcPr>
          <w:p w14:paraId="3309A36B"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top w:val="nil"/>
            </w:tcBorders>
            <w:shd w:val="clear" w:color="auto" w:fill="808080" w:themeFill="background1" w:themeFillShade="80"/>
            <w:noWrap/>
            <w:vAlign w:val="bottom"/>
            <w:hideMark/>
          </w:tcPr>
          <w:p w14:paraId="13CF058F"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top w:val="nil"/>
            </w:tcBorders>
            <w:shd w:val="clear" w:color="auto" w:fill="808080" w:themeFill="background1" w:themeFillShade="80"/>
            <w:noWrap/>
            <w:vAlign w:val="bottom"/>
            <w:hideMark/>
          </w:tcPr>
          <w:p w14:paraId="0814EF95"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gridSpan w:val="2"/>
            <w:tcBorders>
              <w:top w:val="nil"/>
            </w:tcBorders>
            <w:shd w:val="clear" w:color="auto" w:fill="808080" w:themeFill="background1" w:themeFillShade="80"/>
            <w:noWrap/>
            <w:vAlign w:val="bottom"/>
            <w:hideMark/>
          </w:tcPr>
          <w:p w14:paraId="2637D630"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4720A59C"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4A7E3806"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-4.21</w:t>
            </w:r>
          </w:p>
        </w:tc>
        <w:tc>
          <w:tcPr>
            <w:tcW w:w="755" w:type="dxa"/>
            <w:tcBorders>
              <w:bottom w:val="single" w:sz="4" w:space="0" w:color="auto"/>
            </w:tcBorders>
            <w:shd w:val="clear" w:color="auto" w:fill="auto"/>
            <w:noWrap/>
            <w:vAlign w:val="center"/>
            <w:hideMark/>
          </w:tcPr>
          <w:p w14:paraId="67381CAA"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66BAC349" w14:textId="77777777" w:rsidTr="00692739">
        <w:trPr>
          <w:trHeight w:val="288"/>
        </w:trPr>
        <w:tc>
          <w:tcPr>
            <w:tcW w:w="993" w:type="dxa"/>
            <w:tcBorders>
              <w:top w:val="nil"/>
              <w:bottom w:val="nil"/>
            </w:tcBorders>
            <w:shd w:val="clear" w:color="auto" w:fill="auto"/>
            <w:noWrap/>
            <w:vAlign w:val="center"/>
            <w:hideMark/>
          </w:tcPr>
          <w:p w14:paraId="0463BF06"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+25.7</w:t>
            </w:r>
          </w:p>
        </w:tc>
        <w:tc>
          <w:tcPr>
            <w:tcW w:w="703" w:type="dxa"/>
            <w:tcBorders>
              <w:top w:val="nil"/>
            </w:tcBorders>
            <w:shd w:val="clear" w:color="auto" w:fill="808080" w:themeFill="background1" w:themeFillShade="80"/>
            <w:noWrap/>
            <w:vAlign w:val="bottom"/>
            <w:hideMark/>
          </w:tcPr>
          <w:p w14:paraId="01A40859"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856" w:type="dxa"/>
            <w:tcBorders>
              <w:top w:val="nil"/>
            </w:tcBorders>
            <w:shd w:val="clear" w:color="auto" w:fill="808080" w:themeFill="background1" w:themeFillShade="80"/>
            <w:noWrap/>
            <w:vAlign w:val="bottom"/>
            <w:hideMark/>
          </w:tcPr>
          <w:p w14:paraId="0CE0F688"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702" w:type="dxa"/>
            <w:tcBorders>
              <w:top w:val="nil"/>
            </w:tcBorders>
            <w:shd w:val="clear" w:color="auto" w:fill="808080" w:themeFill="background1" w:themeFillShade="80"/>
            <w:noWrap/>
            <w:vAlign w:val="bottom"/>
            <w:hideMark/>
          </w:tcPr>
          <w:p w14:paraId="2D5E7BBA"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tcBorders>
              <w:top w:val="nil"/>
            </w:tcBorders>
            <w:shd w:val="clear" w:color="auto" w:fill="808080" w:themeFill="background1" w:themeFillShade="80"/>
            <w:noWrap/>
            <w:vAlign w:val="bottom"/>
            <w:hideMark/>
          </w:tcPr>
          <w:p w14:paraId="1CBD5604"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tcBorders>
              <w:top w:val="nil"/>
            </w:tcBorders>
            <w:shd w:val="clear" w:color="auto" w:fill="808080" w:themeFill="background1" w:themeFillShade="80"/>
            <w:noWrap/>
            <w:vAlign w:val="bottom"/>
            <w:hideMark/>
          </w:tcPr>
          <w:p w14:paraId="2699A591"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gridSpan w:val="2"/>
            <w:tcBorders>
              <w:top w:val="nil"/>
            </w:tcBorders>
            <w:shd w:val="clear" w:color="auto" w:fill="808080" w:themeFill="background1" w:themeFillShade="80"/>
            <w:noWrap/>
            <w:vAlign w:val="bottom"/>
            <w:hideMark/>
          </w:tcPr>
          <w:p w14:paraId="6F718028"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887" w:type="dxa"/>
            <w:tcBorders>
              <w:top w:val="single" w:sz="4" w:space="0" w:color="auto"/>
            </w:tcBorders>
            <w:shd w:val="clear" w:color="auto" w:fill="auto"/>
            <w:noWrap/>
            <w:vAlign w:val="center"/>
            <w:hideMark/>
          </w:tcPr>
          <w:p w14:paraId="704E63DF"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38.11</w:t>
            </w:r>
          </w:p>
        </w:tc>
        <w:tc>
          <w:tcPr>
            <w:tcW w:w="1106" w:type="dxa"/>
            <w:tcBorders>
              <w:top w:val="single" w:sz="4" w:space="0" w:color="auto"/>
            </w:tcBorders>
            <w:shd w:val="clear" w:color="000000" w:fill="E7E6E6"/>
            <w:noWrap/>
            <w:vAlign w:val="center"/>
            <w:hideMark/>
          </w:tcPr>
          <w:p w14:paraId="0A5A4273"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36.56</w:t>
            </w:r>
          </w:p>
        </w:tc>
        <w:tc>
          <w:tcPr>
            <w:tcW w:w="755" w:type="dxa"/>
            <w:tcBorders>
              <w:top w:val="single" w:sz="4" w:space="0" w:color="auto"/>
            </w:tcBorders>
            <w:shd w:val="clear" w:color="auto" w:fill="auto"/>
            <w:noWrap/>
            <w:vAlign w:val="center"/>
            <w:hideMark/>
          </w:tcPr>
          <w:p w14:paraId="43B3E090"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31.01</w:t>
            </w:r>
          </w:p>
        </w:tc>
      </w:tr>
      <w:tr w:rsidR="00D1461E" w:rsidRPr="00D1461E" w14:paraId="53D0152F" w14:textId="77777777" w:rsidTr="00692739">
        <w:trPr>
          <w:trHeight w:val="288"/>
        </w:trPr>
        <w:tc>
          <w:tcPr>
            <w:tcW w:w="993" w:type="dxa"/>
            <w:tcBorders>
              <w:top w:val="nil"/>
              <w:bottom w:val="single" w:sz="4" w:space="0" w:color="auto"/>
            </w:tcBorders>
            <w:shd w:val="clear" w:color="auto" w:fill="auto"/>
            <w:noWrap/>
            <w:vAlign w:val="center"/>
            <w:hideMark/>
          </w:tcPr>
          <w:p w14:paraId="25E2B298"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top w:val="nil"/>
            </w:tcBorders>
            <w:shd w:val="clear" w:color="auto" w:fill="808080" w:themeFill="background1" w:themeFillShade="80"/>
            <w:noWrap/>
            <w:vAlign w:val="bottom"/>
            <w:hideMark/>
          </w:tcPr>
          <w:p w14:paraId="04EA3A5A"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top w:val="nil"/>
            </w:tcBorders>
            <w:shd w:val="clear" w:color="auto" w:fill="808080" w:themeFill="background1" w:themeFillShade="80"/>
            <w:noWrap/>
            <w:vAlign w:val="bottom"/>
            <w:hideMark/>
          </w:tcPr>
          <w:p w14:paraId="28CD4CF6"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702" w:type="dxa"/>
            <w:tcBorders>
              <w:top w:val="nil"/>
            </w:tcBorders>
            <w:shd w:val="clear" w:color="auto" w:fill="808080" w:themeFill="background1" w:themeFillShade="80"/>
            <w:noWrap/>
            <w:vAlign w:val="bottom"/>
            <w:hideMark/>
          </w:tcPr>
          <w:p w14:paraId="670E5108"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top w:val="nil"/>
              <w:bottom w:val="single" w:sz="4" w:space="0" w:color="auto"/>
            </w:tcBorders>
            <w:shd w:val="clear" w:color="auto" w:fill="808080" w:themeFill="background1" w:themeFillShade="80"/>
            <w:noWrap/>
            <w:vAlign w:val="bottom"/>
            <w:hideMark/>
          </w:tcPr>
          <w:p w14:paraId="2B478DAE"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top w:val="nil"/>
              <w:bottom w:val="single" w:sz="4" w:space="0" w:color="auto"/>
            </w:tcBorders>
            <w:shd w:val="clear" w:color="auto" w:fill="808080" w:themeFill="background1" w:themeFillShade="80"/>
            <w:noWrap/>
            <w:vAlign w:val="bottom"/>
            <w:hideMark/>
          </w:tcPr>
          <w:p w14:paraId="731303A8"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gridSpan w:val="2"/>
            <w:tcBorders>
              <w:top w:val="nil"/>
              <w:bottom w:val="single" w:sz="4" w:space="0" w:color="auto"/>
            </w:tcBorders>
            <w:shd w:val="clear" w:color="auto" w:fill="808080" w:themeFill="background1" w:themeFillShade="80"/>
            <w:noWrap/>
            <w:vAlign w:val="bottom"/>
            <w:hideMark/>
          </w:tcPr>
          <w:p w14:paraId="3B802DC1"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3F682A5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1A2D34A8"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-4.06</w:t>
            </w:r>
          </w:p>
        </w:tc>
        <w:tc>
          <w:tcPr>
            <w:tcW w:w="755" w:type="dxa"/>
            <w:tcBorders>
              <w:bottom w:val="single" w:sz="4" w:space="0" w:color="auto"/>
            </w:tcBorders>
            <w:shd w:val="clear" w:color="auto" w:fill="auto"/>
            <w:noWrap/>
            <w:vAlign w:val="center"/>
            <w:hideMark/>
          </w:tcPr>
          <w:p w14:paraId="5349DDD5"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46C18EF7" w14:textId="77777777" w:rsidTr="00692739">
        <w:trPr>
          <w:trHeight w:val="288"/>
        </w:trPr>
        <w:tc>
          <w:tcPr>
            <w:tcW w:w="993" w:type="dxa"/>
            <w:tcBorders>
              <w:top w:val="nil"/>
              <w:bottom w:val="nil"/>
            </w:tcBorders>
            <w:shd w:val="clear" w:color="auto" w:fill="auto"/>
            <w:noWrap/>
            <w:vAlign w:val="center"/>
            <w:hideMark/>
          </w:tcPr>
          <w:p w14:paraId="70C99FFC"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+22.2</w:t>
            </w:r>
          </w:p>
        </w:tc>
        <w:tc>
          <w:tcPr>
            <w:tcW w:w="703" w:type="dxa"/>
            <w:tcBorders>
              <w:top w:val="nil"/>
            </w:tcBorders>
            <w:shd w:val="clear" w:color="auto" w:fill="808080" w:themeFill="background1" w:themeFillShade="80"/>
            <w:noWrap/>
            <w:vAlign w:val="bottom"/>
            <w:hideMark/>
          </w:tcPr>
          <w:p w14:paraId="020B86AE"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856" w:type="dxa"/>
            <w:tcBorders>
              <w:top w:val="nil"/>
            </w:tcBorders>
            <w:shd w:val="clear" w:color="auto" w:fill="808080" w:themeFill="background1" w:themeFillShade="80"/>
            <w:noWrap/>
            <w:vAlign w:val="bottom"/>
            <w:hideMark/>
          </w:tcPr>
          <w:p w14:paraId="0F3A65B4"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702" w:type="dxa"/>
            <w:tcBorders>
              <w:top w:val="nil"/>
            </w:tcBorders>
            <w:shd w:val="clear" w:color="auto" w:fill="808080" w:themeFill="background1" w:themeFillShade="80"/>
            <w:noWrap/>
            <w:vAlign w:val="bottom"/>
            <w:hideMark/>
          </w:tcPr>
          <w:p w14:paraId="4E5C6F7A"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tcBorders>
              <w:top w:val="single" w:sz="4" w:space="0" w:color="auto"/>
            </w:tcBorders>
            <w:shd w:val="clear" w:color="auto" w:fill="auto"/>
            <w:noWrap/>
            <w:vAlign w:val="center"/>
            <w:hideMark/>
          </w:tcPr>
          <w:p w14:paraId="4B2D77EE"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30.56</w:t>
            </w:r>
          </w:p>
        </w:tc>
        <w:tc>
          <w:tcPr>
            <w:tcW w:w="983" w:type="dxa"/>
            <w:tcBorders>
              <w:top w:val="single" w:sz="4" w:space="0" w:color="auto"/>
            </w:tcBorders>
            <w:shd w:val="clear" w:color="000000" w:fill="E7E6E6"/>
            <w:noWrap/>
            <w:vAlign w:val="center"/>
            <w:hideMark/>
          </w:tcPr>
          <w:p w14:paraId="2A5ED2C8"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29.15</w:t>
            </w:r>
          </w:p>
        </w:tc>
        <w:tc>
          <w:tcPr>
            <w:tcW w:w="983" w:type="dxa"/>
            <w:gridSpan w:val="2"/>
            <w:tcBorders>
              <w:top w:val="single" w:sz="4" w:space="0" w:color="auto"/>
            </w:tcBorders>
            <w:shd w:val="clear" w:color="auto" w:fill="auto"/>
            <w:noWrap/>
            <w:vAlign w:val="center"/>
            <w:hideMark/>
          </w:tcPr>
          <w:p w14:paraId="12C91D06"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22.86</w:t>
            </w:r>
          </w:p>
        </w:tc>
        <w:tc>
          <w:tcPr>
            <w:tcW w:w="887" w:type="dxa"/>
            <w:tcBorders>
              <w:top w:val="single" w:sz="4" w:space="0" w:color="auto"/>
            </w:tcBorders>
            <w:shd w:val="clear" w:color="auto" w:fill="auto"/>
            <w:noWrap/>
            <w:vAlign w:val="center"/>
            <w:hideMark/>
          </w:tcPr>
          <w:p w14:paraId="486B24E7"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35.04</w:t>
            </w:r>
          </w:p>
        </w:tc>
        <w:tc>
          <w:tcPr>
            <w:tcW w:w="1106" w:type="dxa"/>
            <w:tcBorders>
              <w:top w:val="single" w:sz="4" w:space="0" w:color="auto"/>
            </w:tcBorders>
            <w:shd w:val="clear" w:color="000000" w:fill="E7E6E6"/>
            <w:noWrap/>
            <w:vAlign w:val="center"/>
            <w:hideMark/>
          </w:tcPr>
          <w:p w14:paraId="517394D3"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33.66</w:t>
            </w:r>
          </w:p>
        </w:tc>
        <w:tc>
          <w:tcPr>
            <w:tcW w:w="755" w:type="dxa"/>
            <w:tcBorders>
              <w:top w:val="single" w:sz="4" w:space="0" w:color="auto"/>
            </w:tcBorders>
            <w:shd w:val="clear" w:color="auto" w:fill="auto"/>
            <w:noWrap/>
            <w:vAlign w:val="center"/>
            <w:hideMark/>
          </w:tcPr>
          <w:p w14:paraId="5A213380"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28.52</w:t>
            </w:r>
          </w:p>
        </w:tc>
      </w:tr>
      <w:tr w:rsidR="00D1461E" w:rsidRPr="00D1461E" w14:paraId="024CB958" w14:textId="77777777" w:rsidTr="00692739">
        <w:trPr>
          <w:trHeight w:val="288"/>
        </w:trPr>
        <w:tc>
          <w:tcPr>
            <w:tcW w:w="993" w:type="dxa"/>
            <w:tcBorders>
              <w:top w:val="nil"/>
              <w:bottom w:val="single" w:sz="4" w:space="0" w:color="auto"/>
            </w:tcBorders>
            <w:shd w:val="clear" w:color="auto" w:fill="auto"/>
            <w:noWrap/>
            <w:vAlign w:val="center"/>
            <w:hideMark/>
          </w:tcPr>
          <w:p w14:paraId="0A966EED"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top w:val="nil"/>
            </w:tcBorders>
            <w:shd w:val="clear" w:color="auto" w:fill="808080" w:themeFill="background1" w:themeFillShade="80"/>
            <w:noWrap/>
            <w:vAlign w:val="bottom"/>
            <w:hideMark/>
          </w:tcPr>
          <w:p w14:paraId="482A41BB"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top w:val="nil"/>
            </w:tcBorders>
            <w:shd w:val="clear" w:color="auto" w:fill="808080" w:themeFill="background1" w:themeFillShade="80"/>
            <w:noWrap/>
            <w:vAlign w:val="bottom"/>
            <w:hideMark/>
          </w:tcPr>
          <w:p w14:paraId="18286F4A"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702" w:type="dxa"/>
            <w:tcBorders>
              <w:top w:val="nil"/>
            </w:tcBorders>
            <w:shd w:val="clear" w:color="auto" w:fill="808080" w:themeFill="background1" w:themeFillShade="80"/>
            <w:noWrap/>
            <w:vAlign w:val="bottom"/>
            <w:hideMark/>
          </w:tcPr>
          <w:p w14:paraId="624220E1"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auto" w:fill="auto"/>
            <w:noWrap/>
            <w:vAlign w:val="center"/>
            <w:hideMark/>
          </w:tcPr>
          <w:p w14:paraId="1DF43E05"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000000" w:fill="E7E6E6"/>
            <w:noWrap/>
            <w:vAlign w:val="center"/>
            <w:hideMark/>
          </w:tcPr>
          <w:p w14:paraId="3DFBF6F8"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-4.61</w:t>
            </w:r>
          </w:p>
        </w:tc>
        <w:tc>
          <w:tcPr>
            <w:tcW w:w="983" w:type="dxa"/>
            <w:gridSpan w:val="2"/>
            <w:tcBorders>
              <w:bottom w:val="single" w:sz="4" w:space="0" w:color="auto"/>
            </w:tcBorders>
            <w:shd w:val="clear" w:color="auto" w:fill="auto"/>
            <w:noWrap/>
            <w:vAlign w:val="center"/>
            <w:hideMark/>
          </w:tcPr>
          <w:p w14:paraId="063E67EE"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2325D52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7D6EFBC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-3.94</w:t>
            </w:r>
          </w:p>
        </w:tc>
        <w:tc>
          <w:tcPr>
            <w:tcW w:w="755" w:type="dxa"/>
            <w:tcBorders>
              <w:bottom w:val="single" w:sz="4" w:space="0" w:color="auto"/>
            </w:tcBorders>
            <w:shd w:val="clear" w:color="auto" w:fill="auto"/>
            <w:noWrap/>
            <w:vAlign w:val="center"/>
            <w:hideMark/>
          </w:tcPr>
          <w:p w14:paraId="25BDED7E"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27272D46" w14:textId="77777777" w:rsidTr="00692739">
        <w:trPr>
          <w:trHeight w:val="288"/>
        </w:trPr>
        <w:tc>
          <w:tcPr>
            <w:tcW w:w="993" w:type="dxa"/>
            <w:tcBorders>
              <w:top w:val="nil"/>
              <w:bottom w:val="nil"/>
            </w:tcBorders>
            <w:shd w:val="clear" w:color="auto" w:fill="auto"/>
            <w:noWrap/>
            <w:vAlign w:val="center"/>
            <w:hideMark/>
          </w:tcPr>
          <w:p w14:paraId="546F0BC8"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+18.7</w:t>
            </w:r>
          </w:p>
        </w:tc>
        <w:tc>
          <w:tcPr>
            <w:tcW w:w="703" w:type="dxa"/>
            <w:tcBorders>
              <w:top w:val="nil"/>
            </w:tcBorders>
            <w:shd w:val="clear" w:color="auto" w:fill="808080" w:themeFill="background1" w:themeFillShade="80"/>
            <w:noWrap/>
            <w:vAlign w:val="bottom"/>
            <w:hideMark/>
          </w:tcPr>
          <w:p w14:paraId="4323D4F2"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856" w:type="dxa"/>
            <w:tcBorders>
              <w:top w:val="nil"/>
            </w:tcBorders>
            <w:shd w:val="clear" w:color="auto" w:fill="808080" w:themeFill="background1" w:themeFillShade="80"/>
            <w:noWrap/>
            <w:vAlign w:val="bottom"/>
            <w:hideMark/>
          </w:tcPr>
          <w:p w14:paraId="50AD17DD"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702" w:type="dxa"/>
            <w:tcBorders>
              <w:top w:val="nil"/>
            </w:tcBorders>
            <w:shd w:val="clear" w:color="auto" w:fill="808080" w:themeFill="background1" w:themeFillShade="80"/>
            <w:noWrap/>
            <w:vAlign w:val="bottom"/>
            <w:hideMark/>
          </w:tcPr>
          <w:p w14:paraId="1B794BDC"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tcBorders>
              <w:top w:val="single" w:sz="4" w:space="0" w:color="auto"/>
            </w:tcBorders>
            <w:shd w:val="clear" w:color="auto" w:fill="auto"/>
            <w:noWrap/>
            <w:vAlign w:val="center"/>
            <w:hideMark/>
          </w:tcPr>
          <w:p w14:paraId="175FF0D8"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27.91</w:t>
            </w:r>
          </w:p>
        </w:tc>
        <w:tc>
          <w:tcPr>
            <w:tcW w:w="983" w:type="dxa"/>
            <w:tcBorders>
              <w:top w:val="single" w:sz="4" w:space="0" w:color="auto"/>
            </w:tcBorders>
            <w:shd w:val="clear" w:color="000000" w:fill="E7E6E6"/>
            <w:noWrap/>
            <w:vAlign w:val="center"/>
            <w:hideMark/>
          </w:tcPr>
          <w:p w14:paraId="56A7519A"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26.70</w:t>
            </w:r>
          </w:p>
        </w:tc>
        <w:tc>
          <w:tcPr>
            <w:tcW w:w="983" w:type="dxa"/>
            <w:gridSpan w:val="2"/>
            <w:tcBorders>
              <w:top w:val="single" w:sz="4" w:space="0" w:color="auto"/>
            </w:tcBorders>
            <w:shd w:val="clear" w:color="auto" w:fill="auto"/>
            <w:noWrap/>
            <w:vAlign w:val="center"/>
            <w:hideMark/>
          </w:tcPr>
          <w:p w14:paraId="6BF2778E"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20.89</w:t>
            </w:r>
          </w:p>
        </w:tc>
        <w:tc>
          <w:tcPr>
            <w:tcW w:w="887" w:type="dxa"/>
            <w:tcBorders>
              <w:top w:val="single" w:sz="4" w:space="0" w:color="auto"/>
            </w:tcBorders>
            <w:shd w:val="clear" w:color="auto" w:fill="auto"/>
            <w:noWrap/>
            <w:vAlign w:val="center"/>
            <w:hideMark/>
          </w:tcPr>
          <w:p w14:paraId="4FE17108"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30.80</w:t>
            </w:r>
          </w:p>
        </w:tc>
        <w:tc>
          <w:tcPr>
            <w:tcW w:w="1106" w:type="dxa"/>
            <w:tcBorders>
              <w:top w:val="single" w:sz="4" w:space="0" w:color="auto"/>
            </w:tcBorders>
            <w:shd w:val="clear" w:color="000000" w:fill="E7E6E6"/>
            <w:noWrap/>
            <w:vAlign w:val="center"/>
            <w:hideMark/>
          </w:tcPr>
          <w:p w14:paraId="16BA0FDC"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29.63</w:t>
            </w:r>
          </w:p>
        </w:tc>
        <w:tc>
          <w:tcPr>
            <w:tcW w:w="755" w:type="dxa"/>
            <w:tcBorders>
              <w:top w:val="single" w:sz="4" w:space="0" w:color="auto"/>
            </w:tcBorders>
            <w:shd w:val="clear" w:color="auto" w:fill="auto"/>
            <w:noWrap/>
            <w:vAlign w:val="center"/>
            <w:hideMark/>
          </w:tcPr>
          <w:p w14:paraId="7AFF1720"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25.06</w:t>
            </w:r>
          </w:p>
        </w:tc>
      </w:tr>
      <w:tr w:rsidR="00D1461E" w:rsidRPr="00D1461E" w14:paraId="6EA21648" w14:textId="77777777" w:rsidTr="00692739">
        <w:trPr>
          <w:trHeight w:val="288"/>
        </w:trPr>
        <w:tc>
          <w:tcPr>
            <w:tcW w:w="993" w:type="dxa"/>
            <w:tcBorders>
              <w:top w:val="nil"/>
              <w:bottom w:val="single" w:sz="4" w:space="0" w:color="auto"/>
            </w:tcBorders>
            <w:shd w:val="clear" w:color="auto" w:fill="auto"/>
            <w:noWrap/>
            <w:vAlign w:val="center"/>
            <w:hideMark/>
          </w:tcPr>
          <w:p w14:paraId="250099A4"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top w:val="nil"/>
            </w:tcBorders>
            <w:shd w:val="clear" w:color="auto" w:fill="808080" w:themeFill="background1" w:themeFillShade="80"/>
            <w:noWrap/>
            <w:vAlign w:val="bottom"/>
            <w:hideMark/>
          </w:tcPr>
          <w:p w14:paraId="2312FFCC"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top w:val="nil"/>
            </w:tcBorders>
            <w:shd w:val="clear" w:color="auto" w:fill="808080" w:themeFill="background1" w:themeFillShade="80"/>
            <w:noWrap/>
            <w:vAlign w:val="bottom"/>
            <w:hideMark/>
          </w:tcPr>
          <w:p w14:paraId="2AEBF912"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702" w:type="dxa"/>
            <w:tcBorders>
              <w:top w:val="nil"/>
            </w:tcBorders>
            <w:shd w:val="clear" w:color="auto" w:fill="808080" w:themeFill="background1" w:themeFillShade="80"/>
            <w:noWrap/>
            <w:vAlign w:val="bottom"/>
            <w:hideMark/>
          </w:tcPr>
          <w:p w14:paraId="39BEF7B7"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auto" w:fill="auto"/>
            <w:noWrap/>
            <w:vAlign w:val="center"/>
            <w:hideMark/>
          </w:tcPr>
          <w:p w14:paraId="6E31E89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000000" w:fill="E7E6E6"/>
            <w:noWrap/>
            <w:vAlign w:val="center"/>
            <w:hideMark/>
          </w:tcPr>
          <w:p w14:paraId="0BB4E324"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-4.31</w:t>
            </w:r>
          </w:p>
        </w:tc>
        <w:tc>
          <w:tcPr>
            <w:tcW w:w="983" w:type="dxa"/>
            <w:gridSpan w:val="2"/>
            <w:tcBorders>
              <w:bottom w:val="single" w:sz="4" w:space="0" w:color="auto"/>
            </w:tcBorders>
            <w:shd w:val="clear" w:color="auto" w:fill="auto"/>
            <w:noWrap/>
            <w:vAlign w:val="center"/>
            <w:hideMark/>
          </w:tcPr>
          <w:p w14:paraId="357AA05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3C65EF4A"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2D99C0E0"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-3.79</w:t>
            </w:r>
          </w:p>
        </w:tc>
        <w:tc>
          <w:tcPr>
            <w:tcW w:w="755" w:type="dxa"/>
            <w:tcBorders>
              <w:bottom w:val="single" w:sz="4" w:space="0" w:color="auto"/>
            </w:tcBorders>
            <w:shd w:val="clear" w:color="auto" w:fill="auto"/>
            <w:noWrap/>
            <w:vAlign w:val="center"/>
            <w:hideMark/>
          </w:tcPr>
          <w:p w14:paraId="7E8926CA"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2998E640" w14:textId="77777777" w:rsidTr="00692739">
        <w:trPr>
          <w:trHeight w:val="288"/>
        </w:trPr>
        <w:tc>
          <w:tcPr>
            <w:tcW w:w="993" w:type="dxa"/>
            <w:tcBorders>
              <w:top w:val="nil"/>
              <w:bottom w:val="nil"/>
            </w:tcBorders>
            <w:shd w:val="clear" w:color="auto" w:fill="auto"/>
            <w:noWrap/>
            <w:vAlign w:val="center"/>
            <w:hideMark/>
          </w:tcPr>
          <w:p w14:paraId="5B3DAE95"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+15.2</w:t>
            </w:r>
          </w:p>
        </w:tc>
        <w:tc>
          <w:tcPr>
            <w:tcW w:w="703" w:type="dxa"/>
            <w:tcBorders>
              <w:top w:val="nil"/>
            </w:tcBorders>
            <w:shd w:val="clear" w:color="auto" w:fill="808080" w:themeFill="background1" w:themeFillShade="80"/>
            <w:noWrap/>
            <w:vAlign w:val="bottom"/>
            <w:hideMark/>
          </w:tcPr>
          <w:p w14:paraId="685F6FA8"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856" w:type="dxa"/>
            <w:tcBorders>
              <w:top w:val="nil"/>
            </w:tcBorders>
            <w:shd w:val="clear" w:color="auto" w:fill="808080" w:themeFill="background1" w:themeFillShade="80"/>
            <w:noWrap/>
            <w:vAlign w:val="bottom"/>
            <w:hideMark/>
          </w:tcPr>
          <w:p w14:paraId="304B5E98"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702" w:type="dxa"/>
            <w:tcBorders>
              <w:top w:val="nil"/>
            </w:tcBorders>
            <w:shd w:val="clear" w:color="auto" w:fill="808080" w:themeFill="background1" w:themeFillShade="80"/>
            <w:noWrap/>
            <w:vAlign w:val="bottom"/>
            <w:hideMark/>
          </w:tcPr>
          <w:p w14:paraId="5678A989"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 </w:t>
            </w:r>
          </w:p>
        </w:tc>
        <w:tc>
          <w:tcPr>
            <w:tcW w:w="983" w:type="dxa"/>
            <w:tcBorders>
              <w:top w:val="single" w:sz="4" w:space="0" w:color="auto"/>
            </w:tcBorders>
            <w:shd w:val="clear" w:color="auto" w:fill="auto"/>
            <w:noWrap/>
            <w:vAlign w:val="center"/>
            <w:hideMark/>
          </w:tcPr>
          <w:p w14:paraId="6E0CCF13"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23.99</w:t>
            </w:r>
          </w:p>
        </w:tc>
        <w:tc>
          <w:tcPr>
            <w:tcW w:w="983" w:type="dxa"/>
            <w:tcBorders>
              <w:top w:val="single" w:sz="4" w:space="0" w:color="auto"/>
            </w:tcBorders>
            <w:shd w:val="clear" w:color="000000" w:fill="E7E6E6"/>
            <w:noWrap/>
            <w:vAlign w:val="center"/>
            <w:hideMark/>
          </w:tcPr>
          <w:p w14:paraId="7C70F1BA"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23.03</w:t>
            </w:r>
          </w:p>
        </w:tc>
        <w:tc>
          <w:tcPr>
            <w:tcW w:w="983" w:type="dxa"/>
            <w:gridSpan w:val="2"/>
            <w:tcBorders>
              <w:top w:val="single" w:sz="4" w:space="0" w:color="auto"/>
            </w:tcBorders>
            <w:shd w:val="clear" w:color="auto" w:fill="auto"/>
            <w:noWrap/>
            <w:vAlign w:val="center"/>
            <w:hideMark/>
          </w:tcPr>
          <w:p w14:paraId="13F66715"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17.95</w:t>
            </w:r>
          </w:p>
        </w:tc>
        <w:tc>
          <w:tcPr>
            <w:tcW w:w="887" w:type="dxa"/>
            <w:tcBorders>
              <w:top w:val="single" w:sz="4" w:space="0" w:color="auto"/>
            </w:tcBorders>
            <w:shd w:val="clear" w:color="auto" w:fill="auto"/>
            <w:noWrap/>
            <w:vAlign w:val="center"/>
            <w:hideMark/>
          </w:tcPr>
          <w:p w14:paraId="6EDD4381"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25.45</w:t>
            </w:r>
          </w:p>
        </w:tc>
        <w:tc>
          <w:tcPr>
            <w:tcW w:w="1106" w:type="dxa"/>
            <w:tcBorders>
              <w:top w:val="single" w:sz="4" w:space="0" w:color="auto"/>
            </w:tcBorders>
            <w:shd w:val="clear" w:color="000000" w:fill="E7E6E6"/>
            <w:noWrap/>
            <w:vAlign w:val="center"/>
            <w:hideMark/>
          </w:tcPr>
          <w:p w14:paraId="39739284"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24.53</w:t>
            </w:r>
          </w:p>
        </w:tc>
        <w:tc>
          <w:tcPr>
            <w:tcW w:w="755" w:type="dxa"/>
            <w:tcBorders>
              <w:top w:val="single" w:sz="4" w:space="0" w:color="auto"/>
            </w:tcBorders>
            <w:shd w:val="clear" w:color="auto" w:fill="auto"/>
            <w:noWrap/>
            <w:vAlign w:val="center"/>
            <w:hideMark/>
          </w:tcPr>
          <w:p w14:paraId="21C8A61A"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20.69</w:t>
            </w:r>
          </w:p>
        </w:tc>
      </w:tr>
      <w:tr w:rsidR="00D1461E" w:rsidRPr="00D1461E" w14:paraId="2196DB9B" w14:textId="77777777" w:rsidTr="00692739">
        <w:trPr>
          <w:trHeight w:val="288"/>
        </w:trPr>
        <w:tc>
          <w:tcPr>
            <w:tcW w:w="993" w:type="dxa"/>
            <w:tcBorders>
              <w:top w:val="nil"/>
              <w:bottom w:val="single" w:sz="4" w:space="0" w:color="auto"/>
            </w:tcBorders>
            <w:shd w:val="clear" w:color="auto" w:fill="auto"/>
            <w:noWrap/>
            <w:vAlign w:val="center"/>
            <w:hideMark/>
          </w:tcPr>
          <w:p w14:paraId="69C5DE91"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top w:val="nil"/>
              <w:bottom w:val="single" w:sz="4" w:space="0" w:color="auto"/>
            </w:tcBorders>
            <w:shd w:val="clear" w:color="auto" w:fill="808080" w:themeFill="background1" w:themeFillShade="80"/>
            <w:noWrap/>
            <w:vAlign w:val="bottom"/>
            <w:hideMark/>
          </w:tcPr>
          <w:p w14:paraId="66F85F27"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top w:val="nil"/>
              <w:bottom w:val="single" w:sz="4" w:space="0" w:color="auto"/>
            </w:tcBorders>
            <w:shd w:val="clear" w:color="auto" w:fill="808080" w:themeFill="background1" w:themeFillShade="80"/>
            <w:noWrap/>
            <w:vAlign w:val="bottom"/>
            <w:hideMark/>
          </w:tcPr>
          <w:p w14:paraId="61674C62"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702" w:type="dxa"/>
            <w:tcBorders>
              <w:top w:val="nil"/>
              <w:bottom w:val="single" w:sz="4" w:space="0" w:color="auto"/>
            </w:tcBorders>
            <w:shd w:val="clear" w:color="auto" w:fill="808080" w:themeFill="background1" w:themeFillShade="80"/>
            <w:noWrap/>
            <w:vAlign w:val="bottom"/>
            <w:hideMark/>
          </w:tcPr>
          <w:p w14:paraId="52EA370C" w14:textId="77777777" w:rsidR="00D1461E" w:rsidRPr="00D1461E" w:rsidRDefault="00D1461E" w:rsidP="00192922">
            <w:pP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auto" w:fill="auto"/>
            <w:noWrap/>
            <w:vAlign w:val="center"/>
            <w:hideMark/>
          </w:tcPr>
          <w:p w14:paraId="7E4EB354"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000000" w:fill="E7E6E6"/>
            <w:noWrap/>
            <w:vAlign w:val="center"/>
            <w:hideMark/>
          </w:tcPr>
          <w:p w14:paraId="2C4293E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-4.03</w:t>
            </w:r>
          </w:p>
        </w:tc>
        <w:tc>
          <w:tcPr>
            <w:tcW w:w="983" w:type="dxa"/>
            <w:gridSpan w:val="2"/>
            <w:tcBorders>
              <w:bottom w:val="single" w:sz="4" w:space="0" w:color="auto"/>
            </w:tcBorders>
            <w:shd w:val="clear" w:color="auto" w:fill="auto"/>
            <w:noWrap/>
            <w:vAlign w:val="center"/>
            <w:hideMark/>
          </w:tcPr>
          <w:p w14:paraId="1130DE76"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1AD30AAB"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2D4D05A2"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-3.60</w:t>
            </w:r>
          </w:p>
        </w:tc>
        <w:tc>
          <w:tcPr>
            <w:tcW w:w="755" w:type="dxa"/>
            <w:tcBorders>
              <w:bottom w:val="single" w:sz="4" w:space="0" w:color="auto"/>
            </w:tcBorders>
            <w:shd w:val="clear" w:color="auto" w:fill="auto"/>
            <w:noWrap/>
            <w:vAlign w:val="center"/>
            <w:hideMark/>
          </w:tcPr>
          <w:p w14:paraId="7EDDE493"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04E467B0" w14:textId="77777777" w:rsidTr="00142D6F">
        <w:trPr>
          <w:trHeight w:val="288"/>
        </w:trPr>
        <w:tc>
          <w:tcPr>
            <w:tcW w:w="993" w:type="dxa"/>
            <w:tcBorders>
              <w:top w:val="nil"/>
              <w:bottom w:val="nil"/>
            </w:tcBorders>
            <w:shd w:val="clear" w:color="auto" w:fill="auto"/>
            <w:noWrap/>
            <w:vAlign w:val="center"/>
            <w:hideMark/>
          </w:tcPr>
          <w:p w14:paraId="33739B0E"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+11.7</w:t>
            </w:r>
          </w:p>
        </w:tc>
        <w:tc>
          <w:tcPr>
            <w:tcW w:w="703" w:type="dxa"/>
            <w:tcBorders>
              <w:top w:val="single" w:sz="4" w:space="0" w:color="auto"/>
            </w:tcBorders>
            <w:shd w:val="clear" w:color="auto" w:fill="auto"/>
            <w:noWrap/>
            <w:vAlign w:val="center"/>
            <w:hideMark/>
          </w:tcPr>
          <w:p w14:paraId="75104871"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8.43</w:t>
            </w:r>
          </w:p>
        </w:tc>
        <w:tc>
          <w:tcPr>
            <w:tcW w:w="856" w:type="dxa"/>
            <w:tcBorders>
              <w:top w:val="single" w:sz="4" w:space="0" w:color="auto"/>
            </w:tcBorders>
            <w:shd w:val="clear" w:color="000000" w:fill="E7E6E6"/>
            <w:noWrap/>
            <w:vAlign w:val="center"/>
            <w:hideMark/>
          </w:tcPr>
          <w:p w14:paraId="0CB80786"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7.80</w:t>
            </w:r>
          </w:p>
        </w:tc>
        <w:tc>
          <w:tcPr>
            <w:tcW w:w="702" w:type="dxa"/>
            <w:tcBorders>
              <w:top w:val="single" w:sz="4" w:space="0" w:color="auto"/>
            </w:tcBorders>
            <w:shd w:val="clear" w:color="auto" w:fill="auto"/>
            <w:noWrap/>
            <w:vAlign w:val="center"/>
            <w:hideMark/>
          </w:tcPr>
          <w:p w14:paraId="0B054586"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5.42</w:t>
            </w:r>
          </w:p>
        </w:tc>
        <w:tc>
          <w:tcPr>
            <w:tcW w:w="983" w:type="dxa"/>
            <w:tcBorders>
              <w:top w:val="single" w:sz="4" w:space="0" w:color="auto"/>
            </w:tcBorders>
            <w:shd w:val="clear" w:color="auto" w:fill="auto"/>
            <w:noWrap/>
            <w:vAlign w:val="center"/>
            <w:hideMark/>
          </w:tcPr>
          <w:p w14:paraId="6448CEBD"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18.67</w:t>
            </w:r>
          </w:p>
        </w:tc>
        <w:tc>
          <w:tcPr>
            <w:tcW w:w="983" w:type="dxa"/>
            <w:tcBorders>
              <w:top w:val="single" w:sz="4" w:space="0" w:color="auto"/>
            </w:tcBorders>
            <w:shd w:val="clear" w:color="000000" w:fill="E7E6E6"/>
            <w:noWrap/>
            <w:vAlign w:val="center"/>
            <w:hideMark/>
          </w:tcPr>
          <w:p w14:paraId="5830172E"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17.99</w:t>
            </w:r>
          </w:p>
        </w:tc>
        <w:tc>
          <w:tcPr>
            <w:tcW w:w="983" w:type="dxa"/>
            <w:gridSpan w:val="2"/>
            <w:tcBorders>
              <w:top w:val="single" w:sz="4" w:space="0" w:color="auto"/>
            </w:tcBorders>
            <w:shd w:val="clear" w:color="auto" w:fill="auto"/>
            <w:noWrap/>
            <w:vAlign w:val="center"/>
            <w:hideMark/>
          </w:tcPr>
          <w:p w14:paraId="47F6167A"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13.97</w:t>
            </w:r>
          </w:p>
        </w:tc>
        <w:tc>
          <w:tcPr>
            <w:tcW w:w="887" w:type="dxa"/>
            <w:tcBorders>
              <w:top w:val="single" w:sz="4" w:space="0" w:color="auto"/>
            </w:tcBorders>
            <w:shd w:val="clear" w:color="auto" w:fill="auto"/>
            <w:noWrap/>
            <w:vAlign w:val="center"/>
            <w:hideMark/>
          </w:tcPr>
          <w:p w14:paraId="46C92D32"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19.19</w:t>
            </w:r>
          </w:p>
        </w:tc>
        <w:tc>
          <w:tcPr>
            <w:tcW w:w="1106" w:type="dxa"/>
            <w:tcBorders>
              <w:top w:val="single" w:sz="4" w:space="0" w:color="auto"/>
            </w:tcBorders>
            <w:shd w:val="clear" w:color="000000" w:fill="E7E6E6"/>
            <w:noWrap/>
            <w:vAlign w:val="center"/>
            <w:hideMark/>
          </w:tcPr>
          <w:p w14:paraId="2ED7C011"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18.56</w:t>
            </w:r>
          </w:p>
        </w:tc>
        <w:tc>
          <w:tcPr>
            <w:tcW w:w="755" w:type="dxa"/>
            <w:tcBorders>
              <w:top w:val="single" w:sz="4" w:space="0" w:color="auto"/>
            </w:tcBorders>
            <w:shd w:val="clear" w:color="auto" w:fill="auto"/>
            <w:noWrap/>
            <w:vAlign w:val="center"/>
            <w:hideMark/>
          </w:tcPr>
          <w:p w14:paraId="25F00B0B"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15.58</w:t>
            </w:r>
          </w:p>
        </w:tc>
      </w:tr>
      <w:tr w:rsidR="00D1461E" w:rsidRPr="00D1461E" w14:paraId="3F59433F" w14:textId="77777777" w:rsidTr="00142D6F">
        <w:trPr>
          <w:trHeight w:val="288"/>
        </w:trPr>
        <w:tc>
          <w:tcPr>
            <w:tcW w:w="993" w:type="dxa"/>
            <w:tcBorders>
              <w:top w:val="nil"/>
              <w:bottom w:val="single" w:sz="4" w:space="0" w:color="auto"/>
            </w:tcBorders>
            <w:shd w:val="clear" w:color="auto" w:fill="auto"/>
            <w:noWrap/>
            <w:vAlign w:val="center"/>
            <w:hideMark/>
          </w:tcPr>
          <w:p w14:paraId="496A7160"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bottom w:val="single" w:sz="4" w:space="0" w:color="auto"/>
            </w:tcBorders>
            <w:shd w:val="clear" w:color="auto" w:fill="auto"/>
            <w:noWrap/>
            <w:vAlign w:val="center"/>
            <w:hideMark/>
          </w:tcPr>
          <w:p w14:paraId="138C50AF"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bottom w:val="single" w:sz="4" w:space="0" w:color="auto"/>
            </w:tcBorders>
            <w:shd w:val="clear" w:color="000000" w:fill="E7E6E6"/>
            <w:noWrap/>
            <w:vAlign w:val="center"/>
            <w:hideMark/>
          </w:tcPr>
          <w:p w14:paraId="09001721"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-7.49</w:t>
            </w:r>
          </w:p>
        </w:tc>
        <w:tc>
          <w:tcPr>
            <w:tcW w:w="702" w:type="dxa"/>
            <w:tcBorders>
              <w:bottom w:val="single" w:sz="4" w:space="0" w:color="auto"/>
            </w:tcBorders>
            <w:shd w:val="clear" w:color="auto" w:fill="auto"/>
            <w:noWrap/>
            <w:vAlign w:val="center"/>
            <w:hideMark/>
          </w:tcPr>
          <w:p w14:paraId="63840063"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auto" w:fill="auto"/>
            <w:noWrap/>
            <w:vAlign w:val="center"/>
            <w:hideMark/>
          </w:tcPr>
          <w:p w14:paraId="5A0FC708"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000000" w:fill="E7E6E6"/>
            <w:noWrap/>
            <w:vAlign w:val="center"/>
            <w:hideMark/>
          </w:tcPr>
          <w:p w14:paraId="2A535B6B"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-3.66</w:t>
            </w:r>
          </w:p>
        </w:tc>
        <w:tc>
          <w:tcPr>
            <w:tcW w:w="983" w:type="dxa"/>
            <w:gridSpan w:val="2"/>
            <w:tcBorders>
              <w:bottom w:val="single" w:sz="4" w:space="0" w:color="auto"/>
            </w:tcBorders>
            <w:shd w:val="clear" w:color="auto" w:fill="auto"/>
            <w:noWrap/>
            <w:vAlign w:val="center"/>
            <w:hideMark/>
          </w:tcPr>
          <w:p w14:paraId="5AE6E5B8"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6707B97B"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2E638444"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-3.28</w:t>
            </w:r>
          </w:p>
        </w:tc>
        <w:tc>
          <w:tcPr>
            <w:tcW w:w="755" w:type="dxa"/>
            <w:tcBorders>
              <w:bottom w:val="single" w:sz="4" w:space="0" w:color="auto"/>
            </w:tcBorders>
            <w:shd w:val="clear" w:color="auto" w:fill="auto"/>
            <w:noWrap/>
            <w:vAlign w:val="center"/>
            <w:hideMark/>
          </w:tcPr>
          <w:p w14:paraId="3AD603B6"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0F3CE35E" w14:textId="77777777" w:rsidTr="00142D6F">
        <w:trPr>
          <w:trHeight w:val="288"/>
        </w:trPr>
        <w:tc>
          <w:tcPr>
            <w:tcW w:w="993" w:type="dxa"/>
            <w:tcBorders>
              <w:top w:val="nil"/>
              <w:bottom w:val="nil"/>
            </w:tcBorders>
            <w:shd w:val="clear" w:color="auto" w:fill="auto"/>
            <w:noWrap/>
            <w:vAlign w:val="center"/>
            <w:hideMark/>
          </w:tcPr>
          <w:p w14:paraId="5E759177"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+8.2</w:t>
            </w:r>
          </w:p>
        </w:tc>
        <w:tc>
          <w:tcPr>
            <w:tcW w:w="703" w:type="dxa"/>
            <w:tcBorders>
              <w:top w:val="single" w:sz="4" w:space="0" w:color="auto"/>
            </w:tcBorders>
            <w:shd w:val="clear" w:color="auto" w:fill="auto"/>
            <w:noWrap/>
            <w:vAlign w:val="center"/>
            <w:hideMark/>
          </w:tcPr>
          <w:p w14:paraId="5F5A6A4E"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6.03</w:t>
            </w:r>
          </w:p>
        </w:tc>
        <w:tc>
          <w:tcPr>
            <w:tcW w:w="856" w:type="dxa"/>
            <w:tcBorders>
              <w:top w:val="single" w:sz="4" w:space="0" w:color="auto"/>
            </w:tcBorders>
            <w:shd w:val="clear" w:color="000000" w:fill="E7E6E6"/>
            <w:noWrap/>
            <w:vAlign w:val="center"/>
            <w:hideMark/>
          </w:tcPr>
          <w:p w14:paraId="2AAD17A4"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5.63</w:t>
            </w:r>
          </w:p>
        </w:tc>
        <w:tc>
          <w:tcPr>
            <w:tcW w:w="702" w:type="dxa"/>
            <w:tcBorders>
              <w:top w:val="single" w:sz="4" w:space="0" w:color="auto"/>
            </w:tcBorders>
            <w:shd w:val="clear" w:color="auto" w:fill="auto"/>
            <w:noWrap/>
            <w:vAlign w:val="center"/>
            <w:hideMark/>
          </w:tcPr>
          <w:p w14:paraId="4D70B83B"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3.87</w:t>
            </w:r>
          </w:p>
        </w:tc>
        <w:tc>
          <w:tcPr>
            <w:tcW w:w="983" w:type="dxa"/>
            <w:tcBorders>
              <w:top w:val="single" w:sz="4" w:space="0" w:color="auto"/>
            </w:tcBorders>
            <w:shd w:val="clear" w:color="auto" w:fill="auto"/>
            <w:noWrap/>
            <w:vAlign w:val="center"/>
            <w:hideMark/>
          </w:tcPr>
          <w:p w14:paraId="78589E79"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12.28</w:t>
            </w:r>
          </w:p>
        </w:tc>
        <w:tc>
          <w:tcPr>
            <w:tcW w:w="983" w:type="dxa"/>
            <w:tcBorders>
              <w:top w:val="single" w:sz="4" w:space="0" w:color="auto"/>
            </w:tcBorders>
            <w:shd w:val="clear" w:color="000000" w:fill="E7E6E6"/>
            <w:noWrap/>
            <w:vAlign w:val="center"/>
            <w:hideMark/>
          </w:tcPr>
          <w:p w14:paraId="7AC48F80"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11.90</w:t>
            </w:r>
          </w:p>
        </w:tc>
        <w:tc>
          <w:tcPr>
            <w:tcW w:w="983" w:type="dxa"/>
            <w:gridSpan w:val="2"/>
            <w:tcBorders>
              <w:top w:val="single" w:sz="4" w:space="0" w:color="auto"/>
            </w:tcBorders>
            <w:shd w:val="clear" w:color="auto" w:fill="auto"/>
            <w:noWrap/>
            <w:vAlign w:val="center"/>
            <w:hideMark/>
          </w:tcPr>
          <w:p w14:paraId="61C211F7"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9.18</w:t>
            </w:r>
          </w:p>
        </w:tc>
        <w:tc>
          <w:tcPr>
            <w:tcW w:w="887" w:type="dxa"/>
            <w:tcBorders>
              <w:top w:val="single" w:sz="4" w:space="0" w:color="auto"/>
            </w:tcBorders>
            <w:shd w:val="clear" w:color="auto" w:fill="auto"/>
            <w:noWrap/>
            <w:vAlign w:val="center"/>
            <w:hideMark/>
          </w:tcPr>
          <w:p w14:paraId="6D38234B"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12.35</w:t>
            </w:r>
          </w:p>
        </w:tc>
        <w:tc>
          <w:tcPr>
            <w:tcW w:w="1106" w:type="dxa"/>
            <w:tcBorders>
              <w:top w:val="single" w:sz="4" w:space="0" w:color="auto"/>
            </w:tcBorders>
            <w:shd w:val="clear" w:color="000000" w:fill="E7E6E6"/>
            <w:noWrap/>
            <w:vAlign w:val="center"/>
            <w:hideMark/>
          </w:tcPr>
          <w:p w14:paraId="1DAEEA09"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12.01</w:t>
            </w:r>
          </w:p>
        </w:tc>
        <w:tc>
          <w:tcPr>
            <w:tcW w:w="755" w:type="dxa"/>
            <w:tcBorders>
              <w:top w:val="single" w:sz="4" w:space="0" w:color="auto"/>
            </w:tcBorders>
            <w:shd w:val="clear" w:color="auto" w:fill="auto"/>
            <w:noWrap/>
            <w:vAlign w:val="center"/>
            <w:hideMark/>
          </w:tcPr>
          <w:p w14:paraId="5A55236D"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10.01</w:t>
            </w:r>
          </w:p>
        </w:tc>
      </w:tr>
      <w:tr w:rsidR="00D1461E" w:rsidRPr="00D1461E" w14:paraId="645F2B87" w14:textId="77777777" w:rsidTr="00142D6F">
        <w:trPr>
          <w:trHeight w:val="288"/>
        </w:trPr>
        <w:tc>
          <w:tcPr>
            <w:tcW w:w="993" w:type="dxa"/>
            <w:tcBorders>
              <w:top w:val="nil"/>
              <w:bottom w:val="single" w:sz="4" w:space="0" w:color="auto"/>
            </w:tcBorders>
            <w:shd w:val="clear" w:color="auto" w:fill="auto"/>
            <w:noWrap/>
            <w:vAlign w:val="center"/>
            <w:hideMark/>
          </w:tcPr>
          <w:p w14:paraId="2DEB4DAA"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bottom w:val="single" w:sz="4" w:space="0" w:color="auto"/>
            </w:tcBorders>
            <w:shd w:val="clear" w:color="auto" w:fill="auto"/>
            <w:noWrap/>
            <w:vAlign w:val="center"/>
            <w:hideMark/>
          </w:tcPr>
          <w:p w14:paraId="370F354C"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bottom w:val="single" w:sz="4" w:space="0" w:color="auto"/>
            </w:tcBorders>
            <w:shd w:val="clear" w:color="000000" w:fill="E7E6E6"/>
            <w:noWrap/>
            <w:vAlign w:val="center"/>
            <w:hideMark/>
          </w:tcPr>
          <w:p w14:paraId="5D7C6379"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-6.57</w:t>
            </w:r>
          </w:p>
        </w:tc>
        <w:tc>
          <w:tcPr>
            <w:tcW w:w="702" w:type="dxa"/>
            <w:tcBorders>
              <w:bottom w:val="single" w:sz="4" w:space="0" w:color="auto"/>
            </w:tcBorders>
            <w:shd w:val="clear" w:color="auto" w:fill="auto"/>
            <w:noWrap/>
            <w:vAlign w:val="center"/>
            <w:hideMark/>
          </w:tcPr>
          <w:p w14:paraId="08010203"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auto" w:fill="auto"/>
            <w:noWrap/>
            <w:vAlign w:val="center"/>
            <w:hideMark/>
          </w:tcPr>
          <w:p w14:paraId="29B6D388"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000000" w:fill="E7E6E6"/>
            <w:noWrap/>
            <w:vAlign w:val="center"/>
            <w:hideMark/>
          </w:tcPr>
          <w:p w14:paraId="65DDC2D9"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-3.09</w:t>
            </w:r>
          </w:p>
        </w:tc>
        <w:tc>
          <w:tcPr>
            <w:tcW w:w="983" w:type="dxa"/>
            <w:gridSpan w:val="2"/>
            <w:tcBorders>
              <w:bottom w:val="single" w:sz="4" w:space="0" w:color="auto"/>
            </w:tcBorders>
            <w:shd w:val="clear" w:color="auto" w:fill="auto"/>
            <w:noWrap/>
            <w:vAlign w:val="center"/>
            <w:hideMark/>
          </w:tcPr>
          <w:p w14:paraId="0788F2C0"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2BD5632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344999DF"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-2.74</w:t>
            </w:r>
          </w:p>
        </w:tc>
        <w:tc>
          <w:tcPr>
            <w:tcW w:w="755" w:type="dxa"/>
            <w:tcBorders>
              <w:bottom w:val="single" w:sz="4" w:space="0" w:color="auto"/>
            </w:tcBorders>
            <w:shd w:val="clear" w:color="auto" w:fill="auto"/>
            <w:noWrap/>
            <w:vAlign w:val="center"/>
            <w:hideMark/>
          </w:tcPr>
          <w:p w14:paraId="06A0DD8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33846D2E" w14:textId="77777777" w:rsidTr="00142D6F">
        <w:trPr>
          <w:trHeight w:val="288"/>
        </w:trPr>
        <w:tc>
          <w:tcPr>
            <w:tcW w:w="993" w:type="dxa"/>
            <w:tcBorders>
              <w:top w:val="nil"/>
              <w:bottom w:val="nil"/>
            </w:tcBorders>
            <w:shd w:val="clear" w:color="auto" w:fill="auto"/>
            <w:noWrap/>
            <w:vAlign w:val="center"/>
            <w:hideMark/>
          </w:tcPr>
          <w:p w14:paraId="3215CFAE"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+4.7</w:t>
            </w:r>
          </w:p>
        </w:tc>
        <w:tc>
          <w:tcPr>
            <w:tcW w:w="703" w:type="dxa"/>
            <w:tcBorders>
              <w:top w:val="single" w:sz="4" w:space="0" w:color="auto"/>
            </w:tcBorders>
            <w:shd w:val="clear" w:color="auto" w:fill="auto"/>
            <w:noWrap/>
            <w:vAlign w:val="center"/>
            <w:hideMark/>
          </w:tcPr>
          <w:p w14:paraId="09CD26CC"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2.97</w:t>
            </w:r>
          </w:p>
        </w:tc>
        <w:tc>
          <w:tcPr>
            <w:tcW w:w="856" w:type="dxa"/>
            <w:tcBorders>
              <w:top w:val="single" w:sz="4" w:space="0" w:color="auto"/>
            </w:tcBorders>
            <w:shd w:val="clear" w:color="000000" w:fill="E7E6E6"/>
            <w:noWrap/>
            <w:vAlign w:val="center"/>
            <w:hideMark/>
          </w:tcPr>
          <w:p w14:paraId="1E5618C2"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2.81</w:t>
            </w:r>
          </w:p>
        </w:tc>
        <w:tc>
          <w:tcPr>
            <w:tcW w:w="702" w:type="dxa"/>
            <w:tcBorders>
              <w:top w:val="single" w:sz="4" w:space="0" w:color="auto"/>
            </w:tcBorders>
            <w:shd w:val="clear" w:color="auto" w:fill="auto"/>
            <w:noWrap/>
            <w:vAlign w:val="center"/>
            <w:hideMark/>
          </w:tcPr>
          <w:p w14:paraId="68008A3D"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1.91</w:t>
            </w:r>
          </w:p>
        </w:tc>
        <w:tc>
          <w:tcPr>
            <w:tcW w:w="983" w:type="dxa"/>
            <w:tcBorders>
              <w:top w:val="single" w:sz="4" w:space="0" w:color="auto"/>
            </w:tcBorders>
            <w:shd w:val="clear" w:color="auto" w:fill="auto"/>
            <w:noWrap/>
            <w:vAlign w:val="center"/>
            <w:hideMark/>
          </w:tcPr>
          <w:p w14:paraId="77C4361A"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5.63</w:t>
            </w:r>
          </w:p>
        </w:tc>
        <w:tc>
          <w:tcPr>
            <w:tcW w:w="983" w:type="dxa"/>
            <w:tcBorders>
              <w:top w:val="single" w:sz="4" w:space="0" w:color="auto"/>
            </w:tcBorders>
            <w:shd w:val="clear" w:color="000000" w:fill="E7E6E6"/>
            <w:noWrap/>
            <w:vAlign w:val="center"/>
            <w:hideMark/>
          </w:tcPr>
          <w:p w14:paraId="3D5C6B85"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5.51</w:t>
            </w:r>
          </w:p>
        </w:tc>
        <w:tc>
          <w:tcPr>
            <w:tcW w:w="983" w:type="dxa"/>
            <w:gridSpan w:val="2"/>
            <w:tcBorders>
              <w:top w:val="single" w:sz="4" w:space="0" w:color="auto"/>
            </w:tcBorders>
            <w:shd w:val="clear" w:color="auto" w:fill="auto"/>
            <w:noWrap/>
            <w:vAlign w:val="center"/>
            <w:hideMark/>
          </w:tcPr>
          <w:p w14:paraId="1D95B2B2"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4.20</w:t>
            </w:r>
          </w:p>
        </w:tc>
        <w:tc>
          <w:tcPr>
            <w:tcW w:w="887" w:type="dxa"/>
            <w:tcBorders>
              <w:top w:val="single" w:sz="4" w:space="0" w:color="auto"/>
            </w:tcBorders>
            <w:shd w:val="clear" w:color="auto" w:fill="auto"/>
            <w:noWrap/>
            <w:vAlign w:val="center"/>
            <w:hideMark/>
          </w:tcPr>
          <w:p w14:paraId="12F5274A"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5.58</w:t>
            </w:r>
          </w:p>
        </w:tc>
        <w:tc>
          <w:tcPr>
            <w:tcW w:w="1106" w:type="dxa"/>
            <w:tcBorders>
              <w:top w:val="single" w:sz="4" w:space="0" w:color="auto"/>
            </w:tcBorders>
            <w:shd w:val="clear" w:color="000000" w:fill="E7E6E6"/>
            <w:noWrap/>
            <w:vAlign w:val="center"/>
            <w:hideMark/>
          </w:tcPr>
          <w:p w14:paraId="61F10671"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5.48</w:t>
            </w:r>
          </w:p>
        </w:tc>
        <w:tc>
          <w:tcPr>
            <w:tcW w:w="755" w:type="dxa"/>
            <w:tcBorders>
              <w:top w:val="single" w:sz="4" w:space="0" w:color="auto"/>
            </w:tcBorders>
            <w:shd w:val="clear" w:color="auto" w:fill="auto"/>
            <w:noWrap/>
            <w:vAlign w:val="center"/>
            <w:hideMark/>
          </w:tcPr>
          <w:p w14:paraId="7690FE9B"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4.51</w:t>
            </w:r>
          </w:p>
        </w:tc>
      </w:tr>
      <w:tr w:rsidR="00D1461E" w:rsidRPr="00D1461E" w14:paraId="64861757" w14:textId="77777777" w:rsidTr="00142D6F">
        <w:trPr>
          <w:trHeight w:val="288"/>
        </w:trPr>
        <w:tc>
          <w:tcPr>
            <w:tcW w:w="993" w:type="dxa"/>
            <w:tcBorders>
              <w:top w:val="nil"/>
              <w:bottom w:val="single" w:sz="4" w:space="0" w:color="auto"/>
            </w:tcBorders>
            <w:shd w:val="clear" w:color="auto" w:fill="auto"/>
            <w:noWrap/>
            <w:vAlign w:val="center"/>
            <w:hideMark/>
          </w:tcPr>
          <w:p w14:paraId="7A5D54B3"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bottom w:val="single" w:sz="4" w:space="0" w:color="auto"/>
            </w:tcBorders>
            <w:shd w:val="clear" w:color="auto" w:fill="auto"/>
            <w:noWrap/>
            <w:vAlign w:val="center"/>
            <w:hideMark/>
          </w:tcPr>
          <w:p w14:paraId="698752CF"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bottom w:val="single" w:sz="4" w:space="0" w:color="auto"/>
            </w:tcBorders>
            <w:shd w:val="clear" w:color="000000" w:fill="E7E6E6"/>
            <w:noWrap/>
            <w:vAlign w:val="center"/>
            <w:hideMark/>
          </w:tcPr>
          <w:p w14:paraId="0780ABBD"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-5.49</w:t>
            </w:r>
          </w:p>
        </w:tc>
        <w:tc>
          <w:tcPr>
            <w:tcW w:w="702" w:type="dxa"/>
            <w:tcBorders>
              <w:bottom w:val="single" w:sz="4" w:space="0" w:color="auto"/>
            </w:tcBorders>
            <w:shd w:val="clear" w:color="auto" w:fill="auto"/>
            <w:noWrap/>
            <w:vAlign w:val="center"/>
            <w:hideMark/>
          </w:tcPr>
          <w:p w14:paraId="6E4931A5"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auto" w:fill="auto"/>
            <w:noWrap/>
            <w:vAlign w:val="center"/>
            <w:hideMark/>
          </w:tcPr>
          <w:p w14:paraId="09028BCB"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000000" w:fill="E7E6E6"/>
            <w:noWrap/>
            <w:vAlign w:val="center"/>
            <w:hideMark/>
          </w:tcPr>
          <w:p w14:paraId="41B9A02C"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-2.15</w:t>
            </w:r>
          </w:p>
        </w:tc>
        <w:tc>
          <w:tcPr>
            <w:tcW w:w="983" w:type="dxa"/>
            <w:gridSpan w:val="2"/>
            <w:tcBorders>
              <w:bottom w:val="single" w:sz="4" w:space="0" w:color="auto"/>
            </w:tcBorders>
            <w:shd w:val="clear" w:color="auto" w:fill="auto"/>
            <w:noWrap/>
            <w:vAlign w:val="center"/>
            <w:hideMark/>
          </w:tcPr>
          <w:p w14:paraId="09427F05"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570F9DC9"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0D24FFFD"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-1.81</w:t>
            </w:r>
          </w:p>
        </w:tc>
        <w:tc>
          <w:tcPr>
            <w:tcW w:w="755" w:type="dxa"/>
            <w:tcBorders>
              <w:bottom w:val="single" w:sz="4" w:space="0" w:color="auto"/>
            </w:tcBorders>
            <w:shd w:val="clear" w:color="auto" w:fill="auto"/>
            <w:noWrap/>
            <w:vAlign w:val="center"/>
            <w:hideMark/>
          </w:tcPr>
          <w:p w14:paraId="5F7D49D3"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3508A6E4" w14:textId="77777777" w:rsidTr="00142D6F">
        <w:trPr>
          <w:trHeight w:val="288"/>
        </w:trPr>
        <w:tc>
          <w:tcPr>
            <w:tcW w:w="993" w:type="dxa"/>
            <w:tcBorders>
              <w:top w:val="nil"/>
              <w:bottom w:val="nil"/>
            </w:tcBorders>
            <w:shd w:val="clear" w:color="auto" w:fill="auto"/>
            <w:noWrap/>
            <w:vAlign w:val="center"/>
            <w:hideMark/>
          </w:tcPr>
          <w:p w14:paraId="073A4FD5"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+1.2</w:t>
            </w:r>
          </w:p>
        </w:tc>
        <w:tc>
          <w:tcPr>
            <w:tcW w:w="703" w:type="dxa"/>
            <w:tcBorders>
              <w:top w:val="single" w:sz="4" w:space="0" w:color="auto"/>
            </w:tcBorders>
            <w:shd w:val="clear" w:color="auto" w:fill="auto"/>
            <w:noWrap/>
            <w:vAlign w:val="center"/>
            <w:hideMark/>
          </w:tcPr>
          <w:p w14:paraId="63154F15"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0.32</w:t>
            </w:r>
          </w:p>
        </w:tc>
        <w:tc>
          <w:tcPr>
            <w:tcW w:w="856" w:type="dxa"/>
            <w:tcBorders>
              <w:top w:val="single" w:sz="4" w:space="0" w:color="auto"/>
            </w:tcBorders>
            <w:shd w:val="clear" w:color="000000" w:fill="E7E6E6"/>
            <w:noWrap/>
            <w:vAlign w:val="center"/>
            <w:hideMark/>
          </w:tcPr>
          <w:p w14:paraId="4387B504"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0.31</w:t>
            </w:r>
          </w:p>
        </w:tc>
        <w:tc>
          <w:tcPr>
            <w:tcW w:w="702" w:type="dxa"/>
            <w:tcBorders>
              <w:top w:val="single" w:sz="4" w:space="0" w:color="auto"/>
            </w:tcBorders>
            <w:shd w:val="clear" w:color="auto" w:fill="auto"/>
            <w:noWrap/>
            <w:vAlign w:val="center"/>
            <w:hideMark/>
          </w:tcPr>
          <w:p w14:paraId="483832DE"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0.21</w:t>
            </w:r>
          </w:p>
        </w:tc>
        <w:tc>
          <w:tcPr>
            <w:tcW w:w="983" w:type="dxa"/>
            <w:tcBorders>
              <w:top w:val="single" w:sz="4" w:space="0" w:color="auto"/>
            </w:tcBorders>
            <w:shd w:val="clear" w:color="auto" w:fill="auto"/>
            <w:noWrap/>
            <w:vAlign w:val="center"/>
            <w:hideMark/>
          </w:tcPr>
          <w:p w14:paraId="2F045560"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0.57</w:t>
            </w:r>
          </w:p>
        </w:tc>
        <w:tc>
          <w:tcPr>
            <w:tcW w:w="983" w:type="dxa"/>
            <w:tcBorders>
              <w:top w:val="single" w:sz="4" w:space="0" w:color="auto"/>
            </w:tcBorders>
            <w:shd w:val="clear" w:color="000000" w:fill="E7E6E6"/>
            <w:noWrap/>
            <w:vAlign w:val="center"/>
            <w:hideMark/>
          </w:tcPr>
          <w:p w14:paraId="544C1ED6"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0.56</w:t>
            </w:r>
          </w:p>
        </w:tc>
        <w:tc>
          <w:tcPr>
            <w:tcW w:w="983" w:type="dxa"/>
            <w:gridSpan w:val="2"/>
            <w:tcBorders>
              <w:top w:val="single" w:sz="4" w:space="0" w:color="auto"/>
            </w:tcBorders>
            <w:shd w:val="clear" w:color="auto" w:fill="auto"/>
            <w:noWrap/>
            <w:vAlign w:val="center"/>
            <w:hideMark/>
          </w:tcPr>
          <w:p w14:paraId="0747E537"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0.42</w:t>
            </w:r>
          </w:p>
        </w:tc>
        <w:tc>
          <w:tcPr>
            <w:tcW w:w="887" w:type="dxa"/>
            <w:tcBorders>
              <w:top w:val="single" w:sz="4" w:space="0" w:color="auto"/>
            </w:tcBorders>
            <w:shd w:val="clear" w:color="auto" w:fill="auto"/>
            <w:noWrap/>
            <w:vAlign w:val="center"/>
            <w:hideMark/>
          </w:tcPr>
          <w:p w14:paraId="6C3130EA"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0.56</w:t>
            </w:r>
          </w:p>
        </w:tc>
        <w:tc>
          <w:tcPr>
            <w:tcW w:w="1106" w:type="dxa"/>
            <w:tcBorders>
              <w:top w:val="single" w:sz="4" w:space="0" w:color="auto"/>
            </w:tcBorders>
            <w:shd w:val="clear" w:color="000000" w:fill="E7E6E6"/>
            <w:noWrap/>
            <w:vAlign w:val="center"/>
            <w:hideMark/>
          </w:tcPr>
          <w:p w14:paraId="362E7B37"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0.56</w:t>
            </w:r>
          </w:p>
        </w:tc>
        <w:tc>
          <w:tcPr>
            <w:tcW w:w="755" w:type="dxa"/>
            <w:tcBorders>
              <w:top w:val="single" w:sz="4" w:space="0" w:color="auto"/>
            </w:tcBorders>
            <w:shd w:val="clear" w:color="auto" w:fill="auto"/>
            <w:noWrap/>
            <w:vAlign w:val="center"/>
            <w:hideMark/>
          </w:tcPr>
          <w:p w14:paraId="3039D0B6"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0.45</w:t>
            </w:r>
          </w:p>
        </w:tc>
      </w:tr>
      <w:tr w:rsidR="00D1461E" w:rsidRPr="00D1461E" w14:paraId="556F513E" w14:textId="77777777" w:rsidTr="00142D6F">
        <w:trPr>
          <w:trHeight w:val="288"/>
        </w:trPr>
        <w:tc>
          <w:tcPr>
            <w:tcW w:w="993" w:type="dxa"/>
            <w:tcBorders>
              <w:top w:val="nil"/>
              <w:bottom w:val="single" w:sz="4" w:space="0" w:color="auto"/>
            </w:tcBorders>
            <w:shd w:val="clear" w:color="auto" w:fill="auto"/>
            <w:noWrap/>
            <w:vAlign w:val="center"/>
            <w:hideMark/>
          </w:tcPr>
          <w:p w14:paraId="27F74B53"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Sig. (%)</w:t>
            </w:r>
          </w:p>
        </w:tc>
        <w:tc>
          <w:tcPr>
            <w:tcW w:w="703" w:type="dxa"/>
            <w:tcBorders>
              <w:bottom w:val="single" w:sz="4" w:space="0" w:color="auto"/>
            </w:tcBorders>
            <w:shd w:val="clear" w:color="auto" w:fill="auto"/>
            <w:noWrap/>
            <w:vAlign w:val="center"/>
            <w:hideMark/>
          </w:tcPr>
          <w:p w14:paraId="5511887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56" w:type="dxa"/>
            <w:tcBorders>
              <w:bottom w:val="single" w:sz="4" w:space="0" w:color="auto"/>
            </w:tcBorders>
            <w:shd w:val="clear" w:color="000000" w:fill="E7E6E6"/>
            <w:noWrap/>
            <w:vAlign w:val="center"/>
            <w:hideMark/>
          </w:tcPr>
          <w:p w14:paraId="1CAD2ADA"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-4.66</w:t>
            </w:r>
          </w:p>
        </w:tc>
        <w:tc>
          <w:tcPr>
            <w:tcW w:w="702" w:type="dxa"/>
            <w:tcBorders>
              <w:bottom w:val="single" w:sz="4" w:space="0" w:color="auto"/>
            </w:tcBorders>
            <w:shd w:val="clear" w:color="auto" w:fill="auto"/>
            <w:noWrap/>
            <w:vAlign w:val="center"/>
            <w:hideMark/>
          </w:tcPr>
          <w:p w14:paraId="3A51BD12"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auto" w:fill="auto"/>
            <w:noWrap/>
            <w:vAlign w:val="center"/>
            <w:hideMark/>
          </w:tcPr>
          <w:p w14:paraId="6CCF2724"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983" w:type="dxa"/>
            <w:tcBorders>
              <w:bottom w:val="single" w:sz="4" w:space="0" w:color="auto"/>
            </w:tcBorders>
            <w:shd w:val="clear" w:color="000000" w:fill="E7E6E6"/>
            <w:noWrap/>
            <w:vAlign w:val="center"/>
            <w:hideMark/>
          </w:tcPr>
          <w:p w14:paraId="621D747B"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-1.40</w:t>
            </w:r>
          </w:p>
        </w:tc>
        <w:tc>
          <w:tcPr>
            <w:tcW w:w="983" w:type="dxa"/>
            <w:gridSpan w:val="2"/>
            <w:tcBorders>
              <w:bottom w:val="single" w:sz="4" w:space="0" w:color="auto"/>
            </w:tcBorders>
            <w:shd w:val="clear" w:color="auto" w:fill="auto"/>
            <w:noWrap/>
            <w:vAlign w:val="center"/>
            <w:hideMark/>
          </w:tcPr>
          <w:p w14:paraId="1F0A7BCF"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887" w:type="dxa"/>
            <w:tcBorders>
              <w:bottom w:val="single" w:sz="4" w:space="0" w:color="auto"/>
            </w:tcBorders>
            <w:shd w:val="clear" w:color="auto" w:fill="auto"/>
            <w:noWrap/>
            <w:vAlign w:val="center"/>
            <w:hideMark/>
          </w:tcPr>
          <w:p w14:paraId="703C87F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c>
          <w:tcPr>
            <w:tcW w:w="1106" w:type="dxa"/>
            <w:tcBorders>
              <w:bottom w:val="single" w:sz="4" w:space="0" w:color="auto"/>
            </w:tcBorders>
            <w:shd w:val="clear" w:color="000000" w:fill="E7E6E6"/>
            <w:noWrap/>
            <w:vAlign w:val="center"/>
            <w:hideMark/>
          </w:tcPr>
          <w:p w14:paraId="5D3911C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-1.07</w:t>
            </w:r>
          </w:p>
        </w:tc>
        <w:tc>
          <w:tcPr>
            <w:tcW w:w="755" w:type="dxa"/>
            <w:tcBorders>
              <w:bottom w:val="single" w:sz="4" w:space="0" w:color="auto"/>
            </w:tcBorders>
            <w:shd w:val="clear" w:color="auto" w:fill="auto"/>
            <w:noWrap/>
            <w:vAlign w:val="center"/>
            <w:hideMark/>
          </w:tcPr>
          <w:p w14:paraId="716BF3A7" w14:textId="77777777" w:rsidR="00D1461E" w:rsidRPr="00D1461E" w:rsidRDefault="00D1461E" w:rsidP="00192922">
            <w:pPr>
              <w:jc w:val="center"/>
              <w:rPr>
                <w:rFonts w:ascii="Times New Roman" w:hAnsi="Times New Roman"/>
                <w:i/>
                <w:iCs/>
                <w:color w:val="000000"/>
                <w:sz w:val="20"/>
                <w:lang w:eastAsia="id-ID"/>
              </w:rPr>
            </w:pPr>
            <w:r w:rsidRPr="00D1461E">
              <w:rPr>
                <w:rFonts w:ascii="Times New Roman" w:hAnsi="Times New Roman"/>
                <w:i/>
                <w:iCs/>
                <w:color w:val="000000"/>
                <w:sz w:val="20"/>
                <w:lang w:eastAsia="id-ID"/>
              </w:rPr>
              <w:t> </w:t>
            </w:r>
          </w:p>
        </w:tc>
      </w:tr>
      <w:tr w:rsidR="00D1461E" w:rsidRPr="00D1461E" w14:paraId="4A2EA105" w14:textId="77777777" w:rsidTr="00D1461E">
        <w:trPr>
          <w:trHeight w:val="312"/>
        </w:trPr>
        <w:tc>
          <w:tcPr>
            <w:tcW w:w="993" w:type="dxa"/>
            <w:tcBorders>
              <w:top w:val="nil"/>
              <w:bottom w:val="single" w:sz="4" w:space="0" w:color="auto"/>
            </w:tcBorders>
            <w:shd w:val="clear" w:color="auto" w:fill="auto"/>
            <w:noWrap/>
            <w:vAlign w:val="center"/>
            <w:hideMark/>
          </w:tcPr>
          <w:p w14:paraId="2A8C8FDE" w14:textId="77777777" w:rsidR="00D1461E" w:rsidRPr="00D1461E" w:rsidRDefault="00D1461E" w:rsidP="00192922">
            <w:pP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703" w:type="dxa"/>
            <w:tcBorders>
              <w:top w:val="nil"/>
              <w:bottom w:val="single" w:sz="4" w:space="0" w:color="auto"/>
            </w:tcBorders>
            <w:shd w:val="clear" w:color="auto" w:fill="auto"/>
            <w:noWrap/>
            <w:vAlign w:val="center"/>
            <w:hideMark/>
          </w:tcPr>
          <w:p w14:paraId="6D77F10B"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856" w:type="dxa"/>
            <w:tcBorders>
              <w:top w:val="nil"/>
              <w:bottom w:val="single" w:sz="4" w:space="0" w:color="auto"/>
            </w:tcBorders>
            <w:shd w:val="clear" w:color="000000" w:fill="E7E6E6"/>
            <w:noWrap/>
            <w:vAlign w:val="center"/>
            <w:hideMark/>
          </w:tcPr>
          <w:p w14:paraId="2D671215"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702" w:type="dxa"/>
            <w:tcBorders>
              <w:top w:val="nil"/>
              <w:bottom w:val="single" w:sz="4" w:space="0" w:color="auto"/>
            </w:tcBorders>
            <w:shd w:val="clear" w:color="auto" w:fill="auto"/>
            <w:noWrap/>
            <w:vAlign w:val="center"/>
            <w:hideMark/>
          </w:tcPr>
          <w:p w14:paraId="662D766F"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983" w:type="dxa"/>
            <w:tcBorders>
              <w:top w:val="nil"/>
              <w:bottom w:val="single" w:sz="4" w:space="0" w:color="auto"/>
            </w:tcBorders>
            <w:shd w:val="clear" w:color="auto" w:fill="auto"/>
            <w:noWrap/>
            <w:vAlign w:val="center"/>
            <w:hideMark/>
          </w:tcPr>
          <w:p w14:paraId="7925731C"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983" w:type="dxa"/>
            <w:tcBorders>
              <w:top w:val="nil"/>
              <w:bottom w:val="single" w:sz="4" w:space="0" w:color="auto"/>
            </w:tcBorders>
            <w:shd w:val="clear" w:color="000000" w:fill="E7E6E6"/>
            <w:noWrap/>
            <w:vAlign w:val="center"/>
            <w:hideMark/>
          </w:tcPr>
          <w:p w14:paraId="2CBE03DE"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983" w:type="dxa"/>
            <w:gridSpan w:val="2"/>
            <w:tcBorders>
              <w:top w:val="nil"/>
              <w:bottom w:val="single" w:sz="4" w:space="0" w:color="auto"/>
            </w:tcBorders>
            <w:shd w:val="clear" w:color="auto" w:fill="auto"/>
            <w:noWrap/>
            <w:vAlign w:val="center"/>
            <w:hideMark/>
          </w:tcPr>
          <w:p w14:paraId="10A71785"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887" w:type="dxa"/>
            <w:tcBorders>
              <w:top w:val="nil"/>
              <w:bottom w:val="single" w:sz="4" w:space="0" w:color="auto"/>
            </w:tcBorders>
            <w:shd w:val="clear" w:color="auto" w:fill="auto"/>
            <w:noWrap/>
            <w:vAlign w:val="center"/>
            <w:hideMark/>
          </w:tcPr>
          <w:p w14:paraId="753E01CF"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1106" w:type="dxa"/>
            <w:tcBorders>
              <w:top w:val="nil"/>
              <w:bottom w:val="single" w:sz="4" w:space="0" w:color="auto"/>
            </w:tcBorders>
            <w:shd w:val="clear" w:color="000000" w:fill="E7E6E6"/>
            <w:noWrap/>
            <w:vAlign w:val="center"/>
            <w:hideMark/>
          </w:tcPr>
          <w:p w14:paraId="66D860C0"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c>
          <w:tcPr>
            <w:tcW w:w="755" w:type="dxa"/>
            <w:tcBorders>
              <w:top w:val="nil"/>
              <w:bottom w:val="single" w:sz="4" w:space="0" w:color="auto"/>
            </w:tcBorders>
            <w:shd w:val="clear" w:color="auto" w:fill="auto"/>
            <w:noWrap/>
            <w:vAlign w:val="center"/>
            <w:hideMark/>
          </w:tcPr>
          <w:p w14:paraId="16049E03" w14:textId="77777777" w:rsidR="00D1461E" w:rsidRPr="00D1461E" w:rsidRDefault="00D1461E" w:rsidP="00192922">
            <w:pPr>
              <w:jc w:val="center"/>
              <w:rPr>
                <w:rFonts w:ascii="Times New Roman" w:hAnsi="Times New Roman"/>
                <w:color w:val="000000"/>
                <w:sz w:val="20"/>
                <w:lang w:eastAsia="id-ID"/>
              </w:rPr>
            </w:pPr>
            <w:r w:rsidRPr="00D1461E">
              <w:rPr>
                <w:rFonts w:ascii="Times New Roman" w:hAnsi="Times New Roman"/>
                <w:color w:val="000000"/>
                <w:sz w:val="20"/>
                <w:lang w:eastAsia="id-ID"/>
              </w:rPr>
              <w:t>0.00</w:t>
            </w:r>
          </w:p>
        </w:tc>
      </w:tr>
    </w:tbl>
    <w:p w14:paraId="79E4250A" w14:textId="77777777" w:rsidR="00D1461E" w:rsidRPr="006D55C6" w:rsidRDefault="00D1461E" w:rsidP="00D1461E">
      <w:pPr>
        <w:rPr>
          <w:rFonts w:ascii="Times New Roman" w:hAnsi="Times New Roman"/>
        </w:rPr>
      </w:pPr>
    </w:p>
    <w:p w14:paraId="19F7D38F" w14:textId="77777777" w:rsidR="00D1461E" w:rsidRPr="00322D06" w:rsidRDefault="00D1461E" w:rsidP="00D1461E">
      <w:pPr>
        <w:jc w:val="center"/>
        <w:rPr>
          <w:rFonts w:ascii="Times New Roman" w:hAnsi="Times New Roman"/>
        </w:rPr>
      </w:pPr>
      <w:r w:rsidRPr="00322D06">
        <w:rPr>
          <w:rFonts w:ascii="Times New Roman" w:hAnsi="Times New Roman"/>
          <w:noProof/>
          <w:lang w:val="en-US"/>
        </w:rPr>
        <w:drawing>
          <wp:inline distT="0" distB="0" distL="0" distR="0" wp14:anchorId="3B194C15" wp14:editId="1B79DE42">
            <wp:extent cx="4320000" cy="2412000"/>
            <wp:effectExtent l="0" t="0" r="4445" b="7620"/>
            <wp:docPr id="22" name="Chart 22">
              <a:extLst xmlns:a="http://schemas.openxmlformats.org/drawingml/2006/main">
                <a:ext uri="{FF2B5EF4-FFF2-40B4-BE49-F238E27FC236}">
                  <a16:creationId xmlns:a16="http://schemas.microsoft.com/office/drawing/2014/main" id="{C5916707-DB16-47F4-8E87-7DA6E634B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7BC73A" w14:textId="77777777" w:rsidR="00D1461E" w:rsidRPr="00322D06" w:rsidRDefault="00D1461E" w:rsidP="00D1461E">
      <w:pPr>
        <w:jc w:val="center"/>
        <w:rPr>
          <w:rFonts w:ascii="Times New Roman" w:hAnsi="Times New Roman"/>
        </w:rPr>
      </w:pPr>
      <w:r w:rsidRPr="00322D06">
        <w:rPr>
          <w:rFonts w:ascii="Times New Roman" w:hAnsi="Times New Roman"/>
        </w:rPr>
        <w:t>(a)</w:t>
      </w:r>
    </w:p>
    <w:p w14:paraId="4E96D157" w14:textId="77777777" w:rsidR="00D1461E" w:rsidRPr="00322D06" w:rsidRDefault="00D1461E" w:rsidP="00D1461E">
      <w:pPr>
        <w:jc w:val="center"/>
        <w:rPr>
          <w:rFonts w:ascii="Times New Roman" w:hAnsi="Times New Roman"/>
        </w:rPr>
      </w:pPr>
      <w:r w:rsidRPr="00322D06">
        <w:rPr>
          <w:rFonts w:ascii="Times New Roman" w:hAnsi="Times New Roman"/>
          <w:noProof/>
          <w:lang w:val="en-US"/>
        </w:rPr>
        <w:drawing>
          <wp:inline distT="0" distB="0" distL="0" distR="0" wp14:anchorId="1576B6A7" wp14:editId="2574447C">
            <wp:extent cx="4320000" cy="2412000"/>
            <wp:effectExtent l="0" t="0" r="4445" b="7620"/>
            <wp:docPr id="20" name="Chart 20">
              <a:extLst xmlns:a="http://schemas.openxmlformats.org/drawingml/2006/main">
                <a:ext uri="{FF2B5EF4-FFF2-40B4-BE49-F238E27FC236}">
                  <a16:creationId xmlns:a16="http://schemas.microsoft.com/office/drawing/2014/main" id="{B18634F7-594D-41A9-A63E-0EF9BC25B4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E9C535" w14:textId="77777777" w:rsidR="00D1461E" w:rsidRPr="00322D06" w:rsidRDefault="00D1461E" w:rsidP="00D1461E">
      <w:pPr>
        <w:jc w:val="center"/>
        <w:rPr>
          <w:rFonts w:ascii="Times New Roman" w:hAnsi="Times New Roman"/>
        </w:rPr>
      </w:pPr>
      <w:r w:rsidRPr="00322D06">
        <w:rPr>
          <w:rFonts w:ascii="Times New Roman" w:hAnsi="Times New Roman"/>
        </w:rPr>
        <w:t>(b)</w:t>
      </w:r>
    </w:p>
    <w:p w14:paraId="453F4A7C" w14:textId="77777777" w:rsidR="00D1461E" w:rsidRPr="00322D06" w:rsidRDefault="00D1461E" w:rsidP="00D1461E">
      <w:pPr>
        <w:jc w:val="center"/>
        <w:rPr>
          <w:rFonts w:ascii="Times New Roman" w:hAnsi="Times New Roman"/>
        </w:rPr>
      </w:pPr>
      <w:r w:rsidRPr="00322D06">
        <w:rPr>
          <w:rFonts w:ascii="Times New Roman" w:hAnsi="Times New Roman"/>
          <w:noProof/>
          <w:lang w:val="en-US"/>
        </w:rPr>
        <w:drawing>
          <wp:inline distT="0" distB="0" distL="0" distR="0" wp14:anchorId="59661B94" wp14:editId="2A87F86F">
            <wp:extent cx="4320000" cy="2412000"/>
            <wp:effectExtent l="0" t="0" r="4445" b="7620"/>
            <wp:docPr id="15" name="Chart 15">
              <a:extLst xmlns:a="http://schemas.openxmlformats.org/drawingml/2006/main">
                <a:ext uri="{FF2B5EF4-FFF2-40B4-BE49-F238E27FC236}">
                  <a16:creationId xmlns:a16="http://schemas.microsoft.com/office/drawing/2014/main" id="{A1A9C9DA-97F9-4257-BD2C-9E5E62C846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1954C9" w14:textId="77777777" w:rsidR="00D1461E" w:rsidRPr="00322D06" w:rsidRDefault="00D1461E" w:rsidP="00D1461E">
      <w:pPr>
        <w:jc w:val="center"/>
        <w:rPr>
          <w:rFonts w:ascii="Times New Roman" w:hAnsi="Times New Roman"/>
        </w:rPr>
      </w:pPr>
      <w:r w:rsidRPr="00322D06">
        <w:rPr>
          <w:rFonts w:ascii="Times New Roman" w:hAnsi="Times New Roman"/>
        </w:rPr>
        <w:t>(c)</w:t>
      </w:r>
    </w:p>
    <w:p w14:paraId="6ED65F69" w14:textId="514FAF72" w:rsidR="00D1461E" w:rsidRDefault="00D1461E" w:rsidP="00D1461E">
      <w:pPr>
        <w:pStyle w:val="FigureCaption"/>
      </w:pPr>
      <w:r w:rsidRPr="00CC3D0B">
        <w:rPr>
          <w:b/>
          <w:bCs/>
        </w:rPr>
        <w:t>Figure 2.</w:t>
      </w:r>
      <w:r w:rsidRPr="00322D06">
        <w:t xml:space="preserve"> Storey displacement on building with: (a) 3-storey, (b) 6-storey, dan (c) 9 storey</w:t>
      </w:r>
    </w:p>
    <w:p w14:paraId="33C7A18B" w14:textId="715096B6" w:rsidR="00FA64C3" w:rsidRPr="00D1461E" w:rsidRDefault="00FA64C3" w:rsidP="00FA64C3">
      <w:pPr>
        <w:pStyle w:val="BodytextIndented"/>
      </w:pPr>
      <w:r w:rsidRPr="004831EB">
        <w:t xml:space="preserve">Determination of </w:t>
      </w:r>
      <w:r>
        <w:t>support type</w:t>
      </w:r>
      <w:r w:rsidRPr="004831EB">
        <w:t xml:space="preserve"> </w:t>
      </w:r>
      <w:r>
        <w:t>as fixed support complies</w:t>
      </w:r>
      <w:r w:rsidRPr="004831EB">
        <w:t xml:space="preserve"> to aspects of </w:t>
      </w:r>
      <w:r>
        <w:t xml:space="preserve">the </w:t>
      </w:r>
      <w:r w:rsidRPr="004831EB">
        <w:t xml:space="preserve">planning </w:t>
      </w:r>
      <w:r>
        <w:t>of</w:t>
      </w:r>
      <w:r w:rsidRPr="004831EB">
        <w:t xml:space="preserve"> building </w:t>
      </w:r>
      <w:r>
        <w:t xml:space="preserve">and the </w:t>
      </w:r>
      <w:r w:rsidRPr="004831EB">
        <w:t>construction</w:t>
      </w:r>
      <w:r>
        <w:t xml:space="preserve"> implementation which</w:t>
      </w:r>
      <w:r w:rsidRPr="004831EB">
        <w:t xml:space="preserve"> using a raft foundation. The use of </w:t>
      </w:r>
      <w:r>
        <w:t xml:space="preserve">fixed support </w:t>
      </w:r>
      <w:r w:rsidRPr="004831EB">
        <w:t xml:space="preserve">causes the building model to experience a very small displacement at an elevation of +1.2 meters. The linear trend </w:t>
      </w:r>
      <w:r>
        <w:t>reflected at building displacement indicates</w:t>
      </w:r>
      <w:r w:rsidRPr="004831EB">
        <w:t xml:space="preserve"> that the stiffness of the elements </w:t>
      </w:r>
      <w:r>
        <w:t>on the slab is low</w:t>
      </w:r>
      <w:r w:rsidRPr="004831EB">
        <w:t xml:space="preserve">. </w:t>
      </w:r>
      <w:r>
        <w:t>It</w:t>
      </w:r>
      <w:r w:rsidRPr="004831EB">
        <w:t xml:space="preserve"> can be seen in the U30 model of the 3-story building. </w:t>
      </w:r>
      <w:r>
        <w:t>The displacement pattern shifted as</w:t>
      </w:r>
      <w:r w:rsidRPr="004831EB">
        <w:t xml:space="preserve"> the structure uses </w:t>
      </w:r>
      <w:r>
        <w:t xml:space="preserve">concrete with a </w:t>
      </w:r>
      <w:r w:rsidRPr="004831EB">
        <w:t>high</w:t>
      </w:r>
      <w:r>
        <w:t>er</w:t>
      </w:r>
      <w:r w:rsidRPr="004831EB">
        <w:t xml:space="preserve"> </w:t>
      </w:r>
      <w:r>
        <w:t>strength</w:t>
      </w:r>
      <w:r w:rsidRPr="004831EB">
        <w:t xml:space="preserve"> as shown in U50</w:t>
      </w:r>
      <w:r>
        <w:t>, where</w:t>
      </w:r>
      <w:r w:rsidRPr="004831EB">
        <w:t xml:space="preserve"> the difference in the increase in deviation becomes smaller.</w:t>
      </w:r>
      <w:r w:rsidR="006C7042">
        <w:t xml:space="preserve"> </w:t>
      </w:r>
      <w:r w:rsidRPr="004831EB">
        <w:rPr>
          <w:lang w:val="en-GB"/>
        </w:rPr>
        <w:t xml:space="preserve">The higher the </w:t>
      </w:r>
      <w:r>
        <w:rPr>
          <w:lang w:val="en-GB"/>
        </w:rPr>
        <w:t xml:space="preserve">strength </w:t>
      </w:r>
      <w:r w:rsidRPr="004831EB">
        <w:rPr>
          <w:lang w:val="en-GB"/>
        </w:rPr>
        <w:t xml:space="preserve">of concrete used in buildings; the </w:t>
      </w:r>
      <w:r>
        <w:rPr>
          <w:lang w:val="en-GB"/>
        </w:rPr>
        <w:t>storey displacement</w:t>
      </w:r>
      <w:r w:rsidRPr="004831EB">
        <w:rPr>
          <w:lang w:val="en-GB"/>
        </w:rPr>
        <w:t xml:space="preserve"> </w:t>
      </w:r>
      <w:r>
        <w:rPr>
          <w:lang w:val="en-GB"/>
        </w:rPr>
        <w:t>shifted</w:t>
      </w:r>
      <w:r w:rsidRPr="004831EB">
        <w:rPr>
          <w:lang w:val="en-GB"/>
        </w:rPr>
        <w:t xml:space="preserve"> from </w:t>
      </w:r>
      <w:r>
        <w:rPr>
          <w:lang w:val="en-GB"/>
        </w:rPr>
        <w:t>flexural</w:t>
      </w:r>
      <w:r w:rsidRPr="004831EB">
        <w:rPr>
          <w:lang w:val="en-GB"/>
        </w:rPr>
        <w:t xml:space="preserve"> type to more towards the shear type. The higher the elevation of the building structure, the greater the axial force acting on the column. The axial force provides additional rigidity to the lower floor so that the bottom of the structure </w:t>
      </w:r>
      <w:r w:rsidRPr="00D1461E">
        <w:t>experiences</w:t>
      </w:r>
      <w:r w:rsidRPr="004831EB">
        <w:rPr>
          <w:lang w:val="en-GB"/>
        </w:rPr>
        <w:t xml:space="preserve"> a </w:t>
      </w:r>
      <w:r>
        <w:rPr>
          <w:lang w:val="en-GB"/>
        </w:rPr>
        <w:t>flexural type</w:t>
      </w:r>
      <w:r w:rsidRPr="004831EB">
        <w:rPr>
          <w:lang w:val="en-GB"/>
        </w:rPr>
        <w:t xml:space="preserve"> shape mode, while the top experiences a </w:t>
      </w:r>
      <w:r>
        <w:rPr>
          <w:lang w:val="en-GB"/>
        </w:rPr>
        <w:t>shear-</w:t>
      </w:r>
      <w:r w:rsidRPr="004831EB">
        <w:rPr>
          <w:lang w:val="en-GB"/>
        </w:rPr>
        <w:t>type shape mode.</w:t>
      </w:r>
    </w:p>
    <w:p w14:paraId="607672A7" w14:textId="77777777" w:rsidR="00D1461E" w:rsidRDefault="00D1461E" w:rsidP="00D1461E">
      <w:pPr>
        <w:pStyle w:val="Section"/>
      </w:pPr>
      <w:r>
        <w:t>Conclusions</w:t>
      </w:r>
    </w:p>
    <w:p w14:paraId="7DBE8E30" w14:textId="77777777" w:rsidR="00D1461E" w:rsidRDefault="00D1461E" w:rsidP="00D1461E">
      <w:pPr>
        <w:pStyle w:val="Bodytext"/>
        <w:numPr>
          <w:ilvl w:val="0"/>
          <w:numId w:val="6"/>
        </w:numPr>
      </w:pPr>
      <w:r w:rsidRPr="00A11CAE">
        <w:t xml:space="preserve">The results show that the structural vibration time of all models, especially of the graded concrete buildings, do not exceed the maximum allowable value. The higher the building height, the greater the fundamental period of the structure produced. </w:t>
      </w:r>
    </w:p>
    <w:p w14:paraId="1261B3C9" w14:textId="7DFD1421" w:rsidR="00D1461E" w:rsidRDefault="00D1461E" w:rsidP="00D1461E">
      <w:pPr>
        <w:pStyle w:val="Bodytext"/>
        <w:numPr>
          <w:ilvl w:val="0"/>
          <w:numId w:val="6"/>
        </w:numPr>
      </w:pPr>
      <w:r w:rsidRPr="00A11CAE">
        <w:t xml:space="preserve">The use of graded concrete provides a significant effect in high-rise buildings so that the high-rise structures behave more rigid in responding to lateral loads, especially from </w:t>
      </w:r>
      <w:r w:rsidR="0074453D">
        <w:t xml:space="preserve">an </w:t>
      </w:r>
      <w:r w:rsidRPr="00A11CAE">
        <w:t xml:space="preserve">earthquake. The trend of storey stiffness increase is at the minimum value at the lower level and is gradually increasing on the higher </w:t>
      </w:r>
      <w:proofErr w:type="spellStart"/>
      <w:r w:rsidRPr="00A11CAE">
        <w:t>storey</w:t>
      </w:r>
      <w:proofErr w:type="spellEnd"/>
      <w:r w:rsidRPr="00A11CAE">
        <w:t xml:space="preserve"> level. The less increase in storey stiffness at the lower level is due to the dominance of behaviour of structures in general which the stiffness will increase due to the influence of the restraint provided by columns as axial resisting elements. </w:t>
      </w:r>
    </w:p>
    <w:p w14:paraId="493AF2AC" w14:textId="70FA40E7" w:rsidR="00D1461E" w:rsidRPr="00A11CAE" w:rsidRDefault="00D1461E" w:rsidP="00D1461E">
      <w:pPr>
        <w:pStyle w:val="Bodytext"/>
        <w:numPr>
          <w:ilvl w:val="0"/>
          <w:numId w:val="6"/>
        </w:numPr>
      </w:pPr>
      <w:r w:rsidRPr="00A11CAE">
        <w:t>The application of graded concrete as building materials in multi-storey buildings can be applied in storey level above the 1st floor so that the factors of material characteristics will dominate rather than the behaviour of the structures to create efficient construction. The results of the analysis show that the use of graded concrete can reduce the value of sway in each model. The reduction of the sway gradually increases on the upper floor of the building. This is related to the additional stiffness contributed by the graded concrete material in the beams against the slabs.</w:t>
      </w:r>
    </w:p>
    <w:p w14:paraId="28F2DD74" w14:textId="0410CA2E" w:rsidR="009A0487" w:rsidRDefault="009A0487">
      <w:pPr>
        <w:pStyle w:val="Sectionnonumber"/>
      </w:pPr>
      <w:r>
        <w:t>References</w:t>
      </w:r>
    </w:p>
    <w:p w14:paraId="47F20029" w14:textId="77777777" w:rsidR="00CC3D0B" w:rsidRPr="00CC3D0B" w:rsidRDefault="00CC3D0B" w:rsidP="00692739">
      <w:pPr>
        <w:pStyle w:val="Bibliography"/>
        <w:spacing w:after="0"/>
        <w:rPr>
          <w:rFonts w:cs="Times"/>
        </w:rPr>
      </w:pPr>
      <w:r>
        <w:fldChar w:fldCharType="begin"/>
      </w:r>
      <w:r>
        <w:instrText xml:space="preserve"> ADDIN ZOTERO_BIBL {"uncited":[],"omitted":[],"custom":[]} CSL_BIBLIOGRAPHY </w:instrText>
      </w:r>
      <w:r>
        <w:fldChar w:fldCharType="separate"/>
      </w:r>
      <w:r w:rsidRPr="00CC3D0B">
        <w:rPr>
          <w:rFonts w:cs="Times"/>
        </w:rPr>
        <w:t>[1]</w:t>
      </w:r>
      <w:r w:rsidRPr="00CC3D0B">
        <w:rPr>
          <w:rFonts w:cs="Times"/>
        </w:rPr>
        <w:tab/>
        <w:t xml:space="preserve"> Van Damme H 2018 Concrete material science: Past, present, and future innovations </w:t>
      </w:r>
      <w:r w:rsidRPr="00CC3D0B">
        <w:rPr>
          <w:rFonts w:cs="Times"/>
          <w:i/>
          <w:iCs/>
        </w:rPr>
        <w:t>Cem. Concr. Res.</w:t>
      </w:r>
      <w:r w:rsidRPr="00CC3D0B">
        <w:rPr>
          <w:rFonts w:cs="Times"/>
        </w:rPr>
        <w:t xml:space="preserve"> </w:t>
      </w:r>
      <w:r w:rsidRPr="00CC3D0B">
        <w:rPr>
          <w:rFonts w:cs="Times"/>
          <w:b/>
          <w:bCs/>
        </w:rPr>
        <w:t>112</w:t>
      </w:r>
      <w:r w:rsidRPr="00CC3D0B">
        <w:rPr>
          <w:rFonts w:cs="Times"/>
        </w:rPr>
        <w:t xml:space="preserve"> 5–24</w:t>
      </w:r>
    </w:p>
    <w:p w14:paraId="29FD07CD" w14:textId="77777777" w:rsidR="00CC3D0B" w:rsidRPr="00CC3D0B" w:rsidRDefault="00CC3D0B" w:rsidP="00692739">
      <w:pPr>
        <w:pStyle w:val="Bibliography"/>
        <w:spacing w:after="0"/>
        <w:rPr>
          <w:rFonts w:cs="Times"/>
        </w:rPr>
      </w:pPr>
      <w:r w:rsidRPr="00CC3D0B">
        <w:rPr>
          <w:rFonts w:cs="Times"/>
        </w:rPr>
        <w:t>[2]</w:t>
      </w:r>
      <w:r w:rsidRPr="00CC3D0B">
        <w:rPr>
          <w:rFonts w:cs="Times"/>
        </w:rPr>
        <w:tab/>
        <w:t xml:space="preserve"> Tang S W, Yao Y, Andrade C and Li Z J 2015 Recent durability studies on concrete structure </w:t>
      </w:r>
      <w:r w:rsidRPr="00CC3D0B">
        <w:rPr>
          <w:rFonts w:cs="Times"/>
          <w:i/>
          <w:iCs/>
        </w:rPr>
        <w:t>Cem. Concr. Res.</w:t>
      </w:r>
      <w:r w:rsidRPr="00CC3D0B">
        <w:rPr>
          <w:rFonts w:cs="Times"/>
        </w:rPr>
        <w:t xml:space="preserve"> </w:t>
      </w:r>
      <w:r w:rsidRPr="00CC3D0B">
        <w:rPr>
          <w:rFonts w:cs="Times"/>
          <w:b/>
          <w:bCs/>
        </w:rPr>
        <w:t>78</w:t>
      </w:r>
      <w:r w:rsidRPr="00CC3D0B">
        <w:rPr>
          <w:rFonts w:cs="Times"/>
        </w:rPr>
        <w:t xml:space="preserve"> 143–54</w:t>
      </w:r>
    </w:p>
    <w:p w14:paraId="6B211451" w14:textId="77777777" w:rsidR="00CC3D0B" w:rsidRPr="00CC3D0B" w:rsidRDefault="00CC3D0B" w:rsidP="00692739">
      <w:pPr>
        <w:pStyle w:val="Bibliography"/>
        <w:spacing w:after="0"/>
        <w:rPr>
          <w:rFonts w:cs="Times"/>
        </w:rPr>
      </w:pPr>
      <w:r w:rsidRPr="00CC3D0B">
        <w:rPr>
          <w:rFonts w:cs="Times"/>
        </w:rPr>
        <w:t>[3]</w:t>
      </w:r>
      <w:r w:rsidRPr="00CC3D0B">
        <w:rPr>
          <w:rFonts w:cs="Times"/>
        </w:rPr>
        <w:tab/>
        <w:t xml:space="preserve"> Loser R, Lothenbach B, Leemann A and Tuchschmid M 2010 Chloride resistance of concrete and its binding capacity – Comparison between experimental results and thermodynamic modeling </w:t>
      </w:r>
      <w:r w:rsidRPr="00CC3D0B">
        <w:rPr>
          <w:rFonts w:cs="Times"/>
          <w:i/>
          <w:iCs/>
        </w:rPr>
        <w:t>Cem. Concr. Compos.</w:t>
      </w:r>
      <w:r w:rsidRPr="00CC3D0B">
        <w:rPr>
          <w:rFonts w:cs="Times"/>
        </w:rPr>
        <w:t xml:space="preserve"> </w:t>
      </w:r>
      <w:r w:rsidRPr="00CC3D0B">
        <w:rPr>
          <w:rFonts w:cs="Times"/>
          <w:b/>
          <w:bCs/>
        </w:rPr>
        <w:t>32</w:t>
      </w:r>
      <w:r w:rsidRPr="00CC3D0B">
        <w:rPr>
          <w:rFonts w:cs="Times"/>
        </w:rPr>
        <w:t xml:space="preserve"> 34–42</w:t>
      </w:r>
    </w:p>
    <w:p w14:paraId="6F156740" w14:textId="77777777" w:rsidR="00CC3D0B" w:rsidRPr="00CC3D0B" w:rsidRDefault="00CC3D0B" w:rsidP="00692739">
      <w:pPr>
        <w:pStyle w:val="Bibliography"/>
        <w:spacing w:after="0"/>
        <w:rPr>
          <w:rFonts w:cs="Times"/>
        </w:rPr>
      </w:pPr>
      <w:r w:rsidRPr="00CC3D0B">
        <w:rPr>
          <w:rFonts w:cs="Times"/>
        </w:rPr>
        <w:t>[4]</w:t>
      </w:r>
      <w:r w:rsidRPr="00CC3D0B">
        <w:rPr>
          <w:rFonts w:cs="Times"/>
        </w:rPr>
        <w:tab/>
        <w:t xml:space="preserve"> M. Mirza Abdillah Pratama 2015 An Experimental Study and Finite Element Approach to the Behavior of Graded Concrete</w:t>
      </w:r>
    </w:p>
    <w:p w14:paraId="2326FDF5" w14:textId="77777777" w:rsidR="00CC3D0B" w:rsidRPr="00CC3D0B" w:rsidRDefault="00CC3D0B" w:rsidP="00692739">
      <w:pPr>
        <w:pStyle w:val="Bibliography"/>
        <w:spacing w:after="0"/>
        <w:rPr>
          <w:rFonts w:cs="Times"/>
        </w:rPr>
      </w:pPr>
      <w:r w:rsidRPr="00CC3D0B">
        <w:rPr>
          <w:rFonts w:cs="Times"/>
        </w:rPr>
        <w:t>[5]</w:t>
      </w:r>
      <w:r w:rsidRPr="00CC3D0B">
        <w:rPr>
          <w:rFonts w:cs="Times"/>
        </w:rPr>
        <w:tab/>
        <w:t xml:space="preserve"> Pratama M M A ANALISIS NUMERIK MODULUS ELASTISITAS BETON GRADASI 8</w:t>
      </w:r>
    </w:p>
    <w:p w14:paraId="29E975A6" w14:textId="77777777" w:rsidR="00CC3D0B" w:rsidRPr="00CC3D0B" w:rsidRDefault="00CC3D0B" w:rsidP="00692739">
      <w:pPr>
        <w:pStyle w:val="Bibliography"/>
        <w:spacing w:after="0"/>
        <w:rPr>
          <w:rFonts w:cs="Times"/>
        </w:rPr>
      </w:pPr>
      <w:r w:rsidRPr="00CC3D0B">
        <w:rPr>
          <w:rFonts w:cs="Times"/>
        </w:rPr>
        <w:t>[6]</w:t>
      </w:r>
      <w:r w:rsidRPr="00CC3D0B">
        <w:rPr>
          <w:rFonts w:cs="Times"/>
        </w:rPr>
        <w:tab/>
        <w:t xml:space="preserve"> Pratama M M A, Aylie H, Gan B S, Umniati B S, Risdanareni P and Fauziyah S 2017 Effect of concrete strength gradation to the compressive strength of graded concrete, a numerical approach GREEN CONSTRUCTION AND ENGINEERING EDUCATION FOR SUSTAINABLE FUTURE: Proceedings of the Green Construction and Engineering Education (GCEE) Conference 2017 (East Java, Indonesia) p 020029</w:t>
      </w:r>
    </w:p>
    <w:p w14:paraId="7C532C61" w14:textId="77777777" w:rsidR="00CC3D0B" w:rsidRPr="00CC3D0B" w:rsidRDefault="00CC3D0B" w:rsidP="00692739">
      <w:pPr>
        <w:pStyle w:val="Bibliography"/>
        <w:spacing w:after="0"/>
        <w:rPr>
          <w:rFonts w:cs="Times"/>
        </w:rPr>
      </w:pPr>
      <w:r w:rsidRPr="00CC3D0B">
        <w:rPr>
          <w:rFonts w:cs="Times"/>
        </w:rPr>
        <w:t>[7]</w:t>
      </w:r>
      <w:r w:rsidRPr="00CC3D0B">
        <w:rPr>
          <w:rFonts w:cs="Times"/>
        </w:rPr>
        <w:tab/>
        <w:t xml:space="preserve"> Pratama M M A, Sthenly Gan B, Han Ay Lie H A L and Nur Rahma Putra A B 2019 A Numerical Analysis of The Modulus of Elasticity of The Graded Concrete </w:t>
      </w:r>
      <w:r w:rsidRPr="00CC3D0B">
        <w:rPr>
          <w:rFonts w:cs="Times"/>
          <w:i/>
          <w:iCs/>
        </w:rPr>
        <w:t>Proceedings of the 2nd International Conference on Vocational Education and Training (ICOVET 2018)</w:t>
      </w:r>
      <w:r w:rsidRPr="00CC3D0B">
        <w:rPr>
          <w:rFonts w:cs="Times"/>
        </w:rPr>
        <w:t xml:space="preserve"> Proceedings of the 2nd International Conference on Vocational Education and Training (ICOVET 2018) (Malang, Indonesia: Atlantis Press)</w:t>
      </w:r>
    </w:p>
    <w:p w14:paraId="1DDA8598" w14:textId="77777777" w:rsidR="00CC3D0B" w:rsidRPr="00CC3D0B" w:rsidRDefault="00CC3D0B" w:rsidP="00692739">
      <w:pPr>
        <w:pStyle w:val="Bibliography"/>
        <w:spacing w:after="0"/>
        <w:rPr>
          <w:rFonts w:cs="Times"/>
        </w:rPr>
      </w:pPr>
      <w:r w:rsidRPr="00CC3D0B">
        <w:rPr>
          <w:rFonts w:cs="Times"/>
        </w:rPr>
        <w:t>[8]</w:t>
      </w:r>
      <w:r w:rsidRPr="00CC3D0B">
        <w:rPr>
          <w:rFonts w:cs="Times"/>
        </w:rPr>
        <w:tab/>
        <w:t xml:space="preserve"> Pratama M M A, Umniati B S, Arumsari Mutiara Wulandari B, Han A L, Sthenly Gan B and Zhabrinna Z 2018 Modulus elasticity of the graded concrete, a preliminary research ed P Hajek, A L Han, S Kristiawan, W T Chan, M b. Ismail, B S Gan, R Sriravindrarajah and B A Hidayat </w:t>
      </w:r>
      <w:r w:rsidRPr="00CC3D0B">
        <w:rPr>
          <w:rFonts w:cs="Times"/>
          <w:i/>
          <w:iCs/>
        </w:rPr>
        <w:t>MATEC Web Conf.</w:t>
      </w:r>
      <w:r w:rsidRPr="00CC3D0B">
        <w:rPr>
          <w:rFonts w:cs="Times"/>
        </w:rPr>
        <w:t xml:space="preserve"> </w:t>
      </w:r>
      <w:r w:rsidRPr="00CC3D0B">
        <w:rPr>
          <w:rFonts w:cs="Times"/>
          <w:b/>
          <w:bCs/>
        </w:rPr>
        <w:t>195</w:t>
      </w:r>
      <w:r w:rsidRPr="00CC3D0B">
        <w:rPr>
          <w:rFonts w:cs="Times"/>
        </w:rPr>
        <w:t xml:space="preserve"> 01005</w:t>
      </w:r>
    </w:p>
    <w:p w14:paraId="6343D189" w14:textId="77777777" w:rsidR="00CC3D0B" w:rsidRPr="00CC3D0B" w:rsidRDefault="00CC3D0B" w:rsidP="00692739">
      <w:pPr>
        <w:pStyle w:val="Bibliography"/>
        <w:spacing w:after="0"/>
        <w:rPr>
          <w:rFonts w:cs="Times"/>
        </w:rPr>
      </w:pPr>
      <w:r w:rsidRPr="00CC3D0B">
        <w:rPr>
          <w:rFonts w:cs="Times"/>
        </w:rPr>
        <w:t>[9]</w:t>
      </w:r>
      <w:r w:rsidRPr="00CC3D0B">
        <w:rPr>
          <w:rFonts w:cs="Times"/>
        </w:rPr>
        <w:tab/>
        <w:t xml:space="preserve"> Pratama M M A, Arifanda W, Karyadi K, Nindyawati N, Sulaksitaningrum R and Prayuda H 2019 Numerical and experimental investigation on the shear resistance of functionally graded concrete (FGC) beams </w:t>
      </w:r>
      <w:r w:rsidRPr="00CC3D0B">
        <w:rPr>
          <w:rFonts w:cs="Times"/>
          <w:i/>
          <w:iCs/>
        </w:rPr>
        <w:t>IOP Conf. Ser. Mater. Sci. Eng.</w:t>
      </w:r>
      <w:r w:rsidRPr="00CC3D0B">
        <w:rPr>
          <w:rFonts w:cs="Times"/>
        </w:rPr>
        <w:t xml:space="preserve"> </w:t>
      </w:r>
      <w:r w:rsidRPr="00CC3D0B">
        <w:rPr>
          <w:rFonts w:cs="Times"/>
          <w:b/>
          <w:bCs/>
        </w:rPr>
        <w:t>669</w:t>
      </w:r>
      <w:r w:rsidRPr="00CC3D0B">
        <w:rPr>
          <w:rFonts w:cs="Times"/>
        </w:rPr>
        <w:t xml:space="preserve"> 012055</w:t>
      </w:r>
    </w:p>
    <w:p w14:paraId="3BCA7340" w14:textId="77777777" w:rsidR="00CC3D0B" w:rsidRPr="00CC3D0B" w:rsidRDefault="00CC3D0B" w:rsidP="00692739">
      <w:pPr>
        <w:pStyle w:val="Bibliography"/>
        <w:spacing w:after="0"/>
        <w:rPr>
          <w:rFonts w:cs="Times"/>
        </w:rPr>
      </w:pPr>
      <w:r w:rsidRPr="00CC3D0B">
        <w:rPr>
          <w:rFonts w:cs="Times"/>
        </w:rPr>
        <w:t>[10]</w:t>
      </w:r>
      <w:r w:rsidRPr="00CC3D0B">
        <w:rPr>
          <w:rFonts w:cs="Times"/>
        </w:rPr>
        <w:tab/>
        <w:t xml:space="preserve"> Pratama M M A, Vertian T, Umniati B S and Yoh W H 2019 Flexural behaviour of the functionally graded concrete beams using two-layers and three-layers configuration </w:t>
      </w:r>
      <w:r w:rsidRPr="00CC3D0B">
        <w:rPr>
          <w:rFonts w:cs="Times"/>
          <w:i/>
          <w:iCs/>
        </w:rPr>
        <w:t>IOP Conf. Ser. Mater. Sci. Eng.</w:t>
      </w:r>
      <w:r w:rsidRPr="00CC3D0B">
        <w:rPr>
          <w:rFonts w:cs="Times"/>
        </w:rPr>
        <w:t xml:space="preserve"> </w:t>
      </w:r>
      <w:r w:rsidRPr="00CC3D0B">
        <w:rPr>
          <w:rFonts w:cs="Times"/>
          <w:b/>
          <w:bCs/>
        </w:rPr>
        <w:t>669</w:t>
      </w:r>
      <w:r w:rsidRPr="00CC3D0B">
        <w:rPr>
          <w:rFonts w:cs="Times"/>
        </w:rPr>
        <w:t xml:space="preserve"> 012054</w:t>
      </w:r>
    </w:p>
    <w:p w14:paraId="60B4291A" w14:textId="77777777" w:rsidR="00CC3D0B" w:rsidRPr="00CC3D0B" w:rsidRDefault="00CC3D0B" w:rsidP="00692739">
      <w:pPr>
        <w:pStyle w:val="Bibliography"/>
        <w:spacing w:after="0"/>
        <w:rPr>
          <w:rFonts w:cs="Times"/>
        </w:rPr>
      </w:pPr>
      <w:r w:rsidRPr="00CC3D0B">
        <w:rPr>
          <w:rFonts w:cs="Times"/>
        </w:rPr>
        <w:t>[11]</w:t>
      </w:r>
      <w:r w:rsidRPr="00CC3D0B">
        <w:rPr>
          <w:rFonts w:cs="Times"/>
        </w:rPr>
        <w:tab/>
        <w:t xml:space="preserve"> Pratama M M A, Suhud R K, Puspitasari P, Kusuma F I and Rahma Putra A B N 2019 Finite element analysis of the bending moment-curvature of the double-layered graded concrete beam </w:t>
      </w:r>
      <w:r w:rsidRPr="00CC3D0B">
        <w:rPr>
          <w:rFonts w:cs="Times"/>
          <w:i/>
          <w:iCs/>
        </w:rPr>
        <w:t>IOP Conf. Ser. Mater. Sci. Eng.</w:t>
      </w:r>
      <w:r w:rsidRPr="00CC3D0B">
        <w:rPr>
          <w:rFonts w:cs="Times"/>
        </w:rPr>
        <w:t xml:space="preserve"> </w:t>
      </w:r>
      <w:r w:rsidRPr="00CC3D0B">
        <w:rPr>
          <w:rFonts w:cs="Times"/>
          <w:b/>
          <w:bCs/>
        </w:rPr>
        <w:t>494</w:t>
      </w:r>
      <w:r w:rsidRPr="00CC3D0B">
        <w:rPr>
          <w:rFonts w:cs="Times"/>
        </w:rPr>
        <w:t xml:space="preserve"> 012064</w:t>
      </w:r>
    </w:p>
    <w:p w14:paraId="7A99B5E4" w14:textId="77777777" w:rsidR="00CC3D0B" w:rsidRPr="00CC3D0B" w:rsidRDefault="00CC3D0B" w:rsidP="00692739">
      <w:pPr>
        <w:pStyle w:val="Bibliography"/>
        <w:spacing w:after="0"/>
        <w:rPr>
          <w:rFonts w:cs="Times"/>
        </w:rPr>
      </w:pPr>
      <w:r w:rsidRPr="00CC3D0B">
        <w:rPr>
          <w:rFonts w:cs="Times"/>
        </w:rPr>
        <w:t>[12]</w:t>
      </w:r>
      <w:r w:rsidRPr="00CC3D0B">
        <w:rPr>
          <w:rFonts w:cs="Times"/>
        </w:rPr>
        <w:tab/>
        <w:t xml:space="preserve"> Tarek A. Awida 2012 Slenderness Ratio Influence on the Structural Behavior of Residential Concrete Tall Buildings </w:t>
      </w:r>
      <w:r w:rsidRPr="00CC3D0B">
        <w:rPr>
          <w:rFonts w:cs="Times"/>
          <w:i/>
          <w:iCs/>
        </w:rPr>
        <w:t>J. Civ. Eng. Archit.</w:t>
      </w:r>
      <w:r w:rsidRPr="00CC3D0B">
        <w:rPr>
          <w:rFonts w:cs="Times"/>
        </w:rPr>
        <w:t xml:space="preserve"> </w:t>
      </w:r>
      <w:r w:rsidRPr="00CC3D0B">
        <w:rPr>
          <w:rFonts w:cs="Times"/>
          <w:b/>
          <w:bCs/>
        </w:rPr>
        <w:t>5</w:t>
      </w:r>
    </w:p>
    <w:p w14:paraId="75E3D7CC" w14:textId="77777777" w:rsidR="00CC3D0B" w:rsidRPr="00CC3D0B" w:rsidRDefault="00CC3D0B" w:rsidP="00692739">
      <w:pPr>
        <w:pStyle w:val="Bibliography"/>
        <w:spacing w:after="0"/>
        <w:rPr>
          <w:rFonts w:cs="Times"/>
        </w:rPr>
      </w:pPr>
      <w:r w:rsidRPr="00CC3D0B">
        <w:rPr>
          <w:rFonts w:cs="Times"/>
        </w:rPr>
        <w:t>[13]</w:t>
      </w:r>
      <w:r w:rsidRPr="00CC3D0B">
        <w:rPr>
          <w:rFonts w:cs="Times"/>
        </w:rPr>
        <w:tab/>
        <w:t xml:space="preserve"> Sulaksitaningrum R, Umniati B S, Ellsa Sarassantika I P, Casita C B, Pratama M M A, Santoso E and Sulton M 2019 The optimal damper placement configuration for three-dimensional RC building </w:t>
      </w:r>
      <w:r w:rsidRPr="00CC3D0B">
        <w:rPr>
          <w:rFonts w:cs="Times"/>
          <w:i/>
          <w:iCs/>
        </w:rPr>
        <w:t>IOP Conf. Ser. Mater. Sci. Eng.</w:t>
      </w:r>
      <w:r w:rsidRPr="00CC3D0B">
        <w:rPr>
          <w:rFonts w:cs="Times"/>
        </w:rPr>
        <w:t xml:space="preserve"> </w:t>
      </w:r>
      <w:r w:rsidRPr="00CC3D0B">
        <w:rPr>
          <w:rFonts w:cs="Times"/>
          <w:b/>
          <w:bCs/>
        </w:rPr>
        <w:t>669</w:t>
      </w:r>
      <w:r w:rsidRPr="00CC3D0B">
        <w:rPr>
          <w:rFonts w:cs="Times"/>
        </w:rPr>
        <w:t xml:space="preserve"> 012056</w:t>
      </w:r>
    </w:p>
    <w:p w14:paraId="40DAA392" w14:textId="77777777" w:rsidR="00CC3D0B" w:rsidRPr="00CC3D0B" w:rsidRDefault="00CC3D0B" w:rsidP="00692739">
      <w:pPr>
        <w:pStyle w:val="Bibliography"/>
        <w:spacing w:after="0"/>
        <w:rPr>
          <w:rFonts w:cs="Times"/>
        </w:rPr>
      </w:pPr>
      <w:r w:rsidRPr="00CC3D0B">
        <w:rPr>
          <w:rFonts w:cs="Times"/>
        </w:rPr>
        <w:t>[14]</w:t>
      </w:r>
      <w:r w:rsidRPr="00CC3D0B">
        <w:rPr>
          <w:rFonts w:cs="Times"/>
        </w:rPr>
        <w:tab/>
        <w:t xml:space="preserve"> Malla S, Karanjit S, Dangol P and Gautam D 2019 Seismic Performance of High-Rise Condominium Building during the 2015 Gorkha Earthquake Sequence </w:t>
      </w:r>
      <w:r w:rsidRPr="00CC3D0B">
        <w:rPr>
          <w:rFonts w:cs="Times"/>
          <w:i/>
          <w:iCs/>
        </w:rPr>
        <w:t>Buildings</w:t>
      </w:r>
      <w:r w:rsidRPr="00CC3D0B">
        <w:rPr>
          <w:rFonts w:cs="Times"/>
        </w:rPr>
        <w:t xml:space="preserve"> </w:t>
      </w:r>
      <w:r w:rsidRPr="00CC3D0B">
        <w:rPr>
          <w:rFonts w:cs="Times"/>
          <w:b/>
          <w:bCs/>
        </w:rPr>
        <w:t>9</w:t>
      </w:r>
      <w:r w:rsidRPr="00CC3D0B">
        <w:rPr>
          <w:rFonts w:cs="Times"/>
        </w:rPr>
        <w:t xml:space="preserve"> 36</w:t>
      </w:r>
    </w:p>
    <w:p w14:paraId="1849FD0F" w14:textId="6AFE147B" w:rsidR="00436925" w:rsidRDefault="00CC3D0B" w:rsidP="00436925">
      <w:pPr>
        <w:pStyle w:val="Sectionnonumber"/>
      </w:pPr>
      <w:r>
        <w:fldChar w:fldCharType="end"/>
      </w:r>
      <w:r w:rsidR="00436925">
        <w:t>Acknowledgement</w:t>
      </w:r>
    </w:p>
    <w:p w14:paraId="697DD7F4" w14:textId="77777777" w:rsidR="00436925" w:rsidRDefault="00436925" w:rsidP="00436925">
      <w:pPr>
        <w:pStyle w:val="Bodytext"/>
      </w:pPr>
      <w:r>
        <w:t>This work was supported by PNBP research grant of Universitas Negeri Malang</w:t>
      </w:r>
    </w:p>
    <w:p w14:paraId="6084668A" w14:textId="1BD28BA0" w:rsidR="006F45A4" w:rsidRPr="00C05E48" w:rsidRDefault="006F45A4" w:rsidP="00692739">
      <w:pPr>
        <w:pStyle w:val="Reference"/>
        <w:numPr>
          <w:ilvl w:val="0"/>
          <w:numId w:val="0"/>
        </w:numPr>
        <w:ind w:left="851" w:hanging="851"/>
      </w:pPr>
    </w:p>
    <w:sectPr w:rsidR="006F45A4" w:rsidRPr="00C05E48">
      <w:headerReference w:type="even" r:id="rId17"/>
      <w:headerReference w:type="default" r:id="rId18"/>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21B469" w14:textId="77777777" w:rsidR="004E099A" w:rsidRDefault="004E099A">
      <w:r>
        <w:separator/>
      </w:r>
    </w:p>
  </w:endnote>
  <w:endnote w:type="continuationSeparator" w:id="0">
    <w:p w14:paraId="4EC91262" w14:textId="77777777" w:rsidR="004E099A" w:rsidRDefault="004E0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9B097" w14:textId="77777777" w:rsidR="004E099A" w:rsidRPr="00043761" w:rsidRDefault="004E099A">
      <w:pPr>
        <w:pStyle w:val="Bulleted"/>
        <w:numPr>
          <w:ilvl w:val="0"/>
          <w:numId w:val="0"/>
        </w:numPr>
        <w:rPr>
          <w:rFonts w:ascii="Sabon" w:hAnsi="Sabon"/>
          <w:color w:val="auto"/>
          <w:szCs w:val="20"/>
        </w:rPr>
      </w:pPr>
      <w:r>
        <w:separator/>
      </w:r>
    </w:p>
  </w:footnote>
  <w:footnote w:type="continuationSeparator" w:id="0">
    <w:p w14:paraId="5EB8BD29" w14:textId="77777777" w:rsidR="004E099A" w:rsidRDefault="004E0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E6983" w14:textId="77777777" w:rsidR="00216396" w:rsidRDefault="002163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CF15E" w14:textId="77777777" w:rsidR="00216396" w:rsidRDefault="00216396"/>
  <w:p w14:paraId="64847A4A" w14:textId="77777777" w:rsidR="00216396" w:rsidRDefault="00216396"/>
  <w:p w14:paraId="495457B4" w14:textId="77777777" w:rsidR="00216396" w:rsidRDefault="00216396"/>
  <w:p w14:paraId="43B560AB" w14:textId="77777777" w:rsidR="00216396" w:rsidRDefault="00216396"/>
  <w:p w14:paraId="204A5684" w14:textId="77777777" w:rsidR="00216396" w:rsidRDefault="00216396"/>
  <w:p w14:paraId="5EE5C9FD" w14:textId="77777777" w:rsidR="00216396" w:rsidRDefault="002163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678B9"/>
    <w:multiLevelType w:val="hybridMultilevel"/>
    <w:tmpl w:val="3B4433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4AF5393"/>
    <w:multiLevelType w:val="hybridMultilevel"/>
    <w:tmpl w:val="E4701AD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5"/>
  </w:num>
  <w:num w:numId="2">
    <w:abstractNumId w:val="3"/>
  </w:num>
  <w:num w:numId="3">
    <w:abstractNumId w:val="1"/>
  </w:num>
  <w:num w:numId="4">
    <w:abstractNumId w:val="4"/>
  </w:num>
  <w:num w:numId="5">
    <w:abstractNumId w:val="2"/>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hideSpellingErrors/>
  <w:hideGrammaticalErrors/>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savePreviewPicture/>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A0MTYCQhNzYwtTAyUdpeDU4uLM/DyQAvNaAHPU0yYsAAAA"/>
  </w:docVars>
  <w:rsids>
    <w:rsidRoot w:val="00EF6BE4"/>
    <w:rsid w:val="00006EA6"/>
    <w:rsid w:val="0012281A"/>
    <w:rsid w:val="00142D6F"/>
    <w:rsid w:val="00144E64"/>
    <w:rsid w:val="00181637"/>
    <w:rsid w:val="00192922"/>
    <w:rsid w:val="001D0A47"/>
    <w:rsid w:val="001E54C6"/>
    <w:rsid w:val="00216396"/>
    <w:rsid w:val="00217A99"/>
    <w:rsid w:val="00225CB6"/>
    <w:rsid w:val="002C24E5"/>
    <w:rsid w:val="0039343F"/>
    <w:rsid w:val="00436925"/>
    <w:rsid w:val="00447A92"/>
    <w:rsid w:val="004E099A"/>
    <w:rsid w:val="004F021D"/>
    <w:rsid w:val="005158FA"/>
    <w:rsid w:val="005E7D13"/>
    <w:rsid w:val="00646999"/>
    <w:rsid w:val="00662991"/>
    <w:rsid w:val="00692739"/>
    <w:rsid w:val="006A5822"/>
    <w:rsid w:val="006C30C0"/>
    <w:rsid w:val="006C7042"/>
    <w:rsid w:val="006E541F"/>
    <w:rsid w:val="006F45A4"/>
    <w:rsid w:val="00733CB3"/>
    <w:rsid w:val="0074453D"/>
    <w:rsid w:val="00754339"/>
    <w:rsid w:val="007C1CC1"/>
    <w:rsid w:val="007F78CA"/>
    <w:rsid w:val="00855D89"/>
    <w:rsid w:val="00876AFE"/>
    <w:rsid w:val="0092588E"/>
    <w:rsid w:val="009A0487"/>
    <w:rsid w:val="00A353A8"/>
    <w:rsid w:val="00AF011A"/>
    <w:rsid w:val="00B05982"/>
    <w:rsid w:val="00B77D85"/>
    <w:rsid w:val="00B83F45"/>
    <w:rsid w:val="00C07DA4"/>
    <w:rsid w:val="00C42778"/>
    <w:rsid w:val="00C60BC3"/>
    <w:rsid w:val="00CB1197"/>
    <w:rsid w:val="00CC3D0B"/>
    <w:rsid w:val="00D02747"/>
    <w:rsid w:val="00D1461E"/>
    <w:rsid w:val="00D76137"/>
    <w:rsid w:val="00D8779B"/>
    <w:rsid w:val="00DD3F59"/>
    <w:rsid w:val="00E05ABF"/>
    <w:rsid w:val="00EB1529"/>
    <w:rsid w:val="00EF6BE4"/>
    <w:rsid w:val="00F03422"/>
    <w:rsid w:val="00F47A65"/>
    <w:rsid w:val="00F65A4B"/>
    <w:rsid w:val="00FA64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15E00C"/>
  <w15:docId w15:val="{DAA7BA36-5BC3-4786-BE51-E5E78AEE9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table" w:styleId="TableGrid">
    <w:name w:val="Table Grid"/>
    <w:basedOn w:val="TableNormal"/>
    <w:uiPriority w:val="39"/>
    <w:rsid w:val="00F47A65"/>
    <w:rPr>
      <w:rFonts w:asciiTheme="minorHAnsi" w:eastAsiaTheme="minorEastAsia" w:hAnsiTheme="minorHAnsi" w:cstheme="minorBidi"/>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461E"/>
    <w:pPr>
      <w:ind w:left="720"/>
      <w:contextualSpacing/>
    </w:pPr>
    <w:rPr>
      <w:rFonts w:asciiTheme="minorHAnsi" w:eastAsiaTheme="minorEastAsia" w:hAnsiTheme="minorHAnsi" w:cstheme="minorBidi"/>
      <w:noProof/>
      <w:szCs w:val="22"/>
      <w:lang w:val="id-ID"/>
    </w:rPr>
  </w:style>
  <w:style w:type="paragraph" w:styleId="Bibliography">
    <w:name w:val="Bibliography"/>
    <w:basedOn w:val="Normal"/>
    <w:next w:val="Normal"/>
    <w:uiPriority w:val="37"/>
    <w:unhideWhenUsed/>
    <w:rsid w:val="00CC3D0B"/>
    <w:pPr>
      <w:tabs>
        <w:tab w:val="left" w:pos="504"/>
      </w:tabs>
      <w:spacing w:after="240"/>
      <w:ind w:left="504" w:hanging="504"/>
    </w:pPr>
  </w:style>
  <w:style w:type="character" w:styleId="CommentReference">
    <w:name w:val="annotation reference"/>
    <w:basedOn w:val="DefaultParagraphFont"/>
    <w:uiPriority w:val="99"/>
    <w:semiHidden/>
    <w:unhideWhenUsed/>
    <w:rsid w:val="00855D89"/>
    <w:rPr>
      <w:sz w:val="16"/>
      <w:szCs w:val="16"/>
    </w:rPr>
  </w:style>
  <w:style w:type="paragraph" w:styleId="CommentText">
    <w:name w:val="annotation text"/>
    <w:basedOn w:val="Normal"/>
    <w:link w:val="CommentTextChar"/>
    <w:uiPriority w:val="99"/>
    <w:semiHidden/>
    <w:unhideWhenUsed/>
    <w:rsid w:val="00855D89"/>
    <w:rPr>
      <w:sz w:val="20"/>
    </w:rPr>
  </w:style>
  <w:style w:type="character" w:customStyle="1" w:styleId="CommentTextChar">
    <w:name w:val="Comment Text Char"/>
    <w:basedOn w:val="DefaultParagraphFont"/>
    <w:link w:val="CommentText"/>
    <w:uiPriority w:val="99"/>
    <w:semiHidden/>
    <w:rsid w:val="00855D89"/>
    <w:rPr>
      <w:rFonts w:ascii="Times" w:hAnsi="Times"/>
      <w:lang w:eastAsia="en-US"/>
    </w:rPr>
  </w:style>
  <w:style w:type="paragraph" w:styleId="CommentSubject">
    <w:name w:val="annotation subject"/>
    <w:basedOn w:val="CommentText"/>
    <w:next w:val="CommentText"/>
    <w:link w:val="CommentSubjectChar"/>
    <w:uiPriority w:val="99"/>
    <w:semiHidden/>
    <w:unhideWhenUsed/>
    <w:rsid w:val="00855D89"/>
    <w:rPr>
      <w:b/>
      <w:bCs/>
    </w:rPr>
  </w:style>
  <w:style w:type="character" w:customStyle="1" w:styleId="CommentSubjectChar">
    <w:name w:val="Comment Subject Char"/>
    <w:basedOn w:val="CommentTextChar"/>
    <w:link w:val="CommentSubject"/>
    <w:uiPriority w:val="99"/>
    <w:semiHidden/>
    <w:rsid w:val="00855D89"/>
    <w:rPr>
      <w:rFonts w:ascii="Times" w:hAnsi="Times"/>
      <w:b/>
      <w:bCs/>
      <w:lang w:eastAsia="en-US"/>
    </w:rPr>
  </w:style>
  <w:style w:type="paragraph" w:styleId="BalloonText">
    <w:name w:val="Balloon Text"/>
    <w:basedOn w:val="Normal"/>
    <w:link w:val="BalloonTextChar"/>
    <w:uiPriority w:val="99"/>
    <w:semiHidden/>
    <w:unhideWhenUsed/>
    <w:rsid w:val="00855D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D89"/>
    <w:rPr>
      <w:rFonts w:ascii="Segoe UI" w:hAnsi="Segoe UI" w:cs="Segoe UI"/>
      <w:sz w:val="18"/>
      <w:szCs w:val="18"/>
      <w:lang w:eastAsia="en-US"/>
    </w:rPr>
  </w:style>
  <w:style w:type="paragraph" w:styleId="HTMLPreformatted">
    <w:name w:val="HTML Preformatted"/>
    <w:basedOn w:val="Normal"/>
    <w:link w:val="HTMLPreformattedChar"/>
    <w:uiPriority w:val="99"/>
    <w:semiHidden/>
    <w:unhideWhenUsed/>
    <w:rsid w:val="00855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semiHidden/>
    <w:rsid w:val="00855D89"/>
    <w:rPr>
      <w:rFonts w:ascii="Courier New" w:hAnsi="Courier New" w:cs="Courier New"/>
      <w:lang w:val="en-US" w:eastAsia="en-US"/>
    </w:rPr>
  </w:style>
  <w:style w:type="character" w:customStyle="1" w:styleId="fieldset-legend">
    <w:name w:val="fieldset-legend"/>
    <w:basedOn w:val="DefaultParagraphFont"/>
    <w:rsid w:val="0092588E"/>
  </w:style>
  <w:style w:type="character" w:styleId="Hyperlink">
    <w:name w:val="Hyperlink"/>
    <w:basedOn w:val="DefaultParagraphFont"/>
    <w:uiPriority w:val="99"/>
    <w:semiHidden/>
    <w:unhideWhenUsed/>
    <w:rsid w:val="0092588E"/>
    <w:rPr>
      <w:color w:val="0000FF"/>
      <w:u w:val="single"/>
    </w:rPr>
  </w:style>
  <w:style w:type="character" w:customStyle="1" w:styleId="file">
    <w:name w:val="file"/>
    <w:basedOn w:val="DefaultParagraphFont"/>
    <w:rsid w:val="0092588E"/>
  </w:style>
  <w:style w:type="character" w:customStyle="1" w:styleId="fieldset-legend-prefix">
    <w:name w:val="fieldset-legend-prefix"/>
    <w:basedOn w:val="DefaultParagraphFont"/>
    <w:rsid w:val="00925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601580">
      <w:bodyDiv w:val="1"/>
      <w:marLeft w:val="0"/>
      <w:marRight w:val="0"/>
      <w:marTop w:val="0"/>
      <w:marBottom w:val="0"/>
      <w:divBdr>
        <w:top w:val="none" w:sz="0" w:space="0" w:color="auto"/>
        <w:left w:val="none" w:sz="0" w:space="0" w:color="auto"/>
        <w:bottom w:val="none" w:sz="0" w:space="0" w:color="auto"/>
        <w:right w:val="none" w:sz="0" w:space="0" w:color="auto"/>
      </w:divBdr>
    </w:div>
    <w:div w:id="927932290">
      <w:bodyDiv w:val="1"/>
      <w:marLeft w:val="0"/>
      <w:marRight w:val="0"/>
      <w:marTop w:val="0"/>
      <w:marBottom w:val="0"/>
      <w:divBdr>
        <w:top w:val="none" w:sz="0" w:space="0" w:color="auto"/>
        <w:left w:val="none" w:sz="0" w:space="0" w:color="auto"/>
        <w:bottom w:val="none" w:sz="0" w:space="0" w:color="auto"/>
        <w:right w:val="none" w:sz="0" w:space="0" w:color="auto"/>
      </w:divBdr>
    </w:div>
    <w:div w:id="1410426104">
      <w:bodyDiv w:val="1"/>
      <w:marLeft w:val="0"/>
      <w:marRight w:val="0"/>
      <w:marTop w:val="0"/>
      <w:marBottom w:val="0"/>
      <w:divBdr>
        <w:top w:val="none" w:sz="0" w:space="0" w:color="auto"/>
        <w:left w:val="none" w:sz="0" w:space="0" w:color="auto"/>
        <w:bottom w:val="none" w:sz="0" w:space="0" w:color="auto"/>
        <w:right w:val="none" w:sz="0" w:space="0" w:color="auto"/>
      </w:divBdr>
    </w:div>
    <w:div w:id="1572887726">
      <w:bodyDiv w:val="1"/>
      <w:marLeft w:val="0"/>
      <w:marRight w:val="0"/>
      <w:marTop w:val="0"/>
      <w:marBottom w:val="0"/>
      <w:divBdr>
        <w:top w:val="none" w:sz="0" w:space="0" w:color="auto"/>
        <w:left w:val="none" w:sz="0" w:space="0" w:color="auto"/>
        <w:bottom w:val="none" w:sz="0" w:space="0" w:color="auto"/>
        <w:right w:val="none" w:sz="0" w:space="0" w:color="auto"/>
      </w:divBdr>
      <w:divsChild>
        <w:div w:id="999233465">
          <w:marLeft w:val="0"/>
          <w:marRight w:val="0"/>
          <w:marTop w:val="0"/>
          <w:marBottom w:val="0"/>
          <w:divBdr>
            <w:top w:val="none" w:sz="0" w:space="0" w:color="auto"/>
            <w:left w:val="none" w:sz="0" w:space="0" w:color="auto"/>
            <w:bottom w:val="none" w:sz="0" w:space="0" w:color="auto"/>
            <w:right w:val="none" w:sz="0" w:space="0" w:color="auto"/>
          </w:divBdr>
          <w:divsChild>
            <w:div w:id="995840514">
              <w:marLeft w:val="0"/>
              <w:marRight w:val="0"/>
              <w:marTop w:val="0"/>
              <w:marBottom w:val="0"/>
              <w:divBdr>
                <w:top w:val="none" w:sz="0" w:space="0" w:color="auto"/>
                <w:left w:val="none" w:sz="0" w:space="0" w:color="auto"/>
                <w:bottom w:val="none" w:sz="0" w:space="0" w:color="auto"/>
                <w:right w:val="none" w:sz="0" w:space="0" w:color="auto"/>
              </w:divBdr>
              <w:divsChild>
                <w:div w:id="734669255">
                  <w:marLeft w:val="0"/>
                  <w:marRight w:val="0"/>
                  <w:marTop w:val="0"/>
                  <w:marBottom w:val="0"/>
                  <w:divBdr>
                    <w:top w:val="none" w:sz="0" w:space="0" w:color="auto"/>
                    <w:left w:val="none" w:sz="0" w:space="0" w:color="auto"/>
                    <w:bottom w:val="none" w:sz="0" w:space="0" w:color="auto"/>
                    <w:right w:val="none" w:sz="0" w:space="0" w:color="auto"/>
                  </w:divBdr>
                </w:div>
                <w:div w:id="1801915594">
                  <w:marLeft w:val="0"/>
                  <w:marRight w:val="0"/>
                  <w:marTop w:val="0"/>
                  <w:marBottom w:val="0"/>
                  <w:divBdr>
                    <w:top w:val="none" w:sz="0" w:space="0" w:color="auto"/>
                    <w:left w:val="none" w:sz="0" w:space="0" w:color="auto"/>
                    <w:bottom w:val="none" w:sz="0" w:space="0" w:color="auto"/>
                    <w:right w:val="none" w:sz="0" w:space="0" w:color="auto"/>
                  </w:divBdr>
                  <w:divsChild>
                    <w:div w:id="117441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83327">
              <w:marLeft w:val="0"/>
              <w:marRight w:val="0"/>
              <w:marTop w:val="0"/>
              <w:marBottom w:val="0"/>
              <w:divBdr>
                <w:top w:val="none" w:sz="0" w:space="0" w:color="auto"/>
                <w:left w:val="none" w:sz="0" w:space="0" w:color="auto"/>
                <w:bottom w:val="none" w:sz="0" w:space="0" w:color="auto"/>
                <w:right w:val="none" w:sz="0" w:space="0" w:color="auto"/>
              </w:divBdr>
              <w:divsChild>
                <w:div w:id="1206716037">
                  <w:marLeft w:val="0"/>
                  <w:marRight w:val="0"/>
                  <w:marTop w:val="0"/>
                  <w:marBottom w:val="0"/>
                  <w:divBdr>
                    <w:top w:val="none" w:sz="0" w:space="0" w:color="auto"/>
                    <w:left w:val="none" w:sz="0" w:space="0" w:color="auto"/>
                    <w:bottom w:val="none" w:sz="0" w:space="0" w:color="auto"/>
                    <w:right w:val="none" w:sz="0" w:space="0" w:color="auto"/>
                  </w:divBdr>
                </w:div>
                <w:div w:id="1051923506">
                  <w:marLeft w:val="0"/>
                  <w:marRight w:val="0"/>
                  <w:marTop w:val="0"/>
                  <w:marBottom w:val="0"/>
                  <w:divBdr>
                    <w:top w:val="none" w:sz="0" w:space="0" w:color="auto"/>
                    <w:left w:val="none" w:sz="0" w:space="0" w:color="auto"/>
                    <w:bottom w:val="none" w:sz="0" w:space="0" w:color="auto"/>
                    <w:right w:val="none" w:sz="0" w:space="0" w:color="auto"/>
                  </w:divBdr>
                  <w:divsChild>
                    <w:div w:id="8922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0417">
              <w:marLeft w:val="0"/>
              <w:marRight w:val="0"/>
              <w:marTop w:val="0"/>
              <w:marBottom w:val="0"/>
              <w:divBdr>
                <w:top w:val="none" w:sz="0" w:space="0" w:color="auto"/>
                <w:left w:val="none" w:sz="0" w:space="0" w:color="auto"/>
                <w:bottom w:val="none" w:sz="0" w:space="0" w:color="auto"/>
                <w:right w:val="none" w:sz="0" w:space="0" w:color="auto"/>
              </w:divBdr>
              <w:divsChild>
                <w:div w:id="1854566749">
                  <w:marLeft w:val="0"/>
                  <w:marRight w:val="0"/>
                  <w:marTop w:val="0"/>
                  <w:marBottom w:val="0"/>
                  <w:divBdr>
                    <w:top w:val="none" w:sz="0" w:space="0" w:color="auto"/>
                    <w:left w:val="none" w:sz="0" w:space="0" w:color="auto"/>
                    <w:bottom w:val="none" w:sz="0" w:space="0" w:color="auto"/>
                    <w:right w:val="none" w:sz="0" w:space="0" w:color="auto"/>
                  </w:divBdr>
                </w:div>
                <w:div w:id="1720208333">
                  <w:marLeft w:val="0"/>
                  <w:marRight w:val="0"/>
                  <w:marTop w:val="0"/>
                  <w:marBottom w:val="0"/>
                  <w:divBdr>
                    <w:top w:val="none" w:sz="0" w:space="0" w:color="auto"/>
                    <w:left w:val="none" w:sz="0" w:space="0" w:color="auto"/>
                    <w:bottom w:val="none" w:sz="0" w:space="0" w:color="auto"/>
                    <w:right w:val="none" w:sz="0" w:space="0" w:color="auto"/>
                  </w:divBdr>
                  <w:divsChild>
                    <w:div w:id="43105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80060">
          <w:marLeft w:val="0"/>
          <w:marRight w:val="0"/>
          <w:marTop w:val="0"/>
          <w:marBottom w:val="0"/>
          <w:divBdr>
            <w:top w:val="none" w:sz="0" w:space="0" w:color="auto"/>
            <w:left w:val="none" w:sz="0" w:space="0" w:color="auto"/>
            <w:bottom w:val="none" w:sz="0" w:space="0" w:color="auto"/>
            <w:right w:val="none" w:sz="0" w:space="0" w:color="auto"/>
          </w:divBdr>
          <w:divsChild>
            <w:div w:id="1851021588">
              <w:marLeft w:val="0"/>
              <w:marRight w:val="0"/>
              <w:marTop w:val="0"/>
              <w:marBottom w:val="0"/>
              <w:divBdr>
                <w:top w:val="none" w:sz="0" w:space="0" w:color="auto"/>
                <w:left w:val="none" w:sz="0" w:space="0" w:color="auto"/>
                <w:bottom w:val="none" w:sz="0" w:space="0" w:color="auto"/>
                <w:right w:val="none" w:sz="0" w:space="0" w:color="auto"/>
              </w:divBdr>
              <w:divsChild>
                <w:div w:id="641615165">
                  <w:marLeft w:val="0"/>
                  <w:marRight w:val="0"/>
                  <w:marTop w:val="0"/>
                  <w:marBottom w:val="0"/>
                  <w:divBdr>
                    <w:top w:val="none" w:sz="0" w:space="0" w:color="auto"/>
                    <w:left w:val="none" w:sz="0" w:space="0" w:color="auto"/>
                    <w:bottom w:val="none" w:sz="0" w:space="0" w:color="auto"/>
                    <w:right w:val="none" w:sz="0" w:space="0" w:color="auto"/>
                  </w:divBdr>
                </w:div>
                <w:div w:id="1017543067">
                  <w:marLeft w:val="0"/>
                  <w:marRight w:val="0"/>
                  <w:marTop w:val="0"/>
                  <w:marBottom w:val="0"/>
                  <w:divBdr>
                    <w:top w:val="none" w:sz="0" w:space="0" w:color="auto"/>
                    <w:left w:val="none" w:sz="0" w:space="0" w:color="auto"/>
                    <w:bottom w:val="none" w:sz="0" w:space="0" w:color="auto"/>
                    <w:right w:val="none" w:sz="0" w:space="0" w:color="auto"/>
                  </w:divBdr>
                  <w:divsChild>
                    <w:div w:id="153249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70559">
              <w:marLeft w:val="0"/>
              <w:marRight w:val="0"/>
              <w:marTop w:val="0"/>
              <w:marBottom w:val="0"/>
              <w:divBdr>
                <w:top w:val="none" w:sz="0" w:space="0" w:color="auto"/>
                <w:left w:val="none" w:sz="0" w:space="0" w:color="auto"/>
                <w:bottom w:val="none" w:sz="0" w:space="0" w:color="auto"/>
                <w:right w:val="none" w:sz="0" w:space="0" w:color="auto"/>
              </w:divBdr>
              <w:divsChild>
                <w:div w:id="71437600">
                  <w:marLeft w:val="0"/>
                  <w:marRight w:val="0"/>
                  <w:marTop w:val="0"/>
                  <w:marBottom w:val="0"/>
                  <w:divBdr>
                    <w:top w:val="none" w:sz="0" w:space="0" w:color="auto"/>
                    <w:left w:val="none" w:sz="0" w:space="0" w:color="auto"/>
                    <w:bottom w:val="none" w:sz="0" w:space="0" w:color="auto"/>
                    <w:right w:val="none" w:sz="0" w:space="0" w:color="auto"/>
                  </w:divBdr>
                </w:div>
                <w:div w:id="382295048">
                  <w:marLeft w:val="0"/>
                  <w:marRight w:val="0"/>
                  <w:marTop w:val="0"/>
                  <w:marBottom w:val="0"/>
                  <w:divBdr>
                    <w:top w:val="none" w:sz="0" w:space="0" w:color="auto"/>
                    <w:left w:val="none" w:sz="0" w:space="0" w:color="auto"/>
                    <w:bottom w:val="none" w:sz="0" w:space="0" w:color="auto"/>
                    <w:right w:val="none" w:sz="0" w:space="0" w:color="auto"/>
                  </w:divBdr>
                  <w:divsChild>
                    <w:div w:id="452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MA%20Pratama\Desktop\Rekapitulasi%20Bangunan%203%20Lantai.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MA%20Pratama\Desktop\Rekapitulasi%20Bangunan%206%20Lantai.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MA%20Pratama\Desktop\Rekapitulasi%20Bangunan%209%20Lantai.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96522309711285"/>
          <c:y val="5.1909060676378405E-2"/>
          <c:w val="0.78201399825021878"/>
          <c:h val="0.6837556595553359"/>
        </c:manualLayout>
      </c:layout>
      <c:barChart>
        <c:barDir val="col"/>
        <c:grouping val="clustered"/>
        <c:varyColors val="0"/>
        <c:ser>
          <c:idx val="0"/>
          <c:order val="0"/>
          <c:tx>
            <c:strRef>
              <c:f>'Storey Stiffness'!$B$1</c:f>
              <c:strCache>
                <c:ptCount val="1"/>
                <c:pt idx="0">
                  <c:v>U30</c:v>
                </c:pt>
              </c:strCache>
            </c:strRef>
          </c:tx>
          <c:spPr>
            <a:solidFill>
              <a:schemeClr val="accent1"/>
            </a:solidFill>
            <a:ln>
              <a:noFill/>
            </a:ln>
            <a:effectLst/>
          </c:spPr>
          <c:invertIfNegative val="0"/>
          <c:cat>
            <c:strRef>
              <c:f>'Storey Stiffness'!$A$2:$A$4</c:f>
              <c:strCache>
                <c:ptCount val="3"/>
                <c:pt idx="0">
                  <c:v>3rd</c:v>
                </c:pt>
                <c:pt idx="1">
                  <c:v>2nd</c:v>
                </c:pt>
                <c:pt idx="2">
                  <c:v>1st</c:v>
                </c:pt>
              </c:strCache>
            </c:strRef>
          </c:cat>
          <c:val>
            <c:numRef>
              <c:f>'Storey Stiffness'!$B$2:$B$4</c:f>
              <c:numCache>
                <c:formatCode>General</c:formatCode>
                <c:ptCount val="3"/>
                <c:pt idx="0">
                  <c:v>60920.4</c:v>
                </c:pt>
                <c:pt idx="1">
                  <c:v>90616.75</c:v>
                </c:pt>
                <c:pt idx="2">
                  <c:v>129894</c:v>
                </c:pt>
              </c:numCache>
            </c:numRef>
          </c:val>
          <c:extLst>
            <c:ext xmlns:c16="http://schemas.microsoft.com/office/drawing/2014/chart" uri="{C3380CC4-5D6E-409C-BE32-E72D297353CC}">
              <c16:uniqueId val="{00000000-8EE8-411E-86DD-A14722C2F7C8}"/>
            </c:ext>
          </c:extLst>
        </c:ser>
        <c:ser>
          <c:idx val="1"/>
          <c:order val="1"/>
          <c:tx>
            <c:strRef>
              <c:f>'Storey Stiffness'!$C$1</c:f>
              <c:strCache>
                <c:ptCount val="1"/>
                <c:pt idx="0">
                  <c:v>G30/50</c:v>
                </c:pt>
              </c:strCache>
            </c:strRef>
          </c:tx>
          <c:invertIfNegative val="0"/>
          <c:cat>
            <c:strRef>
              <c:f>'Storey Stiffness'!$A$2:$A$4</c:f>
              <c:strCache>
                <c:ptCount val="3"/>
                <c:pt idx="0">
                  <c:v>3rd</c:v>
                </c:pt>
                <c:pt idx="1">
                  <c:v>2nd</c:v>
                </c:pt>
                <c:pt idx="2">
                  <c:v>1st</c:v>
                </c:pt>
              </c:strCache>
            </c:strRef>
          </c:cat>
          <c:val>
            <c:numRef>
              <c:f>'Storey Stiffness'!$C$2:$C$4</c:f>
              <c:numCache>
                <c:formatCode>General</c:formatCode>
                <c:ptCount val="3"/>
                <c:pt idx="0">
                  <c:v>67215.77</c:v>
                </c:pt>
                <c:pt idx="1">
                  <c:v>98291.91</c:v>
                </c:pt>
                <c:pt idx="2">
                  <c:v>138148.70000000001</c:v>
                </c:pt>
              </c:numCache>
            </c:numRef>
          </c:val>
          <c:extLst>
            <c:ext xmlns:c16="http://schemas.microsoft.com/office/drawing/2014/chart" uri="{C3380CC4-5D6E-409C-BE32-E72D297353CC}">
              <c16:uniqueId val="{00000001-8EE8-411E-86DD-A14722C2F7C8}"/>
            </c:ext>
          </c:extLst>
        </c:ser>
        <c:ser>
          <c:idx val="2"/>
          <c:order val="2"/>
          <c:tx>
            <c:strRef>
              <c:f>'Storey Stiffness'!$D$1</c:f>
              <c:strCache>
                <c:ptCount val="1"/>
                <c:pt idx="0">
                  <c:v>U50</c:v>
                </c:pt>
              </c:strCache>
            </c:strRef>
          </c:tx>
          <c:invertIfNegative val="0"/>
          <c:cat>
            <c:strRef>
              <c:f>'Storey Stiffness'!$A$2:$A$4</c:f>
              <c:strCache>
                <c:ptCount val="3"/>
                <c:pt idx="0">
                  <c:v>3rd</c:v>
                </c:pt>
                <c:pt idx="1">
                  <c:v>2nd</c:v>
                </c:pt>
                <c:pt idx="2">
                  <c:v>1st</c:v>
                </c:pt>
              </c:strCache>
            </c:strRef>
          </c:cat>
          <c:val>
            <c:numRef>
              <c:f>'Storey Stiffness'!$D$2:$D$4</c:f>
              <c:numCache>
                <c:formatCode>General</c:formatCode>
                <c:ptCount val="3"/>
                <c:pt idx="0">
                  <c:v>94179.85</c:v>
                </c:pt>
                <c:pt idx="1">
                  <c:v>140936.4</c:v>
                </c:pt>
                <c:pt idx="2">
                  <c:v>201808.1</c:v>
                </c:pt>
              </c:numCache>
            </c:numRef>
          </c:val>
          <c:extLst>
            <c:ext xmlns:c16="http://schemas.microsoft.com/office/drawing/2014/chart" uri="{C3380CC4-5D6E-409C-BE32-E72D297353CC}">
              <c16:uniqueId val="{00000002-8EE8-411E-86DD-A14722C2F7C8}"/>
            </c:ext>
          </c:extLst>
        </c:ser>
        <c:dLbls>
          <c:showLegendKey val="0"/>
          <c:showVal val="0"/>
          <c:showCatName val="0"/>
          <c:showSerName val="0"/>
          <c:showPercent val="0"/>
          <c:showBubbleSize val="0"/>
        </c:dLbls>
        <c:gapWidth val="219"/>
        <c:overlap val="-27"/>
        <c:axId val="-940691872"/>
        <c:axId val="-940698400"/>
      </c:barChart>
      <c:catAx>
        <c:axId val="-940691872"/>
        <c:scaling>
          <c:orientation val="minMax"/>
        </c:scaling>
        <c:delete val="0"/>
        <c:axPos val="b"/>
        <c:title>
          <c:tx>
            <c:rich>
              <a:bodyPr/>
              <a:lstStyle/>
              <a:p>
                <a:pPr>
                  <a:defRPr/>
                </a:pPr>
                <a:r>
                  <a:rPr lang="en-ID"/>
                  <a:t>Storey Level</a:t>
                </a:r>
                <a:endParaRPr lang="id-ID"/>
              </a:p>
            </c:rich>
          </c:tx>
          <c:layout>
            <c:manualLayout>
              <c:xMode val="edge"/>
              <c:yMode val="edge"/>
              <c:x val="0.79852777777777773"/>
              <c:y val="0.82303729314870999"/>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id-ID"/>
          </a:p>
        </c:txPr>
        <c:crossAx val="-940698400"/>
        <c:crosses val="autoZero"/>
        <c:auto val="1"/>
        <c:lblAlgn val="ctr"/>
        <c:lblOffset val="100"/>
        <c:noMultiLvlLbl val="0"/>
      </c:catAx>
      <c:valAx>
        <c:axId val="-940698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ID"/>
                  <a:t>Storey</a:t>
                </a:r>
                <a:r>
                  <a:rPr lang="en-ID" baseline="0"/>
                  <a:t> Stiffness (N/mm)</a:t>
                </a:r>
                <a:endParaRPr lang="id-ID"/>
              </a:p>
            </c:rich>
          </c:tx>
          <c:layout>
            <c:manualLayout>
              <c:xMode val="edge"/>
              <c:yMode val="edge"/>
              <c:x val="3.0555555555555555E-2"/>
              <c:y val="1.5794548619690891E-2"/>
            </c:manualLayout>
          </c:layout>
          <c:overlay val="0"/>
        </c:title>
        <c:numFmt formatCode="General" sourceLinked="1"/>
        <c:majorTickMark val="none"/>
        <c:minorTickMark val="none"/>
        <c:tickLblPos val="nextTo"/>
        <c:spPr>
          <a:noFill/>
          <a:ln>
            <a:noFill/>
          </a:ln>
          <a:effectLst/>
        </c:spPr>
        <c:txPr>
          <a:bodyPr rot="-60000000" vert="horz"/>
          <a:lstStyle/>
          <a:p>
            <a:pPr>
              <a:defRPr/>
            </a:pPr>
            <a:endParaRPr lang="id-ID"/>
          </a:p>
        </c:txPr>
        <c:crossAx val="-940691872"/>
        <c:crosses val="autoZero"/>
        <c:crossBetween val="between"/>
      </c:valAx>
    </c:plotArea>
    <c:legend>
      <c:legendPos val="r"/>
      <c:layout>
        <c:manualLayout>
          <c:xMode val="edge"/>
          <c:yMode val="edge"/>
          <c:x val="0.34175699912510943"/>
          <c:y val="0.89900956620448902"/>
          <c:w val="0.33046522309711285"/>
          <c:h val="9.8591915637558064E-2"/>
        </c:manualLayout>
      </c:layout>
      <c:overlay val="0"/>
    </c:legend>
    <c:plotVisOnly val="1"/>
    <c:dispBlanksAs val="gap"/>
    <c:showDLblsOverMax val="0"/>
    <c:extLst/>
  </c:chart>
  <c:spPr>
    <a:ln>
      <a:noFill/>
    </a:ln>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'Storey Stiffness'!$B$6</c:f>
              <c:strCache>
                <c:ptCount val="1"/>
                <c:pt idx="0">
                  <c:v>U30</c:v>
                </c:pt>
              </c:strCache>
            </c:strRef>
          </c:tx>
          <c:spPr>
            <a:solidFill>
              <a:schemeClr val="accent1"/>
            </a:solidFill>
            <a:ln>
              <a:noFill/>
            </a:ln>
            <a:effectLst/>
          </c:spPr>
          <c:invertIfNegative val="0"/>
          <c:cat>
            <c:strRef>
              <c:f>'Storey Stiffness'!$A$7:$A$12</c:f>
              <c:strCache>
                <c:ptCount val="6"/>
                <c:pt idx="0">
                  <c:v>6th</c:v>
                </c:pt>
                <c:pt idx="1">
                  <c:v>5th</c:v>
                </c:pt>
                <c:pt idx="2">
                  <c:v>4th</c:v>
                </c:pt>
                <c:pt idx="3">
                  <c:v>3rd</c:v>
                </c:pt>
                <c:pt idx="4">
                  <c:v>2nd</c:v>
                </c:pt>
                <c:pt idx="5">
                  <c:v>1st</c:v>
                </c:pt>
              </c:strCache>
            </c:strRef>
          </c:cat>
          <c:val>
            <c:numRef>
              <c:f>'Storey Stiffness'!$B$7:$B$12</c:f>
              <c:numCache>
                <c:formatCode>General</c:formatCode>
                <c:ptCount val="6"/>
                <c:pt idx="0">
                  <c:v>49455.33</c:v>
                </c:pt>
                <c:pt idx="1">
                  <c:v>70363.89</c:v>
                </c:pt>
                <c:pt idx="2">
                  <c:v>74761.42</c:v>
                </c:pt>
                <c:pt idx="3">
                  <c:v>77538.58</c:v>
                </c:pt>
                <c:pt idx="4">
                  <c:v>84653.23</c:v>
                </c:pt>
                <c:pt idx="5">
                  <c:v>117990.2</c:v>
                </c:pt>
              </c:numCache>
            </c:numRef>
          </c:val>
          <c:extLst>
            <c:ext xmlns:c16="http://schemas.microsoft.com/office/drawing/2014/chart" uri="{C3380CC4-5D6E-409C-BE32-E72D297353CC}">
              <c16:uniqueId val="{00000000-B883-4552-ABA1-125ACA5EDD02}"/>
            </c:ext>
          </c:extLst>
        </c:ser>
        <c:ser>
          <c:idx val="1"/>
          <c:order val="1"/>
          <c:tx>
            <c:strRef>
              <c:f>'Storey Stiffness'!$C$6</c:f>
              <c:strCache>
                <c:ptCount val="1"/>
                <c:pt idx="0">
                  <c:v>G30/50</c:v>
                </c:pt>
              </c:strCache>
            </c:strRef>
          </c:tx>
          <c:spPr>
            <a:solidFill>
              <a:schemeClr val="accent2"/>
            </a:solidFill>
            <a:ln>
              <a:noFill/>
            </a:ln>
            <a:effectLst/>
          </c:spPr>
          <c:invertIfNegative val="0"/>
          <c:cat>
            <c:strRef>
              <c:f>'Storey Stiffness'!$A$7:$A$12</c:f>
              <c:strCache>
                <c:ptCount val="6"/>
                <c:pt idx="0">
                  <c:v>6th</c:v>
                </c:pt>
                <c:pt idx="1">
                  <c:v>5th</c:v>
                </c:pt>
                <c:pt idx="2">
                  <c:v>4th</c:v>
                </c:pt>
                <c:pt idx="3">
                  <c:v>3rd</c:v>
                </c:pt>
                <c:pt idx="4">
                  <c:v>2nd</c:v>
                </c:pt>
                <c:pt idx="5">
                  <c:v>1st</c:v>
                </c:pt>
              </c:strCache>
            </c:strRef>
          </c:cat>
          <c:val>
            <c:numRef>
              <c:f>'Storey Stiffness'!$C$7:$C$12</c:f>
              <c:numCache>
                <c:formatCode>General</c:formatCode>
                <c:ptCount val="6"/>
                <c:pt idx="0">
                  <c:v>55173.67</c:v>
                </c:pt>
                <c:pt idx="1">
                  <c:v>77765.149999999994</c:v>
                </c:pt>
                <c:pt idx="2">
                  <c:v>82215.86</c:v>
                </c:pt>
                <c:pt idx="3">
                  <c:v>84914.86</c:v>
                </c:pt>
                <c:pt idx="4">
                  <c:v>91970.19</c:v>
                </c:pt>
                <c:pt idx="5">
                  <c:v>126031.7</c:v>
                </c:pt>
              </c:numCache>
            </c:numRef>
          </c:val>
          <c:extLst>
            <c:ext xmlns:c16="http://schemas.microsoft.com/office/drawing/2014/chart" uri="{C3380CC4-5D6E-409C-BE32-E72D297353CC}">
              <c16:uniqueId val="{00000001-B883-4552-ABA1-125ACA5EDD02}"/>
            </c:ext>
          </c:extLst>
        </c:ser>
        <c:ser>
          <c:idx val="2"/>
          <c:order val="2"/>
          <c:tx>
            <c:strRef>
              <c:f>'Storey Stiffness'!$D$6</c:f>
              <c:strCache>
                <c:ptCount val="1"/>
                <c:pt idx="0">
                  <c:v>U50</c:v>
                </c:pt>
              </c:strCache>
            </c:strRef>
          </c:tx>
          <c:spPr>
            <a:solidFill>
              <a:schemeClr val="accent3"/>
            </a:solidFill>
            <a:ln>
              <a:noFill/>
            </a:ln>
            <a:effectLst/>
          </c:spPr>
          <c:invertIfNegative val="0"/>
          <c:cat>
            <c:strRef>
              <c:f>'Storey Stiffness'!$A$7:$A$12</c:f>
              <c:strCache>
                <c:ptCount val="6"/>
                <c:pt idx="0">
                  <c:v>6th</c:v>
                </c:pt>
                <c:pt idx="1">
                  <c:v>5th</c:v>
                </c:pt>
                <c:pt idx="2">
                  <c:v>4th</c:v>
                </c:pt>
                <c:pt idx="3">
                  <c:v>3rd</c:v>
                </c:pt>
                <c:pt idx="4">
                  <c:v>2nd</c:v>
                </c:pt>
                <c:pt idx="5">
                  <c:v>1st</c:v>
                </c:pt>
              </c:strCache>
            </c:strRef>
          </c:cat>
          <c:val>
            <c:numRef>
              <c:f>'Storey Stiffness'!$D$7:$D$12</c:f>
              <c:numCache>
                <c:formatCode>General</c:formatCode>
                <c:ptCount val="6"/>
                <c:pt idx="0">
                  <c:v>75453.19</c:v>
                </c:pt>
                <c:pt idx="1">
                  <c:v>108834.7</c:v>
                </c:pt>
                <c:pt idx="2">
                  <c:v>116068.3</c:v>
                </c:pt>
                <c:pt idx="3">
                  <c:v>120533.1</c:v>
                </c:pt>
                <c:pt idx="4">
                  <c:v>131596.4</c:v>
                </c:pt>
                <c:pt idx="5">
                  <c:v>183208</c:v>
                </c:pt>
              </c:numCache>
            </c:numRef>
          </c:val>
          <c:extLst>
            <c:ext xmlns:c16="http://schemas.microsoft.com/office/drawing/2014/chart" uri="{C3380CC4-5D6E-409C-BE32-E72D297353CC}">
              <c16:uniqueId val="{00000002-B883-4552-ABA1-125ACA5EDD02}"/>
            </c:ext>
          </c:extLst>
        </c:ser>
        <c:dLbls>
          <c:showLegendKey val="0"/>
          <c:showVal val="0"/>
          <c:showCatName val="0"/>
          <c:showSerName val="0"/>
          <c:showPercent val="0"/>
          <c:showBubbleSize val="0"/>
        </c:dLbls>
        <c:gapWidth val="219"/>
        <c:overlap val="-27"/>
        <c:axId val="-926389040"/>
        <c:axId val="-926399376"/>
      </c:barChart>
      <c:catAx>
        <c:axId val="-92638904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b="1"/>
                  <a:t>Storey Level</a:t>
                </a:r>
                <a:endParaRPr lang="id-ID" b="1"/>
              </a:p>
            </c:rich>
          </c:tx>
          <c:layout>
            <c:manualLayout>
              <c:xMode val="edge"/>
              <c:yMode val="edge"/>
              <c:x val="0.80702187226596678"/>
              <c:y val="0.7846931940174515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926399376"/>
        <c:crosses val="autoZero"/>
        <c:auto val="1"/>
        <c:lblAlgn val="ctr"/>
        <c:lblOffset val="100"/>
        <c:noMultiLvlLbl val="0"/>
      </c:catAx>
      <c:valAx>
        <c:axId val="-92639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b="1"/>
                  <a:t>Storey</a:t>
                </a:r>
                <a:r>
                  <a:rPr lang="en-ID" b="1" baseline="0"/>
                  <a:t> Stiffness (N/mm)</a:t>
                </a:r>
                <a:endParaRPr lang="id-ID" b="1"/>
              </a:p>
            </c:rich>
          </c:tx>
          <c:layout>
            <c:manualLayout>
              <c:xMode val="edge"/>
              <c:yMode val="edge"/>
              <c:x val="2.7777777777777776E-2"/>
              <c:y val="9.2142712973986504E-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926389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'Storey Stiffness'!$B$14</c:f>
              <c:strCache>
                <c:ptCount val="1"/>
                <c:pt idx="0">
                  <c:v>U30</c:v>
                </c:pt>
              </c:strCache>
            </c:strRef>
          </c:tx>
          <c:spPr>
            <a:solidFill>
              <a:schemeClr val="accent1"/>
            </a:solidFill>
            <a:ln>
              <a:noFill/>
            </a:ln>
            <a:effectLst/>
          </c:spPr>
          <c:invertIfNegative val="0"/>
          <c:cat>
            <c:strRef>
              <c:f>'Storey Stiffness'!$A$15:$A$23</c:f>
              <c:strCache>
                <c:ptCount val="9"/>
                <c:pt idx="0">
                  <c:v>9th</c:v>
                </c:pt>
                <c:pt idx="1">
                  <c:v>8th</c:v>
                </c:pt>
                <c:pt idx="2">
                  <c:v>7th</c:v>
                </c:pt>
                <c:pt idx="3">
                  <c:v>6th</c:v>
                </c:pt>
                <c:pt idx="4">
                  <c:v>5th</c:v>
                </c:pt>
                <c:pt idx="5">
                  <c:v>4th</c:v>
                </c:pt>
                <c:pt idx="6">
                  <c:v>3rd</c:v>
                </c:pt>
                <c:pt idx="7">
                  <c:v>2nd</c:v>
                </c:pt>
                <c:pt idx="8">
                  <c:v>1st</c:v>
                </c:pt>
              </c:strCache>
            </c:strRef>
          </c:cat>
          <c:val>
            <c:numRef>
              <c:f>'Storey Stiffness'!$B$15:$B$23</c:f>
              <c:numCache>
                <c:formatCode>General</c:formatCode>
                <c:ptCount val="9"/>
                <c:pt idx="0">
                  <c:v>47712.84</c:v>
                </c:pt>
                <c:pt idx="1">
                  <c:v>67983.759999999995</c:v>
                </c:pt>
                <c:pt idx="2">
                  <c:v>71674.429999999993</c:v>
                </c:pt>
                <c:pt idx="3">
                  <c:v>72553.78</c:v>
                </c:pt>
                <c:pt idx="4">
                  <c:v>73398.89</c:v>
                </c:pt>
                <c:pt idx="5">
                  <c:v>75607.360000000001</c:v>
                </c:pt>
                <c:pt idx="6">
                  <c:v>82676.490000000005</c:v>
                </c:pt>
                <c:pt idx="7">
                  <c:v>115776.6</c:v>
                </c:pt>
                <c:pt idx="8">
                  <c:v>1076606</c:v>
                </c:pt>
              </c:numCache>
            </c:numRef>
          </c:val>
          <c:extLst>
            <c:ext xmlns:c16="http://schemas.microsoft.com/office/drawing/2014/chart" uri="{C3380CC4-5D6E-409C-BE32-E72D297353CC}">
              <c16:uniqueId val="{00000000-4FC6-4184-ABCD-9059BE0EE234}"/>
            </c:ext>
          </c:extLst>
        </c:ser>
        <c:ser>
          <c:idx val="1"/>
          <c:order val="1"/>
          <c:tx>
            <c:strRef>
              <c:f>'Storey Stiffness'!$C$14</c:f>
              <c:strCache>
                <c:ptCount val="1"/>
                <c:pt idx="0">
                  <c:v>G30/50</c:v>
                </c:pt>
              </c:strCache>
            </c:strRef>
          </c:tx>
          <c:spPr>
            <a:solidFill>
              <a:schemeClr val="accent2"/>
            </a:solidFill>
            <a:ln>
              <a:noFill/>
            </a:ln>
            <a:effectLst/>
          </c:spPr>
          <c:invertIfNegative val="0"/>
          <c:cat>
            <c:strRef>
              <c:f>'Storey Stiffness'!$A$15:$A$23</c:f>
              <c:strCache>
                <c:ptCount val="9"/>
                <c:pt idx="0">
                  <c:v>9th</c:v>
                </c:pt>
                <c:pt idx="1">
                  <c:v>8th</c:v>
                </c:pt>
                <c:pt idx="2">
                  <c:v>7th</c:v>
                </c:pt>
                <c:pt idx="3">
                  <c:v>6th</c:v>
                </c:pt>
                <c:pt idx="4">
                  <c:v>5th</c:v>
                </c:pt>
                <c:pt idx="5">
                  <c:v>4th</c:v>
                </c:pt>
                <c:pt idx="6">
                  <c:v>3rd</c:v>
                </c:pt>
                <c:pt idx="7">
                  <c:v>2nd</c:v>
                </c:pt>
                <c:pt idx="8">
                  <c:v>1st</c:v>
                </c:pt>
              </c:strCache>
            </c:strRef>
          </c:cat>
          <c:val>
            <c:numRef>
              <c:f>'Storey Stiffness'!$C$15:$C$23</c:f>
              <c:numCache>
                <c:formatCode>General</c:formatCode>
                <c:ptCount val="9"/>
                <c:pt idx="0">
                  <c:v>52889.54</c:v>
                </c:pt>
                <c:pt idx="1">
                  <c:v>74921.850000000006</c:v>
                </c:pt>
                <c:pt idx="2">
                  <c:v>78857.83</c:v>
                </c:pt>
                <c:pt idx="3">
                  <c:v>79841.67</c:v>
                </c:pt>
                <c:pt idx="4">
                  <c:v>80728.679999999993</c:v>
                </c:pt>
                <c:pt idx="5">
                  <c:v>82904.44</c:v>
                </c:pt>
                <c:pt idx="6">
                  <c:v>89935.89</c:v>
                </c:pt>
                <c:pt idx="7">
                  <c:v>123794.4</c:v>
                </c:pt>
                <c:pt idx="8">
                  <c:v>1140250</c:v>
                </c:pt>
              </c:numCache>
            </c:numRef>
          </c:val>
          <c:extLst>
            <c:ext xmlns:c16="http://schemas.microsoft.com/office/drawing/2014/chart" uri="{C3380CC4-5D6E-409C-BE32-E72D297353CC}">
              <c16:uniqueId val="{00000001-4FC6-4184-ABCD-9059BE0EE234}"/>
            </c:ext>
          </c:extLst>
        </c:ser>
        <c:ser>
          <c:idx val="2"/>
          <c:order val="2"/>
          <c:tx>
            <c:strRef>
              <c:f>'Storey Stiffness'!$D$14</c:f>
              <c:strCache>
                <c:ptCount val="1"/>
                <c:pt idx="0">
                  <c:v>U50</c:v>
                </c:pt>
              </c:strCache>
            </c:strRef>
          </c:tx>
          <c:spPr>
            <a:solidFill>
              <a:schemeClr val="accent3"/>
            </a:solidFill>
            <a:ln>
              <a:noFill/>
            </a:ln>
            <a:effectLst/>
          </c:spPr>
          <c:invertIfNegative val="0"/>
          <c:cat>
            <c:strRef>
              <c:f>'Storey Stiffness'!$A$15:$A$23</c:f>
              <c:strCache>
                <c:ptCount val="9"/>
                <c:pt idx="0">
                  <c:v>9th</c:v>
                </c:pt>
                <c:pt idx="1">
                  <c:v>8th</c:v>
                </c:pt>
                <c:pt idx="2">
                  <c:v>7th</c:v>
                </c:pt>
                <c:pt idx="3">
                  <c:v>6th</c:v>
                </c:pt>
                <c:pt idx="4">
                  <c:v>5th</c:v>
                </c:pt>
                <c:pt idx="5">
                  <c:v>4th</c:v>
                </c:pt>
                <c:pt idx="6">
                  <c:v>3rd</c:v>
                </c:pt>
                <c:pt idx="7">
                  <c:v>2nd</c:v>
                </c:pt>
                <c:pt idx="8">
                  <c:v>1st</c:v>
                </c:pt>
              </c:strCache>
            </c:strRef>
          </c:cat>
          <c:val>
            <c:numRef>
              <c:f>'Storey Stiffness'!$D$15:$D$23</c:f>
              <c:numCache>
                <c:formatCode>General</c:formatCode>
                <c:ptCount val="9"/>
                <c:pt idx="0">
                  <c:v>71626.7</c:v>
                </c:pt>
                <c:pt idx="1">
                  <c:v>104091.8</c:v>
                </c:pt>
                <c:pt idx="2">
                  <c:v>110616.8</c:v>
                </c:pt>
                <c:pt idx="3">
                  <c:v>112470.7</c:v>
                </c:pt>
                <c:pt idx="4">
                  <c:v>114034.5</c:v>
                </c:pt>
                <c:pt idx="5">
                  <c:v>117499.8</c:v>
                </c:pt>
                <c:pt idx="6">
                  <c:v>128367.4</c:v>
                </c:pt>
                <c:pt idx="7">
                  <c:v>179518.5</c:v>
                </c:pt>
                <c:pt idx="8">
                  <c:v>1671094</c:v>
                </c:pt>
              </c:numCache>
            </c:numRef>
          </c:val>
          <c:extLst>
            <c:ext xmlns:c16="http://schemas.microsoft.com/office/drawing/2014/chart" uri="{C3380CC4-5D6E-409C-BE32-E72D297353CC}">
              <c16:uniqueId val="{00000002-4FC6-4184-ABCD-9059BE0EE234}"/>
            </c:ext>
          </c:extLst>
        </c:ser>
        <c:dLbls>
          <c:showLegendKey val="0"/>
          <c:showVal val="0"/>
          <c:showCatName val="0"/>
          <c:showSerName val="0"/>
          <c:showPercent val="0"/>
          <c:showBubbleSize val="0"/>
        </c:dLbls>
        <c:gapWidth val="219"/>
        <c:overlap val="-27"/>
        <c:axId val="-926392304"/>
        <c:axId val="-926394480"/>
      </c:barChart>
      <c:catAx>
        <c:axId val="-92639230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b="1"/>
                  <a:t>Storey Level</a:t>
                </a:r>
                <a:endParaRPr lang="id-ID" b="1"/>
              </a:p>
            </c:rich>
          </c:tx>
          <c:layout>
            <c:manualLayout>
              <c:xMode val="edge"/>
              <c:yMode val="edge"/>
              <c:x val="0.81604965004374441"/>
              <c:y val="0.7794282673247238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926394480"/>
        <c:crosses val="autoZero"/>
        <c:auto val="1"/>
        <c:lblAlgn val="ctr"/>
        <c:lblOffset val="100"/>
        <c:noMultiLvlLbl val="0"/>
      </c:catAx>
      <c:valAx>
        <c:axId val="-926394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b="1"/>
                  <a:t>Storey Stiffness (N/mm)</a:t>
                </a:r>
                <a:endParaRPr lang="id-ID" b="1"/>
              </a:p>
            </c:rich>
          </c:tx>
          <c:layout>
            <c:manualLayout>
              <c:xMode val="edge"/>
              <c:yMode val="edge"/>
              <c:x val="3.0555555555555555E-2"/>
              <c:y val="2.256457730873327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92639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5.0595227316352361E-2"/>
          <c:w val="0.84101618547681545"/>
          <c:h val="0.66856250882790735"/>
        </c:manualLayout>
      </c:layout>
      <c:scatterChart>
        <c:scatterStyle val="lineMarker"/>
        <c:varyColors val="0"/>
        <c:ser>
          <c:idx val="5"/>
          <c:order val="0"/>
          <c:tx>
            <c:v>U50</c:v>
          </c:tx>
          <c:spPr>
            <a:ln w="9525" cap="rnd">
              <a:solidFill>
                <a:schemeClr val="accent6">
                  <a:alpha val="50000"/>
                </a:schemeClr>
              </a:solidFill>
              <a:round/>
            </a:ln>
            <a:effectLst/>
          </c:spPr>
          <c:marker>
            <c:symbol val="circle"/>
            <c:size val="6"/>
            <c:spPr>
              <a:solidFill>
                <a:schemeClr val="lt1"/>
              </a:solidFill>
              <a:ln w="15875">
                <a:solidFill>
                  <a:schemeClr val="accent6"/>
                </a:solidFill>
                <a:round/>
              </a:ln>
              <a:effectLst/>
            </c:spPr>
          </c:marker>
          <c:xVal>
            <c:numRef>
              <c:f>'Story Displacement'!$K$10:$K$13</c:f>
              <c:numCache>
                <c:formatCode>General</c:formatCode>
                <c:ptCount val="4"/>
                <c:pt idx="0">
                  <c:v>5.4180000000000001</c:v>
                </c:pt>
                <c:pt idx="1">
                  <c:v>3.8740000000000001</c:v>
                </c:pt>
                <c:pt idx="2">
                  <c:v>1.909</c:v>
                </c:pt>
                <c:pt idx="3">
                  <c:v>0.20699999999999999</c:v>
                </c:pt>
              </c:numCache>
            </c:numRef>
          </c:xVal>
          <c:yVal>
            <c:numRef>
              <c:f>'Story Displacement'!$L$10:$L$13</c:f>
              <c:numCache>
                <c:formatCode>General</c:formatCode>
                <c:ptCount val="4"/>
                <c:pt idx="0">
                  <c:v>11.7</c:v>
                </c:pt>
                <c:pt idx="1">
                  <c:v>8.1999999999999993</c:v>
                </c:pt>
                <c:pt idx="2">
                  <c:v>4.7</c:v>
                </c:pt>
                <c:pt idx="3">
                  <c:v>1.2</c:v>
                </c:pt>
              </c:numCache>
            </c:numRef>
          </c:yVal>
          <c:smooth val="0"/>
          <c:extLst>
            <c:ext xmlns:c16="http://schemas.microsoft.com/office/drawing/2014/chart" uri="{C3380CC4-5D6E-409C-BE32-E72D297353CC}">
              <c16:uniqueId val="{00000000-EA93-4444-8530-A3A62C37CA98}"/>
            </c:ext>
          </c:extLst>
        </c:ser>
        <c:ser>
          <c:idx val="2"/>
          <c:order val="1"/>
          <c:tx>
            <c:v>G30/50</c:v>
          </c:tx>
          <c:spPr>
            <a:ln w="9525" cap="rnd">
              <a:solidFill>
                <a:schemeClr val="accent3">
                  <a:alpha val="50000"/>
                </a:schemeClr>
              </a:solidFill>
              <a:round/>
            </a:ln>
            <a:effectLst/>
          </c:spPr>
          <c:marker>
            <c:symbol val="star"/>
            <c:size val="6"/>
            <c:spPr>
              <a:noFill/>
              <a:ln w="15875">
                <a:solidFill>
                  <a:schemeClr val="accent3"/>
                </a:solidFill>
                <a:round/>
              </a:ln>
              <a:effectLst/>
            </c:spPr>
          </c:marker>
          <c:xVal>
            <c:numRef>
              <c:f>'Story Displacement'!$H$10:$H$13</c:f>
              <c:numCache>
                <c:formatCode>General</c:formatCode>
                <c:ptCount val="4"/>
                <c:pt idx="0">
                  <c:v>7.7969999999999997</c:v>
                </c:pt>
                <c:pt idx="1">
                  <c:v>5.6310000000000002</c:v>
                </c:pt>
                <c:pt idx="2">
                  <c:v>2.8079999999999998</c:v>
                </c:pt>
                <c:pt idx="3">
                  <c:v>0.307</c:v>
                </c:pt>
              </c:numCache>
            </c:numRef>
          </c:xVal>
          <c:yVal>
            <c:numRef>
              <c:f>'Story Displacement'!$L$10:$L$13</c:f>
              <c:numCache>
                <c:formatCode>General</c:formatCode>
                <c:ptCount val="4"/>
                <c:pt idx="0">
                  <c:v>11.7</c:v>
                </c:pt>
                <c:pt idx="1">
                  <c:v>8.1999999999999993</c:v>
                </c:pt>
                <c:pt idx="2">
                  <c:v>4.7</c:v>
                </c:pt>
                <c:pt idx="3">
                  <c:v>1.2</c:v>
                </c:pt>
              </c:numCache>
            </c:numRef>
          </c:yVal>
          <c:smooth val="0"/>
          <c:extLst>
            <c:ext xmlns:c16="http://schemas.microsoft.com/office/drawing/2014/chart" uri="{C3380CC4-5D6E-409C-BE32-E72D297353CC}">
              <c16:uniqueId val="{00000001-EA93-4444-8530-A3A62C37CA98}"/>
            </c:ext>
          </c:extLst>
        </c:ser>
        <c:ser>
          <c:idx val="0"/>
          <c:order val="2"/>
          <c:tx>
            <c:v>U30</c:v>
          </c:tx>
          <c:spPr>
            <a:ln w="9525" cap="rnd">
              <a:solidFill>
                <a:schemeClr val="accent1">
                  <a:alpha val="50000"/>
                </a:schemeClr>
              </a:solidFill>
              <a:round/>
            </a:ln>
            <a:effectLst/>
          </c:spPr>
          <c:marker>
            <c:symbol val="square"/>
            <c:size val="6"/>
            <c:spPr>
              <a:solidFill>
                <a:schemeClr val="lt1"/>
              </a:solidFill>
              <a:ln w="15875">
                <a:solidFill>
                  <a:schemeClr val="accent1"/>
                </a:solidFill>
                <a:round/>
              </a:ln>
              <a:effectLst/>
            </c:spPr>
          </c:marker>
          <c:xVal>
            <c:numRef>
              <c:f>'Story Displacement'!$F$10:$F$13</c:f>
              <c:numCache>
                <c:formatCode>General</c:formatCode>
                <c:ptCount val="4"/>
                <c:pt idx="0">
                  <c:v>8.4280000000000008</c:v>
                </c:pt>
                <c:pt idx="1">
                  <c:v>6.0270000000000001</c:v>
                </c:pt>
                <c:pt idx="2">
                  <c:v>2.9710000000000001</c:v>
                </c:pt>
                <c:pt idx="3">
                  <c:v>0.32200000000000001</c:v>
                </c:pt>
              </c:numCache>
            </c:numRef>
          </c:xVal>
          <c:yVal>
            <c:numRef>
              <c:f>'Story Displacement'!$L$10:$L$13</c:f>
              <c:numCache>
                <c:formatCode>General</c:formatCode>
                <c:ptCount val="4"/>
                <c:pt idx="0">
                  <c:v>11.7</c:v>
                </c:pt>
                <c:pt idx="1">
                  <c:v>8.1999999999999993</c:v>
                </c:pt>
                <c:pt idx="2">
                  <c:v>4.7</c:v>
                </c:pt>
                <c:pt idx="3">
                  <c:v>1.2</c:v>
                </c:pt>
              </c:numCache>
            </c:numRef>
          </c:yVal>
          <c:smooth val="0"/>
          <c:extLst>
            <c:ext xmlns:c16="http://schemas.microsoft.com/office/drawing/2014/chart" uri="{C3380CC4-5D6E-409C-BE32-E72D297353CC}">
              <c16:uniqueId val="{00000002-EA93-4444-8530-A3A62C37CA98}"/>
            </c:ext>
          </c:extLst>
        </c:ser>
        <c:dLbls>
          <c:showLegendKey val="0"/>
          <c:showVal val="0"/>
          <c:showCatName val="0"/>
          <c:showSerName val="0"/>
          <c:showPercent val="0"/>
          <c:showBubbleSize val="0"/>
        </c:dLbls>
        <c:axId val="-926396112"/>
        <c:axId val="-926393936"/>
      </c:scatterChart>
      <c:valAx>
        <c:axId val="-92639611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Displacement (mm)</a:t>
                </a:r>
                <a:endParaRPr lang="id-ID"/>
              </a:p>
            </c:rich>
          </c:tx>
          <c:layout>
            <c:manualLayout>
              <c:xMode val="edge"/>
              <c:yMode val="edge"/>
              <c:x val="0.74351968503937005"/>
              <c:y val="0.8120610040092280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926393936"/>
        <c:crosses val="autoZero"/>
        <c:crossBetween val="midCat"/>
      </c:valAx>
      <c:valAx>
        <c:axId val="-926393936"/>
        <c:scaling>
          <c:orientation val="minMax"/>
          <c:max val="12"/>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Height (m)</a:t>
                </a:r>
                <a:endParaRPr lang="id-ID"/>
              </a:p>
            </c:rich>
          </c:tx>
          <c:layout>
            <c:manualLayout>
              <c:xMode val="edge"/>
              <c:yMode val="edge"/>
              <c:x val="1.6666666666666666E-2"/>
              <c:y val="5.0836978710994449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926396112"/>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extLst/>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5.0544575286271522E-2"/>
          <c:w val="0.83468285214348203"/>
          <c:h val="0.69186912536899892"/>
        </c:manualLayout>
      </c:layout>
      <c:scatterChart>
        <c:scatterStyle val="lineMarker"/>
        <c:varyColors val="0"/>
        <c:ser>
          <c:idx val="5"/>
          <c:order val="0"/>
          <c:tx>
            <c:v>U50</c:v>
          </c:tx>
          <c:spPr>
            <a:ln w="9525" cap="rnd">
              <a:solidFill>
                <a:schemeClr val="accent6">
                  <a:alpha val="50000"/>
                </a:schemeClr>
              </a:solidFill>
              <a:round/>
            </a:ln>
            <a:effectLst/>
          </c:spPr>
          <c:marker>
            <c:symbol val="circle"/>
            <c:size val="6"/>
            <c:spPr>
              <a:solidFill>
                <a:schemeClr val="lt1"/>
              </a:solidFill>
              <a:ln w="15875">
                <a:solidFill>
                  <a:schemeClr val="accent6"/>
                </a:solidFill>
                <a:round/>
              </a:ln>
              <a:effectLst/>
            </c:spPr>
          </c:marker>
          <c:xVal>
            <c:numRef>
              <c:f>'Story Displacement'!$K$13:$K$19</c:f>
              <c:numCache>
                <c:formatCode>General</c:formatCode>
                <c:ptCount val="7"/>
                <c:pt idx="0">
                  <c:v>22.863</c:v>
                </c:pt>
                <c:pt idx="1">
                  <c:v>20.885000000000002</c:v>
                </c:pt>
                <c:pt idx="2">
                  <c:v>17.954000000000001</c:v>
                </c:pt>
                <c:pt idx="3">
                  <c:v>13.965999999999999</c:v>
                </c:pt>
                <c:pt idx="4">
                  <c:v>9.1820000000000004</c:v>
                </c:pt>
                <c:pt idx="5">
                  <c:v>4.2030000000000003</c:v>
                </c:pt>
                <c:pt idx="6">
                  <c:v>0.42399999999999999</c:v>
                </c:pt>
              </c:numCache>
            </c:numRef>
          </c:xVal>
          <c:yVal>
            <c:numRef>
              <c:f>'Story Displacement'!$L$13:$L$19</c:f>
              <c:numCache>
                <c:formatCode>General</c:formatCode>
                <c:ptCount val="7"/>
                <c:pt idx="0">
                  <c:v>22.2</c:v>
                </c:pt>
                <c:pt idx="1">
                  <c:v>18.7</c:v>
                </c:pt>
                <c:pt idx="2">
                  <c:v>15.2</c:v>
                </c:pt>
                <c:pt idx="3">
                  <c:v>11.7</c:v>
                </c:pt>
                <c:pt idx="4">
                  <c:v>8.1999999999999993</c:v>
                </c:pt>
                <c:pt idx="5">
                  <c:v>4.7</c:v>
                </c:pt>
                <c:pt idx="6">
                  <c:v>1.2</c:v>
                </c:pt>
              </c:numCache>
            </c:numRef>
          </c:yVal>
          <c:smooth val="0"/>
          <c:extLst>
            <c:ext xmlns:c16="http://schemas.microsoft.com/office/drawing/2014/chart" uri="{C3380CC4-5D6E-409C-BE32-E72D297353CC}">
              <c16:uniqueId val="{00000000-6F5F-4711-A9B8-5B9A8360F97D}"/>
            </c:ext>
          </c:extLst>
        </c:ser>
        <c:ser>
          <c:idx val="2"/>
          <c:order val="1"/>
          <c:tx>
            <c:v>G30/50</c:v>
          </c:tx>
          <c:spPr>
            <a:ln w="9525" cap="rnd">
              <a:solidFill>
                <a:schemeClr val="accent3">
                  <a:alpha val="50000"/>
                </a:schemeClr>
              </a:solidFill>
              <a:round/>
            </a:ln>
            <a:effectLst/>
          </c:spPr>
          <c:marker>
            <c:symbol val="star"/>
            <c:size val="6"/>
            <c:spPr>
              <a:noFill/>
              <a:ln w="15875">
                <a:solidFill>
                  <a:schemeClr val="accent3"/>
                </a:solidFill>
                <a:round/>
              </a:ln>
              <a:effectLst/>
            </c:spPr>
          </c:marker>
          <c:xVal>
            <c:numRef>
              <c:f>'Story Displacement'!$H$13:$H$19</c:f>
              <c:numCache>
                <c:formatCode>General</c:formatCode>
                <c:ptCount val="7"/>
                <c:pt idx="0">
                  <c:v>29.146999999999998</c:v>
                </c:pt>
                <c:pt idx="1">
                  <c:v>26.702999999999999</c:v>
                </c:pt>
                <c:pt idx="2">
                  <c:v>23.026</c:v>
                </c:pt>
                <c:pt idx="3">
                  <c:v>17.986000000000001</c:v>
                </c:pt>
                <c:pt idx="4">
                  <c:v>11.903</c:v>
                </c:pt>
                <c:pt idx="5">
                  <c:v>5.5060000000000002</c:v>
                </c:pt>
                <c:pt idx="6">
                  <c:v>0.56200000000000006</c:v>
                </c:pt>
              </c:numCache>
            </c:numRef>
          </c:xVal>
          <c:yVal>
            <c:numRef>
              <c:f>'Story Displacement'!$L$13:$L$19</c:f>
              <c:numCache>
                <c:formatCode>General</c:formatCode>
                <c:ptCount val="7"/>
                <c:pt idx="0">
                  <c:v>22.2</c:v>
                </c:pt>
                <c:pt idx="1">
                  <c:v>18.7</c:v>
                </c:pt>
                <c:pt idx="2">
                  <c:v>15.2</c:v>
                </c:pt>
                <c:pt idx="3">
                  <c:v>11.7</c:v>
                </c:pt>
                <c:pt idx="4">
                  <c:v>8.1999999999999993</c:v>
                </c:pt>
                <c:pt idx="5">
                  <c:v>4.7</c:v>
                </c:pt>
                <c:pt idx="6">
                  <c:v>1.2</c:v>
                </c:pt>
              </c:numCache>
            </c:numRef>
          </c:yVal>
          <c:smooth val="0"/>
          <c:extLst>
            <c:ext xmlns:c16="http://schemas.microsoft.com/office/drawing/2014/chart" uri="{C3380CC4-5D6E-409C-BE32-E72D297353CC}">
              <c16:uniqueId val="{00000001-6F5F-4711-A9B8-5B9A8360F97D}"/>
            </c:ext>
          </c:extLst>
        </c:ser>
        <c:ser>
          <c:idx val="0"/>
          <c:order val="2"/>
          <c:tx>
            <c:v>U30</c:v>
          </c:tx>
          <c:spPr>
            <a:ln w="9525" cap="rnd">
              <a:solidFill>
                <a:schemeClr val="accent1">
                  <a:alpha val="50000"/>
                </a:schemeClr>
              </a:solidFill>
              <a:round/>
            </a:ln>
            <a:effectLst/>
          </c:spPr>
          <c:marker>
            <c:symbol val="square"/>
            <c:size val="6"/>
            <c:spPr>
              <a:solidFill>
                <a:schemeClr val="lt1"/>
              </a:solidFill>
              <a:ln w="15875">
                <a:solidFill>
                  <a:schemeClr val="accent1"/>
                </a:solidFill>
                <a:round/>
              </a:ln>
              <a:effectLst/>
            </c:spPr>
          </c:marker>
          <c:xVal>
            <c:numRef>
              <c:f>'Story Displacement'!$F$13:$F$19</c:f>
              <c:numCache>
                <c:formatCode>General</c:formatCode>
                <c:ptCount val="7"/>
                <c:pt idx="0">
                  <c:v>30.556000000000001</c:v>
                </c:pt>
                <c:pt idx="1">
                  <c:v>27.907</c:v>
                </c:pt>
                <c:pt idx="2">
                  <c:v>23.992000000000001</c:v>
                </c:pt>
                <c:pt idx="3">
                  <c:v>18.670000000000002</c:v>
                </c:pt>
                <c:pt idx="4">
                  <c:v>12.282999999999999</c:v>
                </c:pt>
                <c:pt idx="5">
                  <c:v>5.6269999999999998</c:v>
                </c:pt>
                <c:pt idx="6">
                  <c:v>0.56999999999999995</c:v>
                </c:pt>
              </c:numCache>
            </c:numRef>
          </c:xVal>
          <c:yVal>
            <c:numRef>
              <c:f>'Story Displacement'!$L$13:$L$19</c:f>
              <c:numCache>
                <c:formatCode>General</c:formatCode>
                <c:ptCount val="7"/>
                <c:pt idx="0">
                  <c:v>22.2</c:v>
                </c:pt>
                <c:pt idx="1">
                  <c:v>18.7</c:v>
                </c:pt>
                <c:pt idx="2">
                  <c:v>15.2</c:v>
                </c:pt>
                <c:pt idx="3">
                  <c:v>11.7</c:v>
                </c:pt>
                <c:pt idx="4">
                  <c:v>8.1999999999999993</c:v>
                </c:pt>
                <c:pt idx="5">
                  <c:v>4.7</c:v>
                </c:pt>
                <c:pt idx="6">
                  <c:v>1.2</c:v>
                </c:pt>
              </c:numCache>
            </c:numRef>
          </c:yVal>
          <c:smooth val="0"/>
          <c:extLst>
            <c:ext xmlns:c16="http://schemas.microsoft.com/office/drawing/2014/chart" uri="{C3380CC4-5D6E-409C-BE32-E72D297353CC}">
              <c16:uniqueId val="{00000002-6F5F-4711-A9B8-5B9A8360F97D}"/>
            </c:ext>
          </c:extLst>
        </c:ser>
        <c:dLbls>
          <c:showLegendKey val="0"/>
          <c:showVal val="0"/>
          <c:showCatName val="0"/>
          <c:showSerName val="0"/>
          <c:showPercent val="0"/>
          <c:showBubbleSize val="0"/>
        </c:dLbls>
        <c:axId val="-1009711696"/>
        <c:axId val="-1009712784"/>
      </c:scatterChart>
      <c:valAx>
        <c:axId val="-100971169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Displacement (mm)</a:t>
                </a:r>
                <a:endParaRPr lang="id-ID"/>
              </a:p>
            </c:rich>
          </c:tx>
          <c:layout>
            <c:manualLayout>
              <c:xMode val="edge"/>
              <c:yMode val="edge"/>
              <c:x val="0.74213757655293089"/>
              <c:y val="0.8378799933572053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009712784"/>
        <c:crosses val="autoZero"/>
        <c:crossBetween val="midCat"/>
      </c:valAx>
      <c:valAx>
        <c:axId val="-100971278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Height (m)</a:t>
                </a:r>
                <a:endParaRPr lang="id-ID"/>
              </a:p>
            </c:rich>
          </c:tx>
          <c:layout>
            <c:manualLayout>
              <c:xMode val="edge"/>
              <c:yMode val="edge"/>
              <c:x val="2.5000000000000001E-2"/>
              <c:y val="3.2177790229768244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009711696"/>
        <c:crosses val="autoZero"/>
        <c:crossBetween val="midCat"/>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05"/>
          <c:y val="0.9086745996685115"/>
          <c:w val="0.9"/>
          <c:h val="7.75405161625053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extLst/>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26159230096237"/>
          <c:y val="5.9427406678956615E-2"/>
          <c:w val="0.82448840769903764"/>
          <c:h val="0.6837685772908414"/>
        </c:manualLayout>
      </c:layout>
      <c:scatterChart>
        <c:scatterStyle val="lineMarker"/>
        <c:varyColors val="0"/>
        <c:ser>
          <c:idx val="5"/>
          <c:order val="0"/>
          <c:tx>
            <c:v>U50</c:v>
          </c:tx>
          <c:spPr>
            <a:ln w="9525" cap="rnd">
              <a:solidFill>
                <a:schemeClr val="accent6">
                  <a:alpha val="50000"/>
                </a:schemeClr>
              </a:solidFill>
              <a:round/>
            </a:ln>
            <a:effectLst/>
          </c:spPr>
          <c:marker>
            <c:symbol val="circle"/>
            <c:size val="6"/>
            <c:spPr>
              <a:solidFill>
                <a:schemeClr val="lt1"/>
              </a:solidFill>
              <a:ln w="15875">
                <a:solidFill>
                  <a:schemeClr val="accent6"/>
                </a:solidFill>
                <a:round/>
              </a:ln>
              <a:effectLst/>
            </c:spPr>
          </c:marker>
          <c:xVal>
            <c:numRef>
              <c:f>'Story Displacement'!$K$16:$K$24</c:f>
              <c:numCache>
                <c:formatCode>General</c:formatCode>
                <c:ptCount val="9"/>
                <c:pt idx="0">
                  <c:v>32.69</c:v>
                </c:pt>
                <c:pt idx="1">
                  <c:v>31.01</c:v>
                </c:pt>
                <c:pt idx="2">
                  <c:v>28.52</c:v>
                </c:pt>
                <c:pt idx="3">
                  <c:v>25.058</c:v>
                </c:pt>
                <c:pt idx="4">
                  <c:v>20.69</c:v>
                </c:pt>
                <c:pt idx="5">
                  <c:v>15.58</c:v>
                </c:pt>
                <c:pt idx="6">
                  <c:v>10.007</c:v>
                </c:pt>
                <c:pt idx="7">
                  <c:v>4.5119999999999996</c:v>
                </c:pt>
                <c:pt idx="8">
                  <c:v>0.45</c:v>
                </c:pt>
              </c:numCache>
            </c:numRef>
          </c:xVal>
          <c:yVal>
            <c:numRef>
              <c:f>'Story Displacement'!$L$16:$L$24</c:f>
              <c:numCache>
                <c:formatCode>General</c:formatCode>
                <c:ptCount val="9"/>
                <c:pt idx="0">
                  <c:v>29.2</c:v>
                </c:pt>
                <c:pt idx="1">
                  <c:v>25.7</c:v>
                </c:pt>
                <c:pt idx="2">
                  <c:v>22.2</c:v>
                </c:pt>
                <c:pt idx="3">
                  <c:v>18.7</c:v>
                </c:pt>
                <c:pt idx="4">
                  <c:v>15.2</c:v>
                </c:pt>
                <c:pt idx="5">
                  <c:v>11.7</c:v>
                </c:pt>
                <c:pt idx="6">
                  <c:v>8.1999999999999993</c:v>
                </c:pt>
                <c:pt idx="7">
                  <c:v>4.7</c:v>
                </c:pt>
                <c:pt idx="8">
                  <c:v>1.2</c:v>
                </c:pt>
              </c:numCache>
            </c:numRef>
          </c:yVal>
          <c:smooth val="0"/>
          <c:extLst>
            <c:ext xmlns:c16="http://schemas.microsoft.com/office/drawing/2014/chart" uri="{C3380CC4-5D6E-409C-BE32-E72D297353CC}">
              <c16:uniqueId val="{00000000-7225-4E3D-B4C6-F45D735CE4BF}"/>
            </c:ext>
          </c:extLst>
        </c:ser>
        <c:ser>
          <c:idx val="2"/>
          <c:order val="1"/>
          <c:tx>
            <c:v>G30/50</c:v>
          </c:tx>
          <c:spPr>
            <a:ln w="9525" cap="rnd">
              <a:solidFill>
                <a:schemeClr val="accent3">
                  <a:alpha val="50000"/>
                </a:schemeClr>
              </a:solidFill>
              <a:round/>
            </a:ln>
            <a:effectLst/>
          </c:spPr>
          <c:marker>
            <c:symbol val="star"/>
            <c:size val="6"/>
            <c:spPr>
              <a:noFill/>
              <a:ln w="15875">
                <a:solidFill>
                  <a:schemeClr val="accent3"/>
                </a:solidFill>
                <a:round/>
              </a:ln>
              <a:effectLst/>
            </c:spPr>
          </c:marker>
          <c:xVal>
            <c:numRef>
              <c:f>'Story Displacement'!$H$16:$H$24</c:f>
              <c:numCache>
                <c:formatCode>General</c:formatCode>
                <c:ptCount val="9"/>
                <c:pt idx="0">
                  <c:v>38.497</c:v>
                </c:pt>
                <c:pt idx="1">
                  <c:v>36.561</c:v>
                </c:pt>
                <c:pt idx="2">
                  <c:v>33.662999999999997</c:v>
                </c:pt>
                <c:pt idx="3">
                  <c:v>29.626999999999999</c:v>
                </c:pt>
                <c:pt idx="4">
                  <c:v>24.532</c:v>
                </c:pt>
                <c:pt idx="5">
                  <c:v>18.561</c:v>
                </c:pt>
                <c:pt idx="6">
                  <c:v>12.01</c:v>
                </c:pt>
                <c:pt idx="7">
                  <c:v>5.4770000000000003</c:v>
                </c:pt>
                <c:pt idx="8">
                  <c:v>0.55500000000000005</c:v>
                </c:pt>
              </c:numCache>
            </c:numRef>
          </c:xVal>
          <c:yVal>
            <c:numRef>
              <c:f>'Story Displacement'!$L$16:$L$24</c:f>
              <c:numCache>
                <c:formatCode>General</c:formatCode>
                <c:ptCount val="9"/>
                <c:pt idx="0">
                  <c:v>29.2</c:v>
                </c:pt>
                <c:pt idx="1">
                  <c:v>25.7</c:v>
                </c:pt>
                <c:pt idx="2">
                  <c:v>22.2</c:v>
                </c:pt>
                <c:pt idx="3">
                  <c:v>18.7</c:v>
                </c:pt>
                <c:pt idx="4">
                  <c:v>15.2</c:v>
                </c:pt>
                <c:pt idx="5">
                  <c:v>11.7</c:v>
                </c:pt>
                <c:pt idx="6">
                  <c:v>8.1999999999999993</c:v>
                </c:pt>
                <c:pt idx="7">
                  <c:v>4.7</c:v>
                </c:pt>
                <c:pt idx="8">
                  <c:v>1.2</c:v>
                </c:pt>
              </c:numCache>
            </c:numRef>
          </c:yVal>
          <c:smooth val="0"/>
          <c:extLst>
            <c:ext xmlns:c16="http://schemas.microsoft.com/office/drawing/2014/chart" uri="{C3380CC4-5D6E-409C-BE32-E72D297353CC}">
              <c16:uniqueId val="{00000001-7225-4E3D-B4C6-F45D735CE4BF}"/>
            </c:ext>
          </c:extLst>
        </c:ser>
        <c:ser>
          <c:idx val="0"/>
          <c:order val="2"/>
          <c:tx>
            <c:v>U30</c:v>
          </c:tx>
          <c:spPr>
            <a:ln w="9525" cap="rnd">
              <a:solidFill>
                <a:schemeClr val="accent1">
                  <a:alpha val="50000"/>
                </a:schemeClr>
              </a:solidFill>
              <a:round/>
            </a:ln>
            <a:effectLst/>
          </c:spPr>
          <c:marker>
            <c:symbol val="square"/>
            <c:size val="6"/>
            <c:spPr>
              <a:solidFill>
                <a:schemeClr val="lt1"/>
              </a:solidFill>
              <a:ln w="15875">
                <a:solidFill>
                  <a:schemeClr val="accent1"/>
                </a:solidFill>
                <a:round/>
              </a:ln>
              <a:effectLst/>
            </c:spPr>
          </c:marker>
          <c:xVal>
            <c:numRef>
              <c:f>'Story Displacement'!$F$16:$F$24</c:f>
              <c:numCache>
                <c:formatCode>General</c:formatCode>
                <c:ptCount val="9"/>
                <c:pt idx="0">
                  <c:v>40.19</c:v>
                </c:pt>
                <c:pt idx="1">
                  <c:v>38.11</c:v>
                </c:pt>
                <c:pt idx="2">
                  <c:v>35.042000000000002</c:v>
                </c:pt>
                <c:pt idx="3">
                  <c:v>30.795000000000002</c:v>
                </c:pt>
                <c:pt idx="4">
                  <c:v>25.446999999999999</c:v>
                </c:pt>
                <c:pt idx="5">
                  <c:v>19.190000000000001</c:v>
                </c:pt>
                <c:pt idx="6">
                  <c:v>12.348000000000001</c:v>
                </c:pt>
                <c:pt idx="7">
                  <c:v>5.5780000000000003</c:v>
                </c:pt>
                <c:pt idx="8">
                  <c:v>0.56100000000000005</c:v>
                </c:pt>
              </c:numCache>
            </c:numRef>
          </c:xVal>
          <c:yVal>
            <c:numRef>
              <c:f>'Story Displacement'!$L$16:$L$24</c:f>
              <c:numCache>
                <c:formatCode>General</c:formatCode>
                <c:ptCount val="9"/>
                <c:pt idx="0">
                  <c:v>29.2</c:v>
                </c:pt>
                <c:pt idx="1">
                  <c:v>25.7</c:v>
                </c:pt>
                <c:pt idx="2">
                  <c:v>22.2</c:v>
                </c:pt>
                <c:pt idx="3">
                  <c:v>18.7</c:v>
                </c:pt>
                <c:pt idx="4">
                  <c:v>15.2</c:v>
                </c:pt>
                <c:pt idx="5">
                  <c:v>11.7</c:v>
                </c:pt>
                <c:pt idx="6">
                  <c:v>8.1999999999999993</c:v>
                </c:pt>
                <c:pt idx="7">
                  <c:v>4.7</c:v>
                </c:pt>
                <c:pt idx="8">
                  <c:v>1.2</c:v>
                </c:pt>
              </c:numCache>
            </c:numRef>
          </c:yVal>
          <c:smooth val="0"/>
          <c:extLst>
            <c:ext xmlns:c16="http://schemas.microsoft.com/office/drawing/2014/chart" uri="{C3380CC4-5D6E-409C-BE32-E72D297353CC}">
              <c16:uniqueId val="{00000002-7225-4E3D-B4C6-F45D735CE4BF}"/>
            </c:ext>
          </c:extLst>
        </c:ser>
        <c:dLbls>
          <c:showLegendKey val="0"/>
          <c:showVal val="0"/>
          <c:showCatName val="0"/>
          <c:showSerName val="0"/>
          <c:showPercent val="0"/>
          <c:showBubbleSize val="0"/>
        </c:dLbls>
        <c:axId val="-1009716592"/>
        <c:axId val="-1009716048"/>
      </c:scatterChart>
      <c:valAx>
        <c:axId val="-100971659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Displacement (mm)</a:t>
                </a:r>
                <a:endParaRPr lang="id-ID"/>
              </a:p>
            </c:rich>
          </c:tx>
          <c:layout>
            <c:manualLayout>
              <c:xMode val="edge"/>
              <c:yMode val="edge"/>
              <c:x val="0.73566557305336844"/>
              <c:y val="0.82600091348967331"/>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009716048"/>
        <c:crosses val="autoZero"/>
        <c:crossBetween val="midCat"/>
      </c:valAx>
      <c:valAx>
        <c:axId val="-1009716048"/>
        <c:scaling>
          <c:orientation val="minMax"/>
          <c:max val="3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D"/>
                  <a:t>Height (m)</a:t>
                </a:r>
                <a:endParaRPr lang="id-ID"/>
              </a:p>
            </c:rich>
          </c:tx>
          <c:layout>
            <c:manualLayout>
              <c:xMode val="edge"/>
              <c:yMode val="edge"/>
              <c:x val="2.8120297462817152E-2"/>
              <c:y val="4.3935950823135547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009716592"/>
        <c:crosses val="autoZero"/>
        <c:crossBetween val="midCat"/>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4.1666666666666664E-2"/>
          <c:y val="0.91446239705399579"/>
          <c:w val="0.9"/>
          <c:h val="7.661147045092361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extLst/>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0.82023</cdr:x>
      <cdr:y>0.51789</cdr:y>
    </cdr:from>
    <cdr:to>
      <cdr:x>0.94811</cdr:x>
      <cdr:y>0.6844</cdr:y>
    </cdr:to>
    <cdr:pic>
      <cdr:nvPicPr>
        <cdr:cNvPr id="2" name="Picture 1"/>
        <cdr:cNvPicPr/>
      </cdr:nvPicPr>
      <cdr:blipFill rotWithShape="1">
        <a:blip xmlns:a="http://schemas.openxmlformats.org/drawingml/2006/main" xmlns:r="http://schemas.openxmlformats.org/officeDocument/2006/relationships" r:embed="rId1"/>
        <a:srcRect xmlns:a="http://schemas.openxmlformats.org/drawingml/2006/main" t="23068" r="10417"/>
        <a:stretch xmlns:a="http://schemas.openxmlformats.org/drawingml/2006/main"/>
      </cdr:blipFill>
      <cdr:spPr>
        <a:xfrm xmlns:a="http://schemas.openxmlformats.org/drawingml/2006/main" flipH="1">
          <a:off x="3543299" y="1304924"/>
          <a:ext cx="552450" cy="41953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0.81545</cdr:x>
      <cdr:y>0.36479</cdr:y>
    </cdr:from>
    <cdr:to>
      <cdr:x>0.9437</cdr:x>
      <cdr:y>0.72581</cdr:y>
    </cdr:to>
    <cdr:pic>
      <cdr:nvPicPr>
        <cdr:cNvPr id="2" name="Picture 1"/>
        <cdr:cNvPicPr/>
      </cdr:nvPicPr>
      <cdr:blipFill rotWithShape="1">
        <a:blip xmlns:a="http://schemas.openxmlformats.org/drawingml/2006/main" xmlns:r="http://schemas.openxmlformats.org/officeDocument/2006/relationships" r:embed="rId1"/>
        <a:srcRect xmlns:a="http://schemas.openxmlformats.org/drawingml/2006/main" t="14658" r="11731"/>
        <a:stretch xmlns:a="http://schemas.openxmlformats.org/drawingml/2006/main"/>
      </cdr:blipFill>
      <cdr:spPr bwMode="auto">
        <a:xfrm xmlns:a="http://schemas.openxmlformats.org/drawingml/2006/main">
          <a:off x="3522664" y="919163"/>
          <a:ext cx="554038" cy="909638"/>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drawings/drawing3.xml><?xml version="1.0" encoding="utf-8"?>
<c:userShapes xmlns:c="http://schemas.openxmlformats.org/drawingml/2006/chart">
  <cdr:relSizeAnchor xmlns:cdr="http://schemas.openxmlformats.org/drawingml/2006/chartDrawing">
    <cdr:from>
      <cdr:x>0.81986</cdr:x>
      <cdr:y>0.32699</cdr:y>
    </cdr:from>
    <cdr:to>
      <cdr:x>0.93709</cdr:x>
      <cdr:y>0.71825</cdr:y>
    </cdr:to>
    <cdr:pic>
      <cdr:nvPicPr>
        <cdr:cNvPr id="2" name="Picture 1"/>
        <cdr:cNvPicPr/>
      </cdr:nvPicPr>
      <cdr:blipFill rotWithShape="1">
        <a:blip xmlns:a="http://schemas.openxmlformats.org/drawingml/2006/main" xmlns:r="http://schemas.openxmlformats.org/officeDocument/2006/relationships" r:embed="rId1"/>
        <a:srcRect xmlns:a="http://schemas.openxmlformats.org/drawingml/2006/main" t="12804" r="15890"/>
        <a:stretch xmlns:a="http://schemas.openxmlformats.org/drawingml/2006/main"/>
      </cdr:blipFill>
      <cdr:spPr bwMode="auto">
        <a:xfrm xmlns:a="http://schemas.openxmlformats.org/drawingml/2006/main" flipH="1">
          <a:off x="3541714" y="823913"/>
          <a:ext cx="506412" cy="985837"/>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6B365-4953-40BA-AB63-1D600DBBF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59</TotalTime>
  <Pages>1</Pages>
  <Words>7252</Words>
  <Characters>41342</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48498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M. Mirza Abdillah Pratama</cp:lastModifiedBy>
  <cp:revision>10</cp:revision>
  <cp:lastPrinted>2005-02-25T09:52:00Z</cp:lastPrinted>
  <dcterms:created xsi:type="dcterms:W3CDTF">2020-08-11T15:41:00Z</dcterms:created>
  <dcterms:modified xsi:type="dcterms:W3CDTF">2020-09-13T13:47:00Z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id="0mE3HTvo"/&gt;&lt;style id="http://www.zotero.org/styles/iop-conference-series-materials-science-and-engineering" hasBibliography="1" bibliographyStyleHasBeenSet="1"/&gt;&lt;prefs&gt;&lt;pref name="fieldType" valu</vt:lpwstr>
  </property>
  <property fmtid="{D5CDD505-2E9C-101B-9397-08002B2CF9AE}" pid="3" name="ZOTERO_PREF_2">
    <vt:lpwstr>e="Field"/&gt;&lt;pref name="automaticJournalAbbreviations" value="true"/&gt;&lt;/prefs&gt;&lt;/data&gt;</vt:lpwstr>
  </property>
</Properties>
</file>