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6A" w:rsidRDefault="00E66AA8" w:rsidP="00E66AA8">
      <w:pPr>
        <w:spacing w:after="568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66AA8">
        <w:rPr>
          <w:rFonts w:ascii="Times New Roman" w:eastAsia="Times New Roman" w:hAnsi="Times New Roman" w:cs="Times New Roman"/>
          <w:b/>
          <w:sz w:val="34"/>
          <w:szCs w:val="34"/>
        </w:rPr>
        <w:t>Service life prediction of historic timber-framed structures of the</w:t>
      </w:r>
      <w:r w:rsidR="009E76A5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r w:rsidR="009E76A5">
        <w:rPr>
          <w:rFonts w:ascii="Times New Roman" w:eastAsia="Times New Roman" w:hAnsi="Times New Roman" w:cs="Times New Roman"/>
          <w:b/>
          <w:sz w:val="34"/>
          <w:szCs w:val="34"/>
        </w:rPr>
        <w:t>kadariah</w:t>
      </w:r>
      <w:proofErr w:type="spellEnd"/>
      <w:r w:rsidR="009E76A5">
        <w:rPr>
          <w:rFonts w:ascii="Times New Roman" w:eastAsia="Times New Roman" w:hAnsi="Times New Roman" w:cs="Times New Roman"/>
          <w:b/>
          <w:sz w:val="34"/>
          <w:szCs w:val="34"/>
        </w:rPr>
        <w:t xml:space="preserve"> palace in P</w:t>
      </w:r>
      <w:r w:rsidR="0042301C">
        <w:rPr>
          <w:rFonts w:ascii="Times New Roman" w:eastAsia="Times New Roman" w:hAnsi="Times New Roman" w:cs="Times New Roman"/>
          <w:b/>
          <w:sz w:val="34"/>
          <w:szCs w:val="34"/>
        </w:rPr>
        <w:t>ontianak, I</w:t>
      </w:r>
      <w:r w:rsidRPr="00E66AA8">
        <w:rPr>
          <w:rFonts w:ascii="Times New Roman" w:eastAsia="Times New Roman" w:hAnsi="Times New Roman" w:cs="Times New Roman"/>
          <w:b/>
          <w:sz w:val="34"/>
          <w:szCs w:val="34"/>
        </w:rPr>
        <w:t>ndonesia</w:t>
      </w:r>
    </w:p>
    <w:p w:rsidR="00E06A6A" w:rsidRDefault="00E66AA8" w:rsidP="00E66AA8">
      <w:pPr>
        <w:spacing w:after="0"/>
        <w:ind w:left="141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</w:t>
      </w:r>
      <w:r w:rsidR="003564E0">
        <w:rPr>
          <w:rFonts w:ascii="Times New Roman" w:eastAsia="Times New Roman" w:hAnsi="Times New Roman" w:cs="Times New Roman"/>
          <w:b/>
        </w:rPr>
        <w:t xml:space="preserve"> Se</w:t>
      </w:r>
      <w:r>
        <w:rPr>
          <w:rFonts w:ascii="Times New Roman" w:eastAsia="Times New Roman" w:hAnsi="Times New Roman" w:cs="Times New Roman"/>
          <w:b/>
        </w:rPr>
        <w:t>tiawan</w:t>
      </w:r>
      <w:r w:rsidR="003564E0"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, H</w:t>
      </w:r>
      <w:r w:rsidR="003564E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Prabowo</w:t>
      </w:r>
      <w:r w:rsidR="003564E0"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 xml:space="preserve"> and E P Akbar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 w:rsidR="003564E0">
        <w:rPr>
          <w:rFonts w:ascii="Times New Roman" w:eastAsia="Times New Roman" w:hAnsi="Times New Roman" w:cs="Times New Roman"/>
          <w:b/>
          <w:vertAlign w:val="superscript"/>
        </w:rPr>
        <w:t xml:space="preserve">  </w:t>
      </w:r>
    </w:p>
    <w:p w:rsidR="00E06A6A" w:rsidRDefault="00E06A6A">
      <w:pPr>
        <w:spacing w:after="0"/>
        <w:ind w:left="1418"/>
        <w:rPr>
          <w:rFonts w:ascii="Times New Roman" w:eastAsia="Times New Roman" w:hAnsi="Times New Roman" w:cs="Times New Roman"/>
          <w:vertAlign w:val="superscript"/>
        </w:rPr>
      </w:pPr>
    </w:p>
    <w:p w:rsidR="00E66AA8" w:rsidRDefault="003564E0" w:rsidP="00E66AA8">
      <w:pPr>
        <w:spacing w:after="0"/>
        <w:ind w:left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 w:rsidR="00E66AA8">
        <w:rPr>
          <w:rFonts w:ascii="Times New Roman" w:eastAsia="Times New Roman" w:hAnsi="Times New Roman" w:cs="Times New Roman"/>
        </w:rPr>
        <w:t>Department of Architecture</w:t>
      </w:r>
      <w:r>
        <w:rPr>
          <w:rFonts w:ascii="Times New Roman" w:eastAsia="Times New Roman" w:hAnsi="Times New Roman" w:cs="Times New Roman"/>
        </w:rPr>
        <w:t>,</w:t>
      </w:r>
      <w:r w:rsidR="00E66AA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6AA8">
        <w:rPr>
          <w:rFonts w:ascii="Times New Roman" w:eastAsia="Times New Roman" w:hAnsi="Times New Roman" w:cs="Times New Roman"/>
        </w:rPr>
        <w:t>Politeknik</w:t>
      </w:r>
      <w:proofErr w:type="spellEnd"/>
      <w:r w:rsidR="00E66AA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66AA8">
        <w:rPr>
          <w:rFonts w:ascii="Times New Roman" w:eastAsia="Times New Roman" w:hAnsi="Times New Roman" w:cs="Times New Roman"/>
        </w:rPr>
        <w:t>Negeri</w:t>
      </w:r>
      <w:proofErr w:type="spellEnd"/>
      <w:r w:rsidR="00E66AA8">
        <w:rPr>
          <w:rFonts w:ascii="Times New Roman" w:eastAsia="Times New Roman" w:hAnsi="Times New Roman" w:cs="Times New Roman"/>
        </w:rPr>
        <w:t xml:space="preserve"> Pontianak,</w:t>
      </w:r>
      <w:r>
        <w:rPr>
          <w:rFonts w:ascii="Times New Roman" w:eastAsia="Times New Roman" w:hAnsi="Times New Roman" w:cs="Times New Roman"/>
        </w:rPr>
        <w:t xml:space="preserve"> </w:t>
      </w:r>
      <w:r w:rsidR="00E66AA8" w:rsidRPr="00E66AA8">
        <w:rPr>
          <w:rFonts w:ascii="Times New Roman" w:eastAsia="Times New Roman" w:hAnsi="Times New Roman" w:cs="Times New Roman"/>
        </w:rPr>
        <w:t xml:space="preserve">Jl. </w:t>
      </w:r>
      <w:proofErr w:type="spellStart"/>
      <w:r w:rsidR="00E66AA8" w:rsidRPr="00E66AA8">
        <w:rPr>
          <w:rFonts w:ascii="Times New Roman" w:eastAsia="Times New Roman" w:hAnsi="Times New Roman" w:cs="Times New Roman"/>
        </w:rPr>
        <w:t>Jenderal</w:t>
      </w:r>
      <w:proofErr w:type="spellEnd"/>
      <w:r w:rsidR="00E66AA8" w:rsidRPr="00E66AA8">
        <w:rPr>
          <w:rFonts w:ascii="Times New Roman" w:eastAsia="Times New Roman" w:hAnsi="Times New Roman" w:cs="Times New Roman"/>
        </w:rPr>
        <w:t xml:space="preserve"> Ahmad </w:t>
      </w:r>
      <w:proofErr w:type="spellStart"/>
      <w:r w:rsidR="00E66AA8" w:rsidRPr="00E66AA8">
        <w:rPr>
          <w:rFonts w:ascii="Times New Roman" w:eastAsia="Times New Roman" w:hAnsi="Times New Roman" w:cs="Times New Roman"/>
        </w:rPr>
        <w:t>Yani</w:t>
      </w:r>
      <w:proofErr w:type="spellEnd"/>
      <w:r w:rsidR="00E66AA8" w:rsidRPr="00E66AA8">
        <w:rPr>
          <w:rFonts w:ascii="Times New Roman" w:eastAsia="Times New Roman" w:hAnsi="Times New Roman" w:cs="Times New Roman"/>
        </w:rPr>
        <w:t xml:space="preserve">, </w:t>
      </w:r>
      <w:r w:rsidR="00E66AA8">
        <w:rPr>
          <w:rFonts w:ascii="Times New Roman" w:eastAsia="Times New Roman" w:hAnsi="Times New Roman" w:cs="Times New Roman"/>
        </w:rPr>
        <w:t xml:space="preserve">  </w:t>
      </w:r>
    </w:p>
    <w:p w:rsidR="00E06A6A" w:rsidRDefault="00E66AA8" w:rsidP="00E66AA8">
      <w:pPr>
        <w:spacing w:after="0"/>
        <w:ind w:left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E66AA8">
        <w:rPr>
          <w:rFonts w:ascii="Times New Roman" w:eastAsia="Times New Roman" w:hAnsi="Times New Roman" w:cs="Times New Roman"/>
        </w:rPr>
        <w:t>Kota Pontianak</w:t>
      </w:r>
      <w:r>
        <w:rPr>
          <w:rFonts w:ascii="Times New Roman" w:eastAsia="Times New Roman" w:hAnsi="Times New Roman" w:cs="Times New Roman"/>
        </w:rPr>
        <w:t xml:space="preserve"> 78124, Kalimantan Barat</w:t>
      </w:r>
      <w:r w:rsidRPr="00E66AA8">
        <w:rPr>
          <w:rFonts w:ascii="Times New Roman" w:eastAsia="Times New Roman" w:hAnsi="Times New Roman" w:cs="Times New Roman"/>
        </w:rPr>
        <w:t>, Indonesia</w:t>
      </w:r>
    </w:p>
    <w:p w:rsidR="00E66AA8" w:rsidRDefault="003564E0" w:rsidP="00E66AA8">
      <w:pPr>
        <w:spacing w:after="0"/>
        <w:ind w:left="1418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vertAlign w:val="superscript"/>
        </w:rPr>
        <w:t>2</w:t>
      </w:r>
      <w:r w:rsidR="00E66AA8" w:rsidRPr="00E66AA8">
        <w:rPr>
          <w:rFonts w:ascii="Times New Roman" w:eastAsia="Times New Roman" w:hAnsi="Times New Roman" w:cs="Times New Roman"/>
        </w:rPr>
        <w:t>Laboratory for Construction, Innovative Structures, and Building Physics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66AA8">
        <w:rPr>
          <w:rFonts w:ascii="Times New Roman" w:eastAsia="Times New Roman" w:hAnsi="Times New Roman" w:cs="Times New Roman"/>
        </w:rPr>
        <w:t>Politeknik</w:t>
      </w:r>
      <w:proofErr w:type="spellEnd"/>
      <w:r w:rsidR="00E66AA8">
        <w:rPr>
          <w:rFonts w:ascii="Times New Roman" w:eastAsia="Times New Roman" w:hAnsi="Times New Roman" w:cs="Times New Roman"/>
        </w:rPr>
        <w:t xml:space="preserve"> </w:t>
      </w:r>
    </w:p>
    <w:p w:rsidR="00E66AA8" w:rsidRDefault="00E66AA8" w:rsidP="00E66AA8">
      <w:pPr>
        <w:spacing w:after="0"/>
        <w:ind w:left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Negeri</w:t>
      </w:r>
      <w:proofErr w:type="spellEnd"/>
      <w:r>
        <w:rPr>
          <w:rFonts w:ascii="Times New Roman" w:eastAsia="Times New Roman" w:hAnsi="Times New Roman" w:cs="Times New Roman"/>
        </w:rPr>
        <w:t xml:space="preserve"> Pontianak, </w:t>
      </w:r>
      <w:r w:rsidRPr="00E66AA8">
        <w:rPr>
          <w:rFonts w:ascii="Times New Roman" w:eastAsia="Times New Roman" w:hAnsi="Times New Roman" w:cs="Times New Roman"/>
        </w:rPr>
        <w:t xml:space="preserve">Jl. </w:t>
      </w:r>
      <w:proofErr w:type="spellStart"/>
      <w:r w:rsidRPr="00E66AA8">
        <w:rPr>
          <w:rFonts w:ascii="Times New Roman" w:eastAsia="Times New Roman" w:hAnsi="Times New Roman" w:cs="Times New Roman"/>
        </w:rPr>
        <w:t>Jenderal</w:t>
      </w:r>
      <w:proofErr w:type="spellEnd"/>
      <w:r w:rsidRPr="00E66AA8">
        <w:rPr>
          <w:rFonts w:ascii="Times New Roman" w:eastAsia="Times New Roman" w:hAnsi="Times New Roman" w:cs="Times New Roman"/>
        </w:rPr>
        <w:t xml:space="preserve"> Ahmad </w:t>
      </w:r>
      <w:proofErr w:type="spellStart"/>
      <w:r w:rsidRPr="00E66AA8">
        <w:rPr>
          <w:rFonts w:ascii="Times New Roman" w:eastAsia="Times New Roman" w:hAnsi="Times New Roman" w:cs="Times New Roman"/>
        </w:rPr>
        <w:t>Yani</w:t>
      </w:r>
      <w:proofErr w:type="spellEnd"/>
      <w:r w:rsidRPr="00E66AA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E66AA8">
        <w:rPr>
          <w:rFonts w:ascii="Times New Roman" w:eastAsia="Times New Roman" w:hAnsi="Times New Roman" w:cs="Times New Roman"/>
        </w:rPr>
        <w:t>Kota Pontianak</w:t>
      </w:r>
      <w:r>
        <w:rPr>
          <w:rFonts w:ascii="Times New Roman" w:eastAsia="Times New Roman" w:hAnsi="Times New Roman" w:cs="Times New Roman"/>
        </w:rPr>
        <w:t xml:space="preserve"> 78124, </w:t>
      </w:r>
    </w:p>
    <w:p w:rsidR="00E66AA8" w:rsidRDefault="00E66AA8" w:rsidP="00E66AA8">
      <w:pPr>
        <w:spacing w:after="0"/>
        <w:ind w:left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Kalimantan Barat</w:t>
      </w:r>
      <w:r w:rsidRPr="00E66AA8">
        <w:rPr>
          <w:rFonts w:ascii="Times New Roman" w:eastAsia="Times New Roman" w:hAnsi="Times New Roman" w:cs="Times New Roman"/>
        </w:rPr>
        <w:t>, Indonesia</w:t>
      </w:r>
    </w:p>
    <w:p w:rsidR="00E06A6A" w:rsidRDefault="00E06A6A">
      <w:pPr>
        <w:spacing w:after="0"/>
        <w:ind w:left="1418"/>
        <w:rPr>
          <w:rFonts w:ascii="Times New Roman" w:eastAsia="Times New Roman" w:hAnsi="Times New Roman" w:cs="Times New Roman"/>
        </w:rPr>
      </w:pPr>
    </w:p>
    <w:p w:rsidR="00E06A6A" w:rsidRPr="007D0D1E" w:rsidRDefault="003564E0" w:rsidP="00E66AA8">
      <w:pPr>
        <w:spacing w:after="568"/>
        <w:ind w:left="1418"/>
        <w:rPr>
          <w:rFonts w:ascii="Times New Roman" w:eastAsia="Times New Roman" w:hAnsi="Times New Roman" w:cs="Times New Roman"/>
          <w:lang w:val="en-US"/>
        </w:rPr>
      </w:pPr>
      <w:r w:rsidRPr="007D0D1E">
        <w:rPr>
          <w:rFonts w:ascii="Times New Roman" w:eastAsia="Times New Roman" w:hAnsi="Times New Roman" w:cs="Times New Roman"/>
          <w:lang w:val="en-US"/>
        </w:rPr>
        <w:t xml:space="preserve">E-mail: </w:t>
      </w:r>
      <w:r w:rsidR="00E66AA8" w:rsidRPr="007D0D1E">
        <w:rPr>
          <w:rFonts w:ascii="Times New Roman" w:eastAsia="Times New Roman" w:hAnsi="Times New Roman" w:cs="Times New Roman"/>
          <w:lang w:val="en-US"/>
        </w:rPr>
        <w:t>prabowoherry@yahoo.com</w:t>
      </w:r>
    </w:p>
    <w:p w:rsidR="00E06A6A" w:rsidRDefault="003564E0" w:rsidP="00B41D30">
      <w:pPr>
        <w:spacing w:after="568"/>
        <w:ind w:left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Abstract. </w:t>
      </w:r>
      <w:r w:rsidR="00C27B49" w:rsidRPr="00C27B49">
        <w:rPr>
          <w:rFonts w:ascii="Times New Roman" w:eastAsia="Times New Roman" w:hAnsi="Times New Roman" w:cs="Times New Roman"/>
          <w:sz w:val="20"/>
          <w:szCs w:val="20"/>
        </w:rPr>
        <w:t>Durability</w:t>
      </w:r>
      <w:r w:rsidR="007B578B">
        <w:rPr>
          <w:rFonts w:ascii="Times New Roman" w:eastAsia="Times New Roman" w:hAnsi="Times New Roman" w:cs="Times New Roman"/>
          <w:sz w:val="20"/>
          <w:szCs w:val="20"/>
        </w:rPr>
        <w:t xml:space="preserve"> is a significant issue when using</w:t>
      </w:r>
      <w:r w:rsidR="00CB38C1">
        <w:rPr>
          <w:rFonts w:ascii="Times New Roman" w:eastAsia="Times New Roman" w:hAnsi="Times New Roman" w:cs="Times New Roman"/>
          <w:sz w:val="20"/>
          <w:szCs w:val="20"/>
        </w:rPr>
        <w:t xml:space="preserve"> timber in construction</w:t>
      </w:r>
      <w:r w:rsidR="00FF016B">
        <w:rPr>
          <w:rFonts w:ascii="Times New Roman" w:eastAsia="Times New Roman" w:hAnsi="Times New Roman" w:cs="Times New Roman"/>
          <w:sz w:val="20"/>
          <w:szCs w:val="20"/>
        </w:rPr>
        <w:t>,</w:t>
      </w:r>
      <w:r w:rsidR="00C27B49" w:rsidRPr="00C27B49">
        <w:rPr>
          <w:rFonts w:ascii="Times New Roman" w:eastAsia="Times New Roman" w:hAnsi="Times New Roman" w:cs="Times New Roman"/>
          <w:sz w:val="20"/>
          <w:szCs w:val="20"/>
        </w:rPr>
        <w:t xml:space="preserve"> especially for the historic building aged hundreds of years. The heritage building should be well preserved as </w:t>
      </w:r>
      <w:r w:rsidR="008322E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C27B49" w:rsidRPr="00C27B49">
        <w:rPr>
          <w:rFonts w:ascii="Times New Roman" w:eastAsia="Times New Roman" w:hAnsi="Times New Roman" w:cs="Times New Roman"/>
          <w:sz w:val="20"/>
          <w:szCs w:val="20"/>
        </w:rPr>
        <w:t xml:space="preserve">national identity and also as a legacy of humanity. Thus, it is </w:t>
      </w:r>
      <w:r w:rsidR="00D349BD">
        <w:rPr>
          <w:rFonts w:ascii="Times New Roman" w:eastAsia="Times New Roman" w:hAnsi="Times New Roman" w:cs="Times New Roman"/>
          <w:sz w:val="20"/>
          <w:szCs w:val="20"/>
        </w:rPr>
        <w:t>crucial</w:t>
      </w:r>
      <w:r w:rsidR="00C27B49" w:rsidRPr="00C27B49">
        <w:rPr>
          <w:rFonts w:ascii="Times New Roman" w:eastAsia="Times New Roman" w:hAnsi="Times New Roman" w:cs="Times New Roman"/>
          <w:sz w:val="20"/>
          <w:szCs w:val="20"/>
        </w:rPr>
        <w:t xml:space="preserve"> to know the remaining service life of the building. It can be used to decide the time when the repair or replacement has to be done. </w:t>
      </w:r>
      <w:r w:rsidR="00B41D30" w:rsidRPr="00B41D30">
        <w:rPr>
          <w:rFonts w:ascii="Times New Roman" w:eastAsia="Times New Roman" w:hAnsi="Times New Roman" w:cs="Times New Roman"/>
          <w:sz w:val="20"/>
          <w:szCs w:val="20"/>
        </w:rPr>
        <w:t xml:space="preserve">The decay depth calculation shows that the main structural elements will reach the </w:t>
      </w:r>
      <w:proofErr w:type="spellStart"/>
      <w:r w:rsidR="00B41D30" w:rsidRPr="00B41D30">
        <w:rPr>
          <w:rFonts w:ascii="Times New Roman" w:eastAsia="Times New Roman" w:hAnsi="Times New Roman" w:cs="Times New Roman"/>
          <w:sz w:val="20"/>
          <w:szCs w:val="20"/>
        </w:rPr>
        <w:t>center</w:t>
      </w:r>
      <w:proofErr w:type="spellEnd"/>
      <w:r w:rsidR="00B41D30" w:rsidRPr="00B41D30">
        <w:rPr>
          <w:rFonts w:ascii="Times New Roman" w:eastAsia="Times New Roman" w:hAnsi="Times New Roman" w:cs="Times New Roman"/>
          <w:sz w:val="20"/>
          <w:szCs w:val="20"/>
        </w:rPr>
        <w:t xml:space="preserve"> of the cross-section (75 mm) in 150 years (around the year 1920).</w:t>
      </w:r>
      <w:r w:rsidR="00C27B49" w:rsidRPr="00C27B49">
        <w:rPr>
          <w:rFonts w:ascii="Times New Roman" w:eastAsia="Times New Roman" w:hAnsi="Times New Roman" w:cs="Times New Roman"/>
          <w:sz w:val="20"/>
          <w:szCs w:val="20"/>
        </w:rPr>
        <w:t xml:space="preserve"> The condition threatens the stability and safety of the building. The additional width and thickness to the existing structural elements cross-section and the application of weather shield paint on the surface of structural elements periodically in recent time</w:t>
      </w:r>
      <w:r w:rsidR="00C63C5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27B49" w:rsidRPr="00C27B49">
        <w:rPr>
          <w:rFonts w:ascii="Times New Roman" w:eastAsia="Times New Roman" w:hAnsi="Times New Roman" w:cs="Times New Roman"/>
          <w:sz w:val="20"/>
          <w:szCs w:val="20"/>
        </w:rPr>
        <w:t xml:space="preserve"> proved to be effective in maintaining the building remain </w:t>
      </w:r>
      <w:r w:rsidR="00C63C5C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C27B49" w:rsidRPr="00C27B49">
        <w:rPr>
          <w:rFonts w:ascii="Times New Roman" w:eastAsia="Times New Roman" w:hAnsi="Times New Roman" w:cs="Times New Roman"/>
          <w:sz w:val="20"/>
          <w:szCs w:val="20"/>
        </w:rPr>
        <w:t>stand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E66AA8" w:rsidRPr="00E66AA8" w:rsidRDefault="00E66AA8">
      <w:pPr>
        <w:spacing w:after="568"/>
        <w:ind w:left="141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Keywords: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se</w:t>
      </w:r>
      <w:r w:rsidR="00CA27D2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vice life, timber structures, historic building,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kadariah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palace</w:t>
      </w:r>
    </w:p>
    <w:p w:rsidR="00E06A6A" w:rsidRDefault="00356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Introduction </w:t>
      </w:r>
    </w:p>
    <w:p w:rsidR="00E66AA8" w:rsidRDefault="00E66AA8" w:rsidP="00B41D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A8">
        <w:rPr>
          <w:rFonts w:ascii="Times New Roman" w:eastAsia="Times New Roman" w:hAnsi="Times New Roman" w:cs="Times New Roman"/>
          <w:color w:val="000000"/>
        </w:rPr>
        <w:t xml:space="preserve">The existing historic building is </w:t>
      </w:r>
      <w:r w:rsidR="00CA27D2">
        <w:rPr>
          <w:rFonts w:ascii="Times New Roman" w:eastAsia="Times New Roman" w:hAnsi="Times New Roman" w:cs="Times New Roman"/>
          <w:color w:val="000000"/>
        </w:rPr>
        <w:t>essential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to be well preserved as </w:t>
      </w:r>
      <w:r w:rsidR="00220CAA">
        <w:rPr>
          <w:rFonts w:ascii="Times New Roman" w:eastAsia="Times New Roman" w:hAnsi="Times New Roman" w:cs="Times New Roman"/>
          <w:color w:val="000000"/>
        </w:rPr>
        <w:t xml:space="preserve">a 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national identity </w:t>
      </w:r>
      <w:r w:rsidR="0058769D">
        <w:rPr>
          <w:rFonts w:ascii="Times New Roman" w:eastAsia="Times New Roman" w:hAnsi="Times New Roman" w:cs="Times New Roman"/>
          <w:color w:val="000000"/>
        </w:rPr>
        <w:t>and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a legacy of humanity. Indonesia, a country rich with cultural heritage, has numerous historic timber buildings. The most ordinary types of these buildings are Sultanate’s Palaces and Old Mosques. One of the buildings still function is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Kadariah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Palace. It is a Sultanate Palace </w:t>
      </w:r>
      <w:r w:rsidR="0058769D">
        <w:rPr>
          <w:rFonts w:ascii="Times New Roman" w:eastAsia="Times New Roman" w:hAnsi="Times New Roman" w:cs="Times New Roman"/>
          <w:color w:val="000000"/>
        </w:rPr>
        <w:t>established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in 1771</w:t>
      </w:r>
      <w:r w:rsidR="0058769D">
        <w:rPr>
          <w:rFonts w:ascii="Times New Roman" w:eastAsia="Times New Roman" w:hAnsi="Times New Roman" w:cs="Times New Roman"/>
          <w:color w:val="000000"/>
        </w:rPr>
        <w:t xml:space="preserve"> by </w:t>
      </w:r>
      <w:proofErr w:type="spellStart"/>
      <w:r w:rsidR="0058769D">
        <w:rPr>
          <w:rFonts w:ascii="Times New Roman" w:eastAsia="Times New Roman" w:hAnsi="Times New Roman" w:cs="Times New Roman"/>
          <w:color w:val="000000"/>
        </w:rPr>
        <w:t>Syarif</w:t>
      </w:r>
      <w:proofErr w:type="spellEnd"/>
      <w:r w:rsidR="0058769D">
        <w:rPr>
          <w:rFonts w:ascii="Times New Roman" w:eastAsia="Times New Roman" w:hAnsi="Times New Roman" w:cs="Times New Roman"/>
          <w:color w:val="000000"/>
        </w:rPr>
        <w:t xml:space="preserve"> Abdurrahman Al-</w:t>
      </w:r>
      <w:proofErr w:type="spellStart"/>
      <w:r w:rsidR="0058769D">
        <w:rPr>
          <w:rFonts w:ascii="Times New Roman" w:eastAsia="Times New Roman" w:hAnsi="Times New Roman" w:cs="Times New Roman"/>
          <w:color w:val="000000"/>
        </w:rPr>
        <w:t>Qadri</w:t>
      </w:r>
      <w:proofErr w:type="spellEnd"/>
      <w:r w:rsidR="0058769D">
        <w:rPr>
          <w:rFonts w:ascii="Times New Roman" w:eastAsia="Times New Roman" w:hAnsi="Times New Roman" w:cs="Times New Roman"/>
          <w:color w:val="000000"/>
        </w:rPr>
        <w:t>,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the first Sultan of Pontianak Sultanate. </w:t>
      </w:r>
      <w:r w:rsidR="00B41D30" w:rsidRPr="00B41D30">
        <w:rPr>
          <w:rFonts w:ascii="Times New Roman" w:eastAsia="Times New Roman" w:hAnsi="Times New Roman" w:cs="Times New Roman"/>
          <w:color w:val="000000"/>
        </w:rPr>
        <w:t>The Sultanate was located at the Kapuas River's mouth in today’s Indonesian province of West Kalimantan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66AA8" w:rsidRDefault="00E66AA8" w:rsidP="00DF66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A8">
        <w:rPr>
          <w:rFonts w:ascii="Times New Roman" w:eastAsia="Times New Roman" w:hAnsi="Times New Roman" w:cs="Times New Roman"/>
          <w:color w:val="000000"/>
        </w:rPr>
        <w:t>Durab</w:t>
      </w:r>
      <w:r w:rsidR="0058769D">
        <w:rPr>
          <w:rFonts w:ascii="Times New Roman" w:eastAsia="Times New Roman" w:hAnsi="Times New Roman" w:cs="Times New Roman"/>
          <w:color w:val="000000"/>
        </w:rPr>
        <w:t>ility is still an issue when using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timber in construction. Furthermore, the historic buildings aged hundreds of years usually suffer from several types of degradation mechanisms. This condition </w:t>
      </w:r>
      <w:r w:rsidR="0058769D">
        <w:rPr>
          <w:rFonts w:ascii="Times New Roman" w:eastAsia="Times New Roman" w:hAnsi="Times New Roman" w:cs="Times New Roman"/>
          <w:color w:val="000000"/>
        </w:rPr>
        <w:t>indeed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threatens the service life of the building. </w:t>
      </w:r>
      <w:r w:rsidR="00F8438F" w:rsidRPr="00F8438F">
        <w:rPr>
          <w:rFonts w:ascii="Times New Roman" w:eastAsia="Times New Roman" w:hAnsi="Times New Roman" w:cs="Times New Roman"/>
          <w:color w:val="000000"/>
        </w:rPr>
        <w:t>Therefore, it is essential to know the existing building's remaining service life to determine the necessity of repair or replacement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. There are </w:t>
      </w:r>
      <w:r w:rsidR="0058769D">
        <w:rPr>
          <w:rFonts w:ascii="Times New Roman" w:eastAsia="Times New Roman" w:hAnsi="Times New Roman" w:cs="Times New Roman"/>
          <w:color w:val="000000"/>
        </w:rPr>
        <w:t>much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research ha</w:t>
      </w:r>
      <w:r w:rsidR="0058769D">
        <w:rPr>
          <w:rFonts w:ascii="Times New Roman" w:eastAsia="Times New Roman" w:hAnsi="Times New Roman" w:cs="Times New Roman"/>
          <w:color w:val="000000"/>
        </w:rPr>
        <w:t>s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been done to model the service life of timber structures. Van de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Kuilen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[1] combined the durability models with strength models,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Viitanen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et al</w:t>
      </w:r>
      <w:r w:rsidR="0058769D">
        <w:rPr>
          <w:rFonts w:ascii="Times New Roman" w:eastAsia="Times New Roman" w:hAnsi="Times New Roman" w:cs="Times New Roman"/>
          <w:color w:val="000000"/>
        </w:rPr>
        <w:t>.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[2] presented an empirical model for wood decay development which can be incorporated into a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hygrothermal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model of building physics, and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Nofal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Kumaran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[3] linked a durability assessment system with a model for structural and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hygrothermal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analysis with damage functions.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Zelinka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et al</w:t>
      </w:r>
      <w:r w:rsidR="0058769D">
        <w:rPr>
          <w:rFonts w:ascii="Times New Roman" w:eastAsia="Times New Roman" w:hAnsi="Times New Roman" w:cs="Times New Roman"/>
          <w:color w:val="000000"/>
        </w:rPr>
        <w:t>.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[4] presented a combined heat, moisture, and corrosion </w:t>
      </w:r>
      <w:r w:rsidRPr="00E66AA8">
        <w:rPr>
          <w:rFonts w:ascii="Times New Roman" w:eastAsia="Times New Roman" w:hAnsi="Times New Roman" w:cs="Times New Roman"/>
          <w:color w:val="000000"/>
        </w:rPr>
        <w:lastRenderedPageBreak/>
        <w:t>model to simulate the corrosion of metal fasteners embedded in solid wood exposed to the exterior environment and Saito et al</w:t>
      </w:r>
      <w:r w:rsidR="0058769D">
        <w:rPr>
          <w:rFonts w:ascii="Times New Roman" w:eastAsia="Times New Roman" w:hAnsi="Times New Roman" w:cs="Times New Roman"/>
          <w:color w:val="000000"/>
        </w:rPr>
        <w:t>.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[5] integrated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hygrothermal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analysis with the decaying process of wood structures caused by moisture accumulation. Wang et al</w:t>
      </w:r>
      <w:r w:rsidR="0058769D">
        <w:rPr>
          <w:rFonts w:ascii="Times New Roman" w:eastAsia="Times New Roman" w:hAnsi="Times New Roman" w:cs="Times New Roman"/>
          <w:color w:val="000000"/>
        </w:rPr>
        <w:t>.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[6] and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MacKenzie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et al</w:t>
      </w:r>
      <w:r w:rsidR="0058769D">
        <w:rPr>
          <w:rFonts w:ascii="Times New Roman" w:eastAsia="Times New Roman" w:hAnsi="Times New Roman" w:cs="Times New Roman"/>
          <w:color w:val="000000"/>
        </w:rPr>
        <w:t>.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[7] presented </w:t>
      </w:r>
      <w:r>
        <w:rPr>
          <w:rFonts w:ascii="Times New Roman" w:eastAsia="Times New Roman" w:hAnsi="Times New Roman" w:cs="Times New Roman"/>
          <w:color w:val="000000"/>
        </w:rPr>
        <w:t xml:space="preserve">an 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extensive and long time field and laboratory research and experience in </w:t>
      </w:r>
      <w:r w:rsidR="0058769D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durability of timber in Australia. </w:t>
      </w:r>
      <w:r w:rsidR="0058769D">
        <w:rPr>
          <w:rFonts w:ascii="Times New Roman" w:eastAsia="Times New Roman" w:hAnsi="Times New Roman" w:cs="Times New Roman"/>
          <w:color w:val="000000"/>
        </w:rPr>
        <w:t>Besides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Bornemann</w:t>
      </w:r>
      <w:proofErr w:type="spellEnd"/>
      <w:r w:rsidR="00FF4EB6">
        <w:rPr>
          <w:rFonts w:ascii="Times New Roman" w:eastAsia="Times New Roman" w:hAnsi="Times New Roman" w:cs="Times New Roman"/>
          <w:color w:val="000000"/>
        </w:rPr>
        <w:t xml:space="preserve"> </w:t>
      </w:r>
      <w:r w:rsidRPr="00E66AA8">
        <w:rPr>
          <w:rFonts w:ascii="Times New Roman" w:eastAsia="Times New Roman" w:hAnsi="Times New Roman" w:cs="Times New Roman"/>
          <w:color w:val="000000"/>
        </w:rPr>
        <w:t>et al</w:t>
      </w:r>
      <w:r w:rsidR="0058769D">
        <w:rPr>
          <w:rFonts w:ascii="Times New Roman" w:eastAsia="Times New Roman" w:hAnsi="Times New Roman" w:cs="Times New Roman"/>
          <w:color w:val="000000"/>
        </w:rPr>
        <w:t>.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[8] applied data-sets to a dose</w:t>
      </w:r>
      <w:r w:rsidR="00897D7A">
        <w:rPr>
          <w:rFonts w:ascii="Times New Roman" w:eastAsia="Times New Roman" w:hAnsi="Times New Roman" w:cs="Times New Roman"/>
          <w:color w:val="000000"/>
        </w:rPr>
        <w:t>-</w:t>
      </w:r>
      <w:r w:rsidRPr="00E66AA8">
        <w:rPr>
          <w:rFonts w:ascii="Times New Roman" w:eastAsia="Times New Roman" w:hAnsi="Times New Roman" w:cs="Times New Roman"/>
          <w:color w:val="000000"/>
        </w:rPr>
        <w:t>response performance model considering wood MC and temperature</w:t>
      </w:r>
      <w:r w:rsidR="00F8438F">
        <w:rPr>
          <w:rFonts w:ascii="Times New Roman" w:eastAsia="Times New Roman" w:hAnsi="Times New Roman" w:cs="Times New Roman"/>
          <w:color w:val="000000"/>
        </w:rPr>
        <w:t>.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Kutnik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et al</w:t>
      </w:r>
      <w:r w:rsidR="0058769D">
        <w:rPr>
          <w:rFonts w:ascii="Times New Roman" w:eastAsia="Times New Roman" w:hAnsi="Times New Roman" w:cs="Times New Roman"/>
          <w:color w:val="000000"/>
        </w:rPr>
        <w:t>.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[9] showed standardization work in wood durability and preservation at the European level, and Meyer-</w:t>
      </w:r>
      <w:proofErr w:type="spellStart"/>
      <w:r w:rsidRPr="00E66AA8">
        <w:rPr>
          <w:rFonts w:ascii="Times New Roman" w:eastAsia="Times New Roman" w:hAnsi="Times New Roman" w:cs="Times New Roman"/>
          <w:color w:val="000000"/>
        </w:rPr>
        <w:t>Veltrup</w:t>
      </w:r>
      <w:proofErr w:type="spellEnd"/>
      <w:r w:rsidRPr="00E66AA8">
        <w:rPr>
          <w:rFonts w:ascii="Times New Roman" w:eastAsia="Times New Roman" w:hAnsi="Times New Roman" w:cs="Times New Roman"/>
          <w:color w:val="000000"/>
        </w:rPr>
        <w:t xml:space="preserve"> et al</w:t>
      </w:r>
      <w:r w:rsidR="0058769D">
        <w:rPr>
          <w:rFonts w:ascii="Times New Roman" w:eastAsia="Times New Roman" w:hAnsi="Times New Roman" w:cs="Times New Roman"/>
          <w:color w:val="000000"/>
        </w:rPr>
        <w:t>.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[10] presented </w:t>
      </w:r>
      <w:r w:rsidR="00F8438F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factorization approach based on </w:t>
      </w:r>
      <w:r w:rsidR="00897D7A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E66AA8">
        <w:rPr>
          <w:rFonts w:ascii="Times New Roman" w:eastAsia="Times New Roman" w:hAnsi="Times New Roman" w:cs="Times New Roman"/>
          <w:color w:val="000000"/>
        </w:rPr>
        <w:t>dose</w:t>
      </w:r>
      <w:r w:rsidR="00897D7A">
        <w:rPr>
          <w:rFonts w:ascii="Times New Roman" w:eastAsia="Times New Roman" w:hAnsi="Times New Roman" w:cs="Times New Roman"/>
          <w:color w:val="000000"/>
        </w:rPr>
        <w:t>-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response </w:t>
      </w:r>
      <w:r w:rsidR="00DD1674">
        <w:rPr>
          <w:rFonts w:ascii="Times New Roman" w:eastAsia="Times New Roman" w:hAnsi="Times New Roman" w:cs="Times New Roman"/>
          <w:color w:val="000000"/>
        </w:rPr>
        <w:t>correlation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between wood material climate and responding fungal decay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F2454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2454C">
        <w:rPr>
          <w:rFonts w:ascii="Times New Roman" w:eastAsia="Times New Roman" w:hAnsi="Times New Roman" w:cs="Times New Roman"/>
          <w:color w:val="000000"/>
        </w:rPr>
        <w:t>Prabowo</w:t>
      </w:r>
      <w:proofErr w:type="spellEnd"/>
      <w:r w:rsidR="00F2454C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 w:rsidR="00F2454C">
        <w:rPr>
          <w:rFonts w:ascii="Times New Roman" w:eastAsia="Times New Roman" w:hAnsi="Times New Roman" w:cs="Times New Roman"/>
          <w:color w:val="000000"/>
        </w:rPr>
        <w:t>Hilmy</w:t>
      </w:r>
      <w:proofErr w:type="spellEnd"/>
      <w:r w:rsidR="00F2454C">
        <w:rPr>
          <w:rFonts w:ascii="Times New Roman" w:eastAsia="Times New Roman" w:hAnsi="Times New Roman" w:cs="Times New Roman"/>
          <w:color w:val="000000"/>
        </w:rPr>
        <w:t xml:space="preserve"> [11] inserted Indonesian climate parameters into CSIRO decay model.</w:t>
      </w:r>
    </w:p>
    <w:p w:rsidR="00E66AA8" w:rsidRDefault="00E66AA8" w:rsidP="00F2454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6AA8">
        <w:rPr>
          <w:rFonts w:ascii="Times New Roman" w:eastAsia="Times New Roman" w:hAnsi="Times New Roman" w:cs="Times New Roman"/>
          <w:color w:val="000000"/>
        </w:rPr>
        <w:t xml:space="preserve">The research on the durability of timber structures in </w:t>
      </w:r>
      <w:r w:rsidR="00897D7A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Indonesian tropical environment is still </w:t>
      </w:r>
      <w:r w:rsidR="00C01E47">
        <w:rPr>
          <w:rFonts w:ascii="Times New Roman" w:eastAsia="Times New Roman" w:hAnsi="Times New Roman" w:cs="Times New Roman"/>
          <w:color w:val="000000"/>
        </w:rPr>
        <w:t>minimal</w:t>
      </w:r>
      <w:r w:rsidRPr="00E66AA8">
        <w:rPr>
          <w:rFonts w:ascii="Times New Roman" w:eastAsia="Times New Roman" w:hAnsi="Times New Roman" w:cs="Times New Roman"/>
          <w:color w:val="000000"/>
        </w:rPr>
        <w:t>. Thus, it is decided to adopt one of the internationally notable model</w:t>
      </w:r>
      <w:r w:rsidR="00C01E47">
        <w:rPr>
          <w:rFonts w:ascii="Times New Roman" w:eastAsia="Times New Roman" w:hAnsi="Times New Roman" w:cs="Times New Roman"/>
          <w:color w:val="000000"/>
        </w:rPr>
        <w:t>s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in this research. It is a timber durability model developed in [7]. This model is chosen considering the geographical proximity of Australia to Indonesia. This geographical issue is assumed to influence several parameters involved in the model</w:t>
      </w:r>
      <w:r w:rsidR="00C01E47">
        <w:rPr>
          <w:rFonts w:ascii="Times New Roman" w:eastAsia="Times New Roman" w:hAnsi="Times New Roman" w:cs="Times New Roman"/>
          <w:color w:val="000000"/>
        </w:rPr>
        <w:t>,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</w:t>
      </w:r>
      <w:r w:rsidR="00E8333F">
        <w:rPr>
          <w:rFonts w:ascii="Times New Roman" w:eastAsia="Times New Roman" w:hAnsi="Times New Roman" w:cs="Times New Roman"/>
          <w:color w:val="000000"/>
        </w:rPr>
        <w:t>among other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 temperature</w:t>
      </w:r>
      <w:r w:rsidR="00E8333F">
        <w:rPr>
          <w:rFonts w:ascii="Times New Roman" w:eastAsia="Times New Roman" w:hAnsi="Times New Roman" w:cs="Times New Roman"/>
          <w:color w:val="000000"/>
        </w:rPr>
        <w:t>s</w:t>
      </w:r>
      <w:r w:rsidRPr="00E66AA8">
        <w:rPr>
          <w:rFonts w:ascii="Times New Roman" w:eastAsia="Times New Roman" w:hAnsi="Times New Roman" w:cs="Times New Roman"/>
          <w:color w:val="000000"/>
        </w:rPr>
        <w:t xml:space="preserve">, moisture, degradation mechanisms, </w:t>
      </w:r>
      <w:r w:rsidR="00E8333F">
        <w:rPr>
          <w:rFonts w:ascii="Times New Roman" w:eastAsia="Times New Roman" w:hAnsi="Times New Roman" w:cs="Times New Roman"/>
          <w:color w:val="000000"/>
        </w:rPr>
        <w:t xml:space="preserve">and </w:t>
      </w:r>
      <w:r w:rsidRPr="00E66AA8">
        <w:rPr>
          <w:rFonts w:ascii="Times New Roman" w:eastAsia="Times New Roman" w:hAnsi="Times New Roman" w:cs="Times New Roman"/>
          <w:color w:val="000000"/>
        </w:rPr>
        <w:t>wood species. Parameters such as durability class and Indonesian timber species will be incorporated to address Indonesian tropical climate issues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06A6A" w:rsidRDefault="00E06A6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06A6A" w:rsidRDefault="00E66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Metho</w:t>
      </w:r>
      <w:r w:rsidR="00147831">
        <w:rPr>
          <w:rFonts w:ascii="Times New Roman" w:eastAsia="Times New Roman" w:hAnsi="Times New Roman" w:cs="Times New Roman"/>
          <w:b/>
          <w:color w:val="000000"/>
        </w:rPr>
        <w:t>do</w:t>
      </w:r>
      <w:r>
        <w:rPr>
          <w:rFonts w:ascii="Times New Roman" w:eastAsia="Times New Roman" w:hAnsi="Times New Roman" w:cs="Times New Roman"/>
          <w:b/>
          <w:color w:val="000000"/>
        </w:rPr>
        <w:t>logy</w:t>
      </w:r>
    </w:p>
    <w:p w:rsidR="00E06A6A" w:rsidRDefault="003F1DA2" w:rsidP="00F8438F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p</w:t>
      </w:r>
      <w:r w:rsidR="009902D6">
        <w:rPr>
          <w:rFonts w:ascii="Times New Roman" w:eastAsia="Times New Roman" w:hAnsi="Times New Roman" w:cs="Times New Roman"/>
          <w:color w:val="000000"/>
        </w:rPr>
        <w:t xml:space="preserve">redicted decay model is taken as a basis of service life prediction of the </w:t>
      </w:r>
      <w:proofErr w:type="spellStart"/>
      <w:r w:rsidR="009902D6">
        <w:rPr>
          <w:rFonts w:ascii="Times New Roman" w:eastAsia="Times New Roman" w:hAnsi="Times New Roman" w:cs="Times New Roman"/>
          <w:color w:val="000000"/>
        </w:rPr>
        <w:t>Kadariah</w:t>
      </w:r>
      <w:proofErr w:type="spellEnd"/>
      <w:r w:rsidR="009902D6">
        <w:rPr>
          <w:rFonts w:ascii="Times New Roman" w:eastAsia="Times New Roman" w:hAnsi="Times New Roman" w:cs="Times New Roman"/>
          <w:color w:val="000000"/>
        </w:rPr>
        <w:t xml:space="preserve"> Palace</w:t>
      </w:r>
      <w:r w:rsidR="003564E0">
        <w:rPr>
          <w:rFonts w:ascii="Times New Roman" w:eastAsia="Times New Roman" w:hAnsi="Times New Roman" w:cs="Times New Roman"/>
          <w:color w:val="000000"/>
        </w:rPr>
        <w:t>.</w:t>
      </w:r>
      <w:r w:rsidR="009902D6">
        <w:rPr>
          <w:rFonts w:ascii="Times New Roman" w:eastAsia="Times New Roman" w:hAnsi="Times New Roman" w:cs="Times New Roman"/>
          <w:color w:val="000000"/>
        </w:rPr>
        <w:t xml:space="preserve"> This model is adopted from </w:t>
      </w:r>
      <w:r w:rsidR="007A3E03">
        <w:rPr>
          <w:rFonts w:ascii="Times New Roman" w:eastAsia="Times New Roman" w:hAnsi="Times New Roman" w:cs="Times New Roman"/>
          <w:color w:val="000000"/>
        </w:rPr>
        <w:t xml:space="preserve">the </w:t>
      </w:r>
      <w:r w:rsidR="009902D6">
        <w:rPr>
          <w:rFonts w:ascii="Times New Roman" w:eastAsia="Times New Roman" w:hAnsi="Times New Roman" w:cs="Times New Roman"/>
          <w:color w:val="000000"/>
        </w:rPr>
        <w:t xml:space="preserve">Australian CSIRO (Commonwealth Scientific and Industrial Research Organisation). The model in this paper considers the condition for decay above ground. </w:t>
      </w:r>
      <w:r w:rsidR="00F8438F" w:rsidRPr="00F8438F">
        <w:rPr>
          <w:rFonts w:ascii="Times New Roman" w:eastAsia="Times New Roman" w:hAnsi="Times New Roman" w:cs="Times New Roman"/>
          <w:color w:val="000000"/>
        </w:rPr>
        <w:t xml:space="preserve">The macro-climate of Pontianak's city will be reported, and the field </w:t>
      </w:r>
      <w:proofErr w:type="spellStart"/>
      <w:r w:rsidR="00F8438F" w:rsidRPr="00F8438F">
        <w:rPr>
          <w:rFonts w:ascii="Times New Roman" w:eastAsia="Times New Roman" w:hAnsi="Times New Roman" w:cs="Times New Roman"/>
          <w:color w:val="000000"/>
        </w:rPr>
        <w:t>hygro</w:t>
      </w:r>
      <w:proofErr w:type="spellEnd"/>
      <w:r w:rsidR="00F8438F" w:rsidRPr="00F8438F">
        <w:rPr>
          <w:rFonts w:ascii="Times New Roman" w:eastAsia="Times New Roman" w:hAnsi="Times New Roman" w:cs="Times New Roman"/>
          <w:color w:val="000000"/>
        </w:rPr>
        <w:t>-thermal measurements will be carried out.</w:t>
      </w:r>
      <w:r w:rsidR="00147831">
        <w:rPr>
          <w:rFonts w:ascii="Times New Roman" w:eastAsia="Times New Roman" w:hAnsi="Times New Roman" w:cs="Times New Roman"/>
          <w:color w:val="000000"/>
        </w:rPr>
        <w:t xml:space="preserve"> The data regarding the </w:t>
      </w:r>
      <w:proofErr w:type="spellStart"/>
      <w:r w:rsidR="00147831">
        <w:rPr>
          <w:rFonts w:ascii="Times New Roman" w:eastAsia="Times New Roman" w:hAnsi="Times New Roman" w:cs="Times New Roman"/>
          <w:color w:val="000000"/>
        </w:rPr>
        <w:t>Kadariah</w:t>
      </w:r>
      <w:proofErr w:type="spellEnd"/>
      <w:r w:rsidR="00147831">
        <w:rPr>
          <w:rFonts w:ascii="Times New Roman" w:eastAsia="Times New Roman" w:hAnsi="Times New Roman" w:cs="Times New Roman"/>
          <w:color w:val="000000"/>
        </w:rPr>
        <w:t xml:space="preserve"> Palace’s main structural elements will also be addressed. </w:t>
      </w:r>
    </w:p>
    <w:p w:rsidR="00E66AA8" w:rsidRDefault="00E66AA8" w:rsidP="00D164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2.1. </w:t>
      </w:r>
      <w:r w:rsidR="00D16463">
        <w:rPr>
          <w:rFonts w:ascii="Times New Roman" w:eastAsia="Times New Roman" w:hAnsi="Times New Roman" w:cs="Times New Roman"/>
          <w:i/>
          <w:color w:val="000000"/>
        </w:rPr>
        <w:t>Predicted Decay Model</w:t>
      </w:r>
    </w:p>
    <w:p w:rsidR="002F425C" w:rsidRDefault="00147831" w:rsidP="00F843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predicted decay model consists of two parts</w:t>
      </w:r>
      <w:r w:rsidR="00E66AA8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The first part is related to the value of decay depth and right at the initiation of decay. The second part deal</w:t>
      </w:r>
      <w:r w:rsidR="004516C7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with the amount of decay depth for the time after the start of deterioration. </w:t>
      </w:r>
      <w:r w:rsidR="00F8438F" w:rsidRPr="00F8438F">
        <w:rPr>
          <w:rFonts w:ascii="Times New Roman" w:eastAsia="Times New Roman" w:hAnsi="Times New Roman" w:cs="Times New Roman"/>
          <w:color w:val="000000"/>
        </w:rPr>
        <w:t>This model has two main parameters: a decay lag (</w:t>
      </w:r>
      <w:proofErr w:type="spellStart"/>
      <w:r w:rsidR="00F8438F" w:rsidRPr="00F8438F">
        <w:rPr>
          <w:rFonts w:ascii="Times New Roman" w:eastAsia="Times New Roman" w:hAnsi="Times New Roman" w:cs="Times New Roman"/>
          <w:color w:val="000000"/>
        </w:rPr>
        <w:t>tlag</w:t>
      </w:r>
      <w:proofErr w:type="spellEnd"/>
      <w:r w:rsidR="00F8438F" w:rsidRPr="00F8438F">
        <w:rPr>
          <w:rFonts w:ascii="Times New Roman" w:eastAsia="Times New Roman" w:hAnsi="Times New Roman" w:cs="Times New Roman"/>
          <w:color w:val="000000"/>
        </w:rPr>
        <w:t>) expressed in years and a decay rate (r) expressed in mm/year</w:t>
      </w:r>
      <w:r w:rsidR="002A0BC2">
        <w:rPr>
          <w:rFonts w:ascii="Times New Roman" w:eastAsia="Times New Roman" w:hAnsi="Times New Roman" w:cs="Times New Roman"/>
          <w:color w:val="000000"/>
        </w:rPr>
        <w:t xml:space="preserve">. </w:t>
      </w:r>
      <w:r w:rsidR="002F425C">
        <w:rPr>
          <w:rFonts w:ascii="Times New Roman" w:eastAsia="Times New Roman" w:hAnsi="Times New Roman" w:cs="Times New Roman"/>
          <w:color w:val="000000"/>
        </w:rPr>
        <w:t>The component of the mathematical equation of the model can be writ</w:t>
      </w:r>
      <w:r w:rsidR="00FA1D89">
        <w:rPr>
          <w:rFonts w:ascii="Times New Roman" w:eastAsia="Times New Roman" w:hAnsi="Times New Roman" w:cs="Times New Roman"/>
          <w:color w:val="000000"/>
        </w:rPr>
        <w:t>ten in the form of equation (1) until</w:t>
      </w:r>
      <w:r w:rsidR="002F425C">
        <w:rPr>
          <w:rFonts w:ascii="Times New Roman" w:eastAsia="Times New Roman" w:hAnsi="Times New Roman" w:cs="Times New Roman"/>
          <w:color w:val="000000"/>
        </w:rPr>
        <w:t xml:space="preserve"> equation (</w:t>
      </w:r>
      <w:r w:rsidR="00FA1D89">
        <w:rPr>
          <w:rFonts w:ascii="Times New Roman" w:eastAsia="Times New Roman" w:hAnsi="Times New Roman" w:cs="Times New Roman"/>
          <w:color w:val="000000"/>
        </w:rPr>
        <w:t>5</w:t>
      </w:r>
      <w:r w:rsidR="002F425C">
        <w:rPr>
          <w:rFonts w:ascii="Times New Roman" w:eastAsia="Times New Roman" w:hAnsi="Times New Roman" w:cs="Times New Roman"/>
          <w:color w:val="000000"/>
        </w:rPr>
        <w:t>).</w:t>
      </w:r>
    </w:p>
    <w:p w:rsidR="002F425C" w:rsidRDefault="002F425C" w:rsidP="002F425C">
      <w:pPr>
        <w:pStyle w:val="EQN"/>
      </w:pPr>
      <w:r>
        <w:tab/>
      </w:r>
      <w:r w:rsidRPr="003D79C6">
        <w:rPr>
          <w:position w:val="-34"/>
        </w:rPr>
        <w:object w:dxaOrig="27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5pt;height:39.75pt" o:ole="">
            <v:imagedata r:id="rId7" o:title=""/>
          </v:shape>
          <o:OLEObject Type="Embed" ProgID="Equation.DSMT4" ShapeID="_x0000_i1025" DrawAspect="Content" ObjectID="_1663557365" r:id="rId8"/>
        </w:object>
      </w:r>
      <w:r>
        <w:tab/>
        <w:t>(1)</w:t>
      </w:r>
    </w:p>
    <w:p w:rsidR="00FA1D89" w:rsidRDefault="002F425C" w:rsidP="00FA1D89">
      <w:pPr>
        <w:pStyle w:val="EQN"/>
      </w:pPr>
      <w:r>
        <w:rPr>
          <w:rFonts w:ascii="Times New Roman" w:hAnsi="Times New Roman"/>
        </w:rPr>
        <w:t xml:space="preserve"> </w:t>
      </w:r>
      <w:r w:rsidR="00FA1D89">
        <w:tab/>
      </w:r>
      <w:r w:rsidR="00FA1D89" w:rsidRPr="003D79C6">
        <w:rPr>
          <w:position w:val="-22"/>
        </w:rPr>
        <w:object w:dxaOrig="1219" w:dyaOrig="580">
          <v:shape id="_x0000_i1026" type="#_x0000_t75" style="width:61.25pt;height:29pt" o:ole="">
            <v:imagedata r:id="rId9" o:title=""/>
          </v:shape>
          <o:OLEObject Type="Embed" ProgID="Equation.DSMT4" ShapeID="_x0000_i1026" DrawAspect="Content" ObjectID="_1663557366" r:id="rId10"/>
        </w:object>
      </w:r>
      <w:r w:rsidR="00FA1D89">
        <w:tab/>
        <w:t>(2)</w:t>
      </w:r>
    </w:p>
    <w:p w:rsidR="00FA1D89" w:rsidRDefault="00FA1D89" w:rsidP="00FA1D89">
      <w:pPr>
        <w:pStyle w:val="EQN"/>
      </w:pPr>
      <w:r>
        <w:tab/>
      </w:r>
      <w:r w:rsidRPr="003D79C6">
        <w:rPr>
          <w:position w:val="-32"/>
        </w:rPr>
        <w:object w:dxaOrig="720" w:dyaOrig="680">
          <v:shape id="_x0000_i1027" type="#_x0000_t75" style="width:36.55pt;height:33.85pt" o:ole="">
            <v:imagedata r:id="rId11" o:title=""/>
          </v:shape>
          <o:OLEObject Type="Embed" ProgID="Equation.DSMT4" ShapeID="_x0000_i1027" DrawAspect="Content" ObjectID="_1663557367" r:id="rId12"/>
        </w:object>
      </w:r>
      <w:r>
        <w:tab/>
        <w:t>(3)</w:t>
      </w:r>
    </w:p>
    <w:p w:rsidR="00FA1D89" w:rsidRDefault="00FA1D89" w:rsidP="00FA1D89">
      <w:pPr>
        <w:pStyle w:val="EQN"/>
      </w:pPr>
      <w:r>
        <w:tab/>
      </w:r>
      <w:r w:rsidRPr="00800C97">
        <w:rPr>
          <w:position w:val="-14"/>
        </w:rPr>
        <w:object w:dxaOrig="1219" w:dyaOrig="380">
          <v:shape id="_x0000_i1028" type="#_x0000_t75" style="width:60.7pt;height:19.35pt" o:ole="">
            <v:imagedata r:id="rId13" o:title=""/>
          </v:shape>
          <o:OLEObject Type="Embed" ProgID="Equation.DSMT4" ShapeID="_x0000_i1028" DrawAspect="Content" ObjectID="_1663557368" r:id="rId14"/>
        </w:object>
      </w:r>
      <w:r>
        <w:tab/>
        <w:t>(4)</w:t>
      </w:r>
    </w:p>
    <w:p w:rsidR="00FA1D89" w:rsidRDefault="00FA1D89" w:rsidP="00FA1D89">
      <w:pPr>
        <w:pStyle w:val="EQN"/>
      </w:pPr>
      <w:r>
        <w:tab/>
      </w:r>
      <w:r w:rsidRPr="00800C97">
        <w:rPr>
          <w:position w:val="-14"/>
        </w:rPr>
        <w:object w:dxaOrig="2200" w:dyaOrig="360">
          <v:shape id="_x0000_i1029" type="#_x0000_t75" style="width:110.15pt;height:18.25pt" o:ole="">
            <v:imagedata r:id="rId15" o:title=""/>
          </v:shape>
          <o:OLEObject Type="Embed" ProgID="Equation.DSMT4" ShapeID="_x0000_i1029" DrawAspect="Content" ObjectID="_1663557369" r:id="rId16"/>
        </w:object>
      </w:r>
      <w:r>
        <w:tab/>
        <w:t>(5)</w:t>
      </w:r>
    </w:p>
    <w:p w:rsidR="00FA1D89" w:rsidRDefault="00FA1D89" w:rsidP="00FA1D8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where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d(t) = decay depth after t years of installation, d(0) = </w:t>
      </w:r>
      <w:r w:rsidR="00A977EB">
        <w:rPr>
          <w:rFonts w:ascii="Times New Roman" w:eastAsia="Times New Roman" w:hAnsi="Times New Roman" w:cs="Times New Roman"/>
          <w:color w:val="000000"/>
        </w:rPr>
        <w:t xml:space="preserve">decay depth at the initiation time, </w:t>
      </w:r>
      <w:proofErr w:type="spellStart"/>
      <w:r w:rsidR="00A977EB">
        <w:rPr>
          <w:rFonts w:ascii="Times New Roman" w:eastAsia="Times New Roman" w:hAnsi="Times New Roman" w:cs="Times New Roman"/>
          <w:color w:val="000000"/>
        </w:rPr>
        <w:t>k</w:t>
      </w:r>
      <w:r w:rsidR="00A977EB" w:rsidRPr="00A977EB">
        <w:rPr>
          <w:rFonts w:ascii="Times New Roman" w:eastAsia="Times New Roman" w:hAnsi="Times New Roman" w:cs="Times New Roman"/>
          <w:color w:val="000000"/>
          <w:vertAlign w:val="subscript"/>
        </w:rPr>
        <w:t>wood</w:t>
      </w:r>
      <w:proofErr w:type="spellEnd"/>
      <w:r w:rsidR="00A977EB">
        <w:rPr>
          <w:rFonts w:ascii="Times New Roman" w:eastAsia="Times New Roman" w:hAnsi="Times New Roman" w:cs="Times New Roman"/>
          <w:color w:val="000000"/>
        </w:rPr>
        <w:t xml:space="preserve"> = wood parameter, </w:t>
      </w:r>
      <w:proofErr w:type="spellStart"/>
      <w:r w:rsidR="00A977EB">
        <w:rPr>
          <w:rFonts w:ascii="Times New Roman" w:eastAsia="Times New Roman" w:hAnsi="Times New Roman" w:cs="Times New Roman"/>
          <w:color w:val="000000"/>
        </w:rPr>
        <w:t>k</w:t>
      </w:r>
      <w:r w:rsidR="00A977EB" w:rsidRPr="00A977EB">
        <w:rPr>
          <w:rFonts w:ascii="Times New Roman" w:eastAsia="Times New Roman" w:hAnsi="Times New Roman" w:cs="Times New Roman"/>
          <w:color w:val="000000"/>
          <w:vertAlign w:val="subscript"/>
        </w:rPr>
        <w:t>climate</w:t>
      </w:r>
      <w:proofErr w:type="spellEnd"/>
      <w:r w:rsidR="00A977EB">
        <w:rPr>
          <w:rFonts w:ascii="Times New Roman" w:eastAsia="Times New Roman" w:hAnsi="Times New Roman" w:cs="Times New Roman"/>
          <w:color w:val="000000"/>
        </w:rPr>
        <w:t xml:space="preserve"> = climate parameter, </w:t>
      </w:r>
      <w:proofErr w:type="spellStart"/>
      <w:r w:rsidR="00A977EB">
        <w:rPr>
          <w:rFonts w:ascii="Times New Roman" w:eastAsia="Times New Roman" w:hAnsi="Times New Roman" w:cs="Times New Roman"/>
          <w:color w:val="000000"/>
        </w:rPr>
        <w:t>k</w:t>
      </w:r>
      <w:r w:rsidR="00A977EB" w:rsidRPr="00A977EB">
        <w:rPr>
          <w:rFonts w:ascii="Times New Roman" w:eastAsia="Times New Roman" w:hAnsi="Times New Roman" w:cs="Times New Roman"/>
          <w:color w:val="000000"/>
          <w:vertAlign w:val="subscript"/>
        </w:rPr>
        <w:t>t</w:t>
      </w:r>
      <w:proofErr w:type="spellEnd"/>
      <w:r w:rsidR="00A977EB">
        <w:rPr>
          <w:rFonts w:ascii="Times New Roman" w:eastAsia="Times New Roman" w:hAnsi="Times New Roman" w:cs="Times New Roman"/>
          <w:color w:val="000000"/>
        </w:rPr>
        <w:t xml:space="preserve"> = thickness parameter, </w:t>
      </w:r>
      <w:proofErr w:type="spellStart"/>
      <w:r w:rsidR="00A977EB">
        <w:rPr>
          <w:rFonts w:ascii="Times New Roman" w:eastAsia="Times New Roman" w:hAnsi="Times New Roman" w:cs="Times New Roman"/>
          <w:color w:val="000000"/>
        </w:rPr>
        <w:t>k</w:t>
      </w:r>
      <w:r w:rsidR="00A977EB" w:rsidRPr="00A977EB">
        <w:rPr>
          <w:rFonts w:ascii="Times New Roman" w:eastAsia="Times New Roman" w:hAnsi="Times New Roman" w:cs="Times New Roman"/>
          <w:color w:val="000000"/>
          <w:vertAlign w:val="subscript"/>
        </w:rPr>
        <w:t>w</w:t>
      </w:r>
      <w:proofErr w:type="spellEnd"/>
      <w:r w:rsidR="00A977EB">
        <w:rPr>
          <w:rFonts w:ascii="Times New Roman" w:eastAsia="Times New Roman" w:hAnsi="Times New Roman" w:cs="Times New Roman"/>
          <w:color w:val="000000"/>
        </w:rPr>
        <w:t xml:space="preserve"> = width parameter, </w:t>
      </w:r>
      <w:proofErr w:type="spellStart"/>
      <w:r w:rsidR="00A977EB">
        <w:rPr>
          <w:rFonts w:ascii="Times New Roman" w:eastAsia="Times New Roman" w:hAnsi="Times New Roman" w:cs="Times New Roman"/>
          <w:color w:val="000000"/>
        </w:rPr>
        <w:t>k</w:t>
      </w:r>
      <w:r w:rsidR="00A977EB" w:rsidRPr="00A977EB">
        <w:rPr>
          <w:rFonts w:ascii="Times New Roman" w:eastAsia="Times New Roman" w:hAnsi="Times New Roman" w:cs="Times New Roman"/>
          <w:color w:val="000000"/>
          <w:vertAlign w:val="subscript"/>
        </w:rPr>
        <w:t>n</w:t>
      </w:r>
      <w:proofErr w:type="spellEnd"/>
      <w:r w:rsidR="00A977EB">
        <w:rPr>
          <w:rFonts w:ascii="Times New Roman" w:eastAsia="Times New Roman" w:hAnsi="Times New Roman" w:cs="Times New Roman"/>
          <w:color w:val="000000"/>
        </w:rPr>
        <w:t xml:space="preserve"> = fastener parameter, </w:t>
      </w:r>
      <w:proofErr w:type="spellStart"/>
      <w:r w:rsidR="00A977EB">
        <w:rPr>
          <w:rFonts w:ascii="Times New Roman" w:eastAsia="Times New Roman" w:hAnsi="Times New Roman" w:cs="Times New Roman"/>
          <w:color w:val="000000"/>
        </w:rPr>
        <w:t>dan</w:t>
      </w:r>
      <w:proofErr w:type="spellEnd"/>
      <w:r w:rsidR="00A977EB">
        <w:rPr>
          <w:rFonts w:ascii="Times New Roman" w:eastAsia="Times New Roman" w:hAnsi="Times New Roman" w:cs="Times New Roman"/>
          <w:color w:val="000000"/>
        </w:rPr>
        <w:t xml:space="preserve"> k</w:t>
      </w:r>
      <w:r w:rsidR="00A977EB" w:rsidRPr="00A977EB">
        <w:rPr>
          <w:rFonts w:ascii="Times New Roman" w:eastAsia="Times New Roman" w:hAnsi="Times New Roman" w:cs="Times New Roman"/>
          <w:color w:val="000000"/>
          <w:vertAlign w:val="subscript"/>
        </w:rPr>
        <w:t>g</w:t>
      </w:r>
      <w:r w:rsidR="00A977EB">
        <w:rPr>
          <w:rFonts w:ascii="Times New Roman" w:eastAsia="Times New Roman" w:hAnsi="Times New Roman" w:cs="Times New Roman"/>
          <w:color w:val="000000"/>
        </w:rPr>
        <w:t xml:space="preserve"> = geometry parameter. </w:t>
      </w:r>
      <w:r>
        <w:rPr>
          <w:rFonts w:ascii="Times New Roman" w:eastAsia="Times New Roman" w:hAnsi="Times New Roman" w:cs="Times New Roman"/>
          <w:color w:val="000000"/>
        </w:rPr>
        <w:t xml:space="preserve"> The model can be depicted in figure 1. </w:t>
      </w:r>
    </w:p>
    <w:p w:rsidR="00A977EB" w:rsidRDefault="00A977EB" w:rsidP="00FA1D8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7708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</w:tblBorders>
        <w:tblLayout w:type="fixed"/>
        <w:tblLook w:val="0000"/>
      </w:tblPr>
      <w:tblGrid>
        <w:gridCol w:w="1329"/>
        <w:gridCol w:w="6379"/>
      </w:tblGrid>
      <w:tr w:rsidR="00A977EB" w:rsidTr="00A977EB">
        <w:trPr>
          <w:jc w:val="center"/>
        </w:trPr>
        <w:tc>
          <w:tcPr>
            <w:tcW w:w="1329" w:type="dxa"/>
          </w:tcPr>
          <w:p w:rsidR="00A977EB" w:rsidRDefault="00A977EB" w:rsidP="0079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379" w:type="dxa"/>
            <w:shd w:val="clear" w:color="auto" w:fill="auto"/>
          </w:tcPr>
          <w:p w:rsidR="00A977EB" w:rsidRDefault="00A977EB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24330" cy="1412240"/>
                  <wp:effectExtent l="19050" t="0" r="0" b="0"/>
                  <wp:docPr id="2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37238" t="25926" r="35051" b="31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41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7EB" w:rsidTr="00A977EB">
        <w:trPr>
          <w:jc w:val="center"/>
        </w:trPr>
        <w:tc>
          <w:tcPr>
            <w:tcW w:w="1329" w:type="dxa"/>
          </w:tcPr>
          <w:p w:rsidR="00A977EB" w:rsidRDefault="00A977EB" w:rsidP="0079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</w:tcPr>
          <w:p w:rsidR="00A977EB" w:rsidRDefault="00A977EB" w:rsidP="00A97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Figure 1.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Decay model, d(t) vs</w:t>
            </w:r>
            <w:r w:rsidR="00E277F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t.</w:t>
            </w:r>
            <w:r w:rsidR="00F8438F">
              <w:rPr>
                <w:rFonts w:ascii="Times New Roman" w:eastAsia="Times New Roman" w:hAnsi="Times New Roman" w:cs="Times New Roman"/>
                <w:color w:val="000000"/>
              </w:rPr>
              <w:t xml:space="preserve"> [6]</w:t>
            </w:r>
          </w:p>
        </w:tc>
      </w:tr>
    </w:tbl>
    <w:p w:rsidR="00E66AA8" w:rsidRDefault="00E66AA8" w:rsidP="00E66AA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66AA8" w:rsidRDefault="00E66AA8" w:rsidP="00D164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2.2. </w:t>
      </w:r>
      <w:r w:rsidR="00D16463" w:rsidRPr="00D16463">
        <w:rPr>
          <w:rFonts w:ascii="Times New Roman" w:eastAsia="Times New Roman" w:hAnsi="Times New Roman" w:cs="Times New Roman"/>
          <w:i/>
          <w:color w:val="000000"/>
        </w:rPr>
        <w:t>Macro-climate of the city of Pontianak</w:t>
      </w:r>
    </w:p>
    <w:p w:rsidR="00A977EB" w:rsidRDefault="00A977EB" w:rsidP="00DF66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macro-climate data presented here are relative humidity and temperature. These two </w:t>
      </w:r>
      <w:r w:rsidR="007F0F66">
        <w:rPr>
          <w:rFonts w:ascii="Times New Roman" w:eastAsia="Times New Roman" w:hAnsi="Times New Roman" w:cs="Times New Roman"/>
          <w:color w:val="000000"/>
        </w:rPr>
        <w:t xml:space="preserve">data are based on the climate data recorded by </w:t>
      </w:r>
      <w:r w:rsidR="00B25458">
        <w:rPr>
          <w:rFonts w:ascii="Times New Roman" w:eastAsia="Times New Roman" w:hAnsi="Times New Roman" w:cs="Times New Roman"/>
          <w:color w:val="000000"/>
        </w:rPr>
        <w:t xml:space="preserve">BMKG (Meteorological, </w:t>
      </w:r>
      <w:proofErr w:type="spellStart"/>
      <w:r w:rsidR="00B25458">
        <w:rPr>
          <w:rFonts w:ascii="Times New Roman" w:eastAsia="Times New Roman" w:hAnsi="Times New Roman" w:cs="Times New Roman"/>
          <w:color w:val="000000"/>
        </w:rPr>
        <w:t>Climatological</w:t>
      </w:r>
      <w:proofErr w:type="spellEnd"/>
      <w:r w:rsidR="00B25458">
        <w:rPr>
          <w:rFonts w:ascii="Times New Roman" w:eastAsia="Times New Roman" w:hAnsi="Times New Roman" w:cs="Times New Roman"/>
          <w:color w:val="000000"/>
        </w:rPr>
        <w:t xml:space="preserve">, and Geophysical Agency) in </w:t>
      </w:r>
      <w:proofErr w:type="spellStart"/>
      <w:r w:rsidR="00B25458">
        <w:rPr>
          <w:rFonts w:ascii="Times New Roman" w:eastAsia="Times New Roman" w:hAnsi="Times New Roman" w:cs="Times New Roman"/>
          <w:color w:val="000000"/>
        </w:rPr>
        <w:t>Supadio</w:t>
      </w:r>
      <w:proofErr w:type="spellEnd"/>
      <w:r w:rsidR="00B25458">
        <w:rPr>
          <w:rFonts w:ascii="Times New Roman" w:eastAsia="Times New Roman" w:hAnsi="Times New Roman" w:cs="Times New Roman"/>
          <w:color w:val="000000"/>
        </w:rPr>
        <w:t xml:space="preserve"> International Airport (IATA: PNK, ICAO: WIOO), West Kalimantan, Indonesia. The data obtained </w:t>
      </w:r>
      <w:r w:rsidR="00B84FE7">
        <w:rPr>
          <w:rFonts w:ascii="Times New Roman" w:eastAsia="Times New Roman" w:hAnsi="Times New Roman" w:cs="Times New Roman"/>
          <w:color w:val="000000"/>
        </w:rPr>
        <w:t>from</w:t>
      </w:r>
      <w:r w:rsidR="00B25458">
        <w:rPr>
          <w:rFonts w:ascii="Times New Roman" w:eastAsia="Times New Roman" w:hAnsi="Times New Roman" w:cs="Times New Roman"/>
          <w:color w:val="000000"/>
        </w:rPr>
        <w:t xml:space="preserve"> July 2004 until </w:t>
      </w:r>
      <w:r w:rsidR="00B84FE7">
        <w:rPr>
          <w:rFonts w:ascii="Times New Roman" w:eastAsia="Times New Roman" w:hAnsi="Times New Roman" w:cs="Times New Roman"/>
          <w:color w:val="000000"/>
        </w:rPr>
        <w:t xml:space="preserve">July </w:t>
      </w:r>
      <w:r w:rsidR="00B25458">
        <w:rPr>
          <w:rFonts w:ascii="Times New Roman" w:eastAsia="Times New Roman" w:hAnsi="Times New Roman" w:cs="Times New Roman"/>
          <w:color w:val="000000"/>
        </w:rPr>
        <w:t xml:space="preserve">2019 </w:t>
      </w:r>
      <w:r w:rsidR="00F2454C">
        <w:rPr>
          <w:rFonts w:ascii="Times New Roman" w:eastAsia="Times New Roman" w:hAnsi="Times New Roman" w:cs="Times New Roman"/>
          <w:color w:val="000000"/>
        </w:rPr>
        <w:t>[12</w:t>
      </w:r>
      <w:r w:rsidR="00B25458">
        <w:rPr>
          <w:rFonts w:ascii="Times New Roman" w:eastAsia="Times New Roman" w:hAnsi="Times New Roman" w:cs="Times New Roman"/>
          <w:color w:val="000000"/>
        </w:rPr>
        <w:t>]. The data plotted</w:t>
      </w:r>
      <w:r w:rsidR="00B84FE7">
        <w:rPr>
          <w:rFonts w:ascii="Times New Roman" w:eastAsia="Times New Roman" w:hAnsi="Times New Roman" w:cs="Times New Roman"/>
          <w:color w:val="000000"/>
        </w:rPr>
        <w:t>,</w:t>
      </w:r>
      <w:r w:rsidR="00B25458">
        <w:rPr>
          <w:rFonts w:ascii="Times New Roman" w:eastAsia="Times New Roman" w:hAnsi="Times New Roman" w:cs="Times New Roman"/>
          <w:color w:val="000000"/>
        </w:rPr>
        <w:t xml:space="preserve"> as shown in figure 2 and figure 3.</w:t>
      </w:r>
    </w:p>
    <w:p w:rsidR="00B25458" w:rsidRDefault="00B25458" w:rsidP="00B254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7994" w:type="dxa"/>
        <w:jc w:val="center"/>
        <w:tblInd w:w="-159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</w:tblBorders>
        <w:tblLayout w:type="fixed"/>
        <w:tblLook w:val="0000"/>
      </w:tblPr>
      <w:tblGrid>
        <w:gridCol w:w="3781"/>
        <w:gridCol w:w="340"/>
        <w:gridCol w:w="3873"/>
      </w:tblGrid>
      <w:tr w:rsidR="00B25458" w:rsidTr="00193828">
        <w:trPr>
          <w:jc w:val="center"/>
        </w:trPr>
        <w:tc>
          <w:tcPr>
            <w:tcW w:w="37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B25458" w:rsidRDefault="00193828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144120" cy="1580245"/>
                  <wp:effectExtent l="19050" t="0" r="853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227" cy="158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3828" w:rsidRDefault="00193828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B25458" w:rsidRDefault="00B25458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B25458" w:rsidRDefault="00193828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04974" cy="1624083"/>
                  <wp:effectExtent l="19050" t="0" r="4826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211" cy="1626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458" w:rsidTr="00193828">
        <w:trPr>
          <w:jc w:val="center"/>
        </w:trPr>
        <w:tc>
          <w:tcPr>
            <w:tcW w:w="37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B25458" w:rsidRDefault="004C49C8" w:rsidP="0019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Figure 2</w:t>
            </w:r>
            <w:r w:rsidR="00B2545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="00193828">
              <w:rPr>
                <w:rFonts w:ascii="Times New Roman" w:eastAsia="Times New Roman" w:hAnsi="Times New Roman" w:cs="Times New Roman"/>
                <w:color w:val="000000"/>
              </w:rPr>
              <w:t>Relative Humidity in July (2004-2019)</w:t>
            </w:r>
            <w:r w:rsidR="00B254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B25458" w:rsidRDefault="00B25458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B25458" w:rsidRDefault="004C49C8" w:rsidP="00193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Figure 3</w:t>
            </w:r>
            <w:r w:rsidR="00B2545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="00193828">
              <w:rPr>
                <w:rFonts w:ascii="Times New Roman" w:eastAsia="Times New Roman" w:hAnsi="Times New Roman" w:cs="Times New Roman"/>
                <w:color w:val="000000"/>
              </w:rPr>
              <w:t>The temperature in July (2004-2019)</w:t>
            </w:r>
            <w:r w:rsidR="00B254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B25458" w:rsidRDefault="00B25458" w:rsidP="00B2545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66AA8" w:rsidRDefault="00E66AA8" w:rsidP="00D164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2.3. </w:t>
      </w:r>
      <w:r w:rsidR="00D16463" w:rsidRPr="00D16463">
        <w:rPr>
          <w:rFonts w:ascii="Times New Roman" w:eastAsia="Times New Roman" w:hAnsi="Times New Roman" w:cs="Times New Roman"/>
          <w:i/>
          <w:color w:val="000000"/>
        </w:rPr>
        <w:t xml:space="preserve">The </w:t>
      </w:r>
      <w:proofErr w:type="spellStart"/>
      <w:r w:rsidR="00D16463" w:rsidRPr="00D16463">
        <w:rPr>
          <w:rFonts w:ascii="Times New Roman" w:eastAsia="Times New Roman" w:hAnsi="Times New Roman" w:cs="Times New Roman"/>
          <w:i/>
          <w:color w:val="000000"/>
        </w:rPr>
        <w:t>Kadariah</w:t>
      </w:r>
      <w:proofErr w:type="spellEnd"/>
      <w:r w:rsidR="00D16463" w:rsidRPr="00D16463">
        <w:rPr>
          <w:rFonts w:ascii="Times New Roman" w:eastAsia="Times New Roman" w:hAnsi="Times New Roman" w:cs="Times New Roman"/>
          <w:i/>
          <w:color w:val="000000"/>
        </w:rPr>
        <w:t xml:space="preserve"> Palace’s main structural elements</w:t>
      </w:r>
    </w:p>
    <w:p w:rsidR="007E0321" w:rsidRDefault="00F8438F" w:rsidP="00F843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8438F">
        <w:rPr>
          <w:rFonts w:ascii="Times New Roman" w:eastAsia="Times New Roman" w:hAnsi="Times New Roman" w:cs="Times New Roman"/>
          <w:color w:val="000000"/>
        </w:rPr>
        <w:t xml:space="preserve">The studied building's main structural elements are made of </w:t>
      </w:r>
      <w:proofErr w:type="spellStart"/>
      <w:r w:rsidRPr="00F8438F">
        <w:rPr>
          <w:rFonts w:ascii="Times New Roman" w:eastAsia="Times New Roman" w:hAnsi="Times New Roman" w:cs="Times New Roman"/>
          <w:color w:val="000000"/>
        </w:rPr>
        <w:t>Belian</w:t>
      </w:r>
      <w:proofErr w:type="spellEnd"/>
      <w:r w:rsidRPr="00F8438F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F8438F">
        <w:rPr>
          <w:rFonts w:ascii="Times New Roman" w:eastAsia="Times New Roman" w:hAnsi="Times New Roman" w:cs="Times New Roman"/>
          <w:color w:val="000000"/>
        </w:rPr>
        <w:t>ulin</w:t>
      </w:r>
      <w:proofErr w:type="spellEnd"/>
      <w:r w:rsidRPr="00F8438F">
        <w:rPr>
          <w:rFonts w:ascii="Times New Roman" w:eastAsia="Times New Roman" w:hAnsi="Times New Roman" w:cs="Times New Roman"/>
          <w:color w:val="000000"/>
        </w:rPr>
        <w:t xml:space="preserve">) (Botanical name: </w:t>
      </w:r>
      <w:proofErr w:type="spellStart"/>
      <w:r w:rsidRPr="00F8438F">
        <w:rPr>
          <w:rFonts w:ascii="Times New Roman" w:eastAsia="Times New Roman" w:hAnsi="Times New Roman" w:cs="Times New Roman"/>
          <w:i/>
          <w:iCs/>
          <w:color w:val="000000"/>
        </w:rPr>
        <w:t>Eusideroxylon</w:t>
      </w:r>
      <w:proofErr w:type="spellEnd"/>
      <w:r w:rsidRPr="00F8438F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F8438F">
        <w:rPr>
          <w:rFonts w:ascii="Times New Roman" w:eastAsia="Times New Roman" w:hAnsi="Times New Roman" w:cs="Times New Roman"/>
          <w:i/>
          <w:iCs/>
          <w:color w:val="000000"/>
        </w:rPr>
        <w:t>zwageri</w:t>
      </w:r>
      <w:proofErr w:type="spellEnd"/>
      <w:r w:rsidRPr="00F8438F">
        <w:rPr>
          <w:rFonts w:ascii="Times New Roman" w:eastAsia="Times New Roman" w:hAnsi="Times New Roman" w:cs="Times New Roman"/>
          <w:color w:val="000000"/>
        </w:rPr>
        <w:t>).</w:t>
      </w:r>
      <w:r w:rsidR="00193828">
        <w:rPr>
          <w:rFonts w:ascii="Times New Roman" w:eastAsia="Times New Roman" w:hAnsi="Times New Roman" w:cs="Times New Roman"/>
          <w:color w:val="000000"/>
        </w:rPr>
        <w:t xml:space="preserve"> This Indonesian local wood species is famous for its durability against </w:t>
      </w:r>
      <w:r w:rsidR="007969DC">
        <w:rPr>
          <w:rFonts w:ascii="Times New Roman" w:eastAsia="Times New Roman" w:hAnsi="Times New Roman" w:cs="Times New Roman"/>
          <w:color w:val="000000"/>
        </w:rPr>
        <w:t xml:space="preserve">the </w:t>
      </w:r>
      <w:r w:rsidR="00193828">
        <w:rPr>
          <w:rFonts w:ascii="Times New Roman" w:eastAsia="Times New Roman" w:hAnsi="Times New Roman" w:cs="Times New Roman"/>
          <w:color w:val="000000"/>
        </w:rPr>
        <w:t xml:space="preserve">weather. It is classified </w:t>
      </w:r>
      <w:r w:rsidR="00F833CE">
        <w:rPr>
          <w:rFonts w:ascii="Times New Roman" w:eastAsia="Times New Roman" w:hAnsi="Times New Roman" w:cs="Times New Roman"/>
          <w:color w:val="000000"/>
        </w:rPr>
        <w:t xml:space="preserve">in durability and strength class 1. The main structural frame of the building consists of </w:t>
      </w:r>
      <w:r w:rsidR="007969DC">
        <w:rPr>
          <w:rFonts w:ascii="Times New Roman" w:eastAsia="Times New Roman" w:hAnsi="Times New Roman" w:cs="Times New Roman"/>
          <w:color w:val="000000"/>
        </w:rPr>
        <w:t xml:space="preserve">a </w:t>
      </w:r>
      <w:r w:rsidR="00F833CE">
        <w:rPr>
          <w:rFonts w:ascii="Times New Roman" w:eastAsia="Times New Roman" w:hAnsi="Times New Roman" w:cs="Times New Roman"/>
          <w:color w:val="000000"/>
        </w:rPr>
        <w:t xml:space="preserve">column and beam system and floor system. The </w:t>
      </w:r>
      <w:r w:rsidR="007969DC">
        <w:rPr>
          <w:rFonts w:ascii="Times New Roman" w:eastAsia="Times New Roman" w:hAnsi="Times New Roman" w:cs="Times New Roman"/>
          <w:color w:val="000000"/>
        </w:rPr>
        <w:t>cross-section is</w:t>
      </w:r>
      <w:r w:rsidR="00F833CE">
        <w:rPr>
          <w:rFonts w:ascii="Times New Roman" w:eastAsia="Times New Roman" w:hAnsi="Times New Roman" w:cs="Times New Roman"/>
          <w:color w:val="000000"/>
        </w:rPr>
        <w:t xml:space="preserve"> rectangular with dimension</w:t>
      </w:r>
      <w:r w:rsidR="007969DC">
        <w:rPr>
          <w:rFonts w:ascii="Times New Roman" w:eastAsia="Times New Roman" w:hAnsi="Times New Roman" w:cs="Times New Roman"/>
          <w:color w:val="000000"/>
        </w:rPr>
        <w:t>s</w:t>
      </w:r>
      <w:r w:rsidR="00F833CE">
        <w:rPr>
          <w:rFonts w:ascii="Times New Roman" w:eastAsia="Times New Roman" w:hAnsi="Times New Roman" w:cs="Times New Roman"/>
          <w:color w:val="000000"/>
        </w:rPr>
        <w:t xml:space="preserve"> 15 cm x 15 cm. The columns can </w:t>
      </w:r>
      <w:r w:rsidR="007E0321">
        <w:rPr>
          <w:rFonts w:ascii="Times New Roman" w:eastAsia="Times New Roman" w:hAnsi="Times New Roman" w:cs="Times New Roman"/>
          <w:color w:val="000000"/>
        </w:rPr>
        <w:t xml:space="preserve">be </w:t>
      </w:r>
      <w:r w:rsidR="00F833CE">
        <w:rPr>
          <w:rFonts w:ascii="Times New Roman" w:eastAsia="Times New Roman" w:hAnsi="Times New Roman" w:cs="Times New Roman"/>
          <w:color w:val="000000"/>
        </w:rPr>
        <w:t xml:space="preserve">divided into </w:t>
      </w:r>
      <w:r>
        <w:rPr>
          <w:rFonts w:ascii="Times New Roman" w:eastAsia="Times New Roman" w:hAnsi="Times New Roman" w:cs="Times New Roman"/>
          <w:color w:val="000000"/>
        </w:rPr>
        <w:t>the</w:t>
      </w:r>
      <w:r w:rsidR="00F833CE">
        <w:rPr>
          <w:rFonts w:ascii="Times New Roman" w:eastAsia="Times New Roman" w:hAnsi="Times New Roman" w:cs="Times New Roman"/>
          <w:color w:val="000000"/>
        </w:rPr>
        <w:t xml:space="preserve"> </w:t>
      </w:r>
      <w:r w:rsidR="007969DC">
        <w:rPr>
          <w:rFonts w:ascii="Times New Roman" w:eastAsia="Times New Roman" w:hAnsi="Times New Roman" w:cs="Times New Roman"/>
          <w:color w:val="000000"/>
        </w:rPr>
        <w:t>primary</w:t>
      </w:r>
      <w:r w:rsidR="00F833CE">
        <w:rPr>
          <w:rFonts w:ascii="Times New Roman" w:eastAsia="Times New Roman" w:hAnsi="Times New Roman" w:cs="Times New Roman"/>
          <w:color w:val="000000"/>
        </w:rPr>
        <w:t xml:space="preserve"> </w:t>
      </w:r>
      <w:r w:rsidR="007E0321">
        <w:rPr>
          <w:rFonts w:ascii="Times New Roman" w:eastAsia="Times New Roman" w:hAnsi="Times New Roman" w:cs="Times New Roman"/>
          <w:color w:val="000000"/>
        </w:rPr>
        <w:t xml:space="preserve">main supporting column and </w:t>
      </w:r>
      <w:r w:rsidR="007969DC">
        <w:rPr>
          <w:rFonts w:ascii="Times New Roman" w:eastAsia="Times New Roman" w:hAnsi="Times New Roman" w:cs="Times New Roman"/>
          <w:color w:val="000000"/>
        </w:rPr>
        <w:t xml:space="preserve">the </w:t>
      </w:r>
      <w:r w:rsidR="007E0321">
        <w:rPr>
          <w:rFonts w:ascii="Times New Roman" w:eastAsia="Times New Roman" w:hAnsi="Times New Roman" w:cs="Times New Roman"/>
          <w:color w:val="000000"/>
        </w:rPr>
        <w:t xml:space="preserve">secondary supporting column. The building plan, building section, and front view of the </w:t>
      </w:r>
      <w:proofErr w:type="spellStart"/>
      <w:r w:rsidR="007E0321">
        <w:rPr>
          <w:rFonts w:ascii="Times New Roman" w:eastAsia="Times New Roman" w:hAnsi="Times New Roman" w:cs="Times New Roman"/>
          <w:color w:val="000000"/>
        </w:rPr>
        <w:t>Kadariah</w:t>
      </w:r>
      <w:proofErr w:type="spellEnd"/>
      <w:r w:rsidR="007E0321">
        <w:rPr>
          <w:rFonts w:ascii="Times New Roman" w:eastAsia="Times New Roman" w:hAnsi="Times New Roman" w:cs="Times New Roman"/>
          <w:color w:val="000000"/>
        </w:rPr>
        <w:t xml:space="preserve"> </w:t>
      </w:r>
      <w:r w:rsidR="004C49C8">
        <w:rPr>
          <w:rFonts w:ascii="Times New Roman" w:eastAsia="Times New Roman" w:hAnsi="Times New Roman" w:cs="Times New Roman"/>
          <w:color w:val="000000"/>
        </w:rPr>
        <w:t>Palace can be seen in figure 6</w:t>
      </w:r>
      <w:r w:rsidR="007E0321">
        <w:rPr>
          <w:rFonts w:ascii="Times New Roman" w:eastAsia="Times New Roman" w:hAnsi="Times New Roman" w:cs="Times New Roman"/>
          <w:color w:val="000000"/>
        </w:rPr>
        <w:t>.</w:t>
      </w:r>
    </w:p>
    <w:p w:rsidR="004C49C8" w:rsidRDefault="004C49C8" w:rsidP="001938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C49C8" w:rsidRDefault="007E0321" w:rsidP="0019382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7708" w:type="dxa"/>
        <w:jc w:val="center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</w:tblBorders>
        <w:tblLayout w:type="fixed"/>
        <w:tblLook w:val="0000"/>
      </w:tblPr>
      <w:tblGrid>
        <w:gridCol w:w="1329"/>
        <w:gridCol w:w="6379"/>
      </w:tblGrid>
      <w:tr w:rsidR="004C49C8" w:rsidTr="00794D32">
        <w:trPr>
          <w:jc w:val="center"/>
        </w:trPr>
        <w:tc>
          <w:tcPr>
            <w:tcW w:w="1329" w:type="dxa"/>
          </w:tcPr>
          <w:p w:rsidR="004C49C8" w:rsidRDefault="004C49C8" w:rsidP="0079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379" w:type="dxa"/>
            <w:shd w:val="clear" w:color="auto" w:fill="auto"/>
          </w:tcPr>
          <w:p w:rsidR="004C49C8" w:rsidRDefault="004C49C8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Cs/>
                <w:noProof/>
                <w:color w:val="000000"/>
                <w:lang w:val="en-US"/>
              </w:rPr>
              <w:drawing>
                <wp:inline distT="0" distB="0" distL="0" distR="0">
                  <wp:extent cx="3029585" cy="1896745"/>
                  <wp:effectExtent l="1905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8037" t="23296" r="24539" b="12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585" cy="189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9C8" w:rsidTr="00794D32">
        <w:trPr>
          <w:jc w:val="center"/>
        </w:trPr>
        <w:tc>
          <w:tcPr>
            <w:tcW w:w="1329" w:type="dxa"/>
          </w:tcPr>
          <w:p w:rsidR="004C49C8" w:rsidRDefault="004C49C8" w:rsidP="00794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shd w:val="clear" w:color="auto" w:fill="auto"/>
          </w:tcPr>
          <w:p w:rsidR="004C49C8" w:rsidRDefault="004C49C8" w:rsidP="004C4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Figure 4.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Building plan, building section, and front view.</w:t>
            </w:r>
          </w:p>
        </w:tc>
      </w:tr>
    </w:tbl>
    <w:p w:rsidR="00E66AA8" w:rsidRDefault="00E66AA8" w:rsidP="00E66AA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66AA8" w:rsidRDefault="00E66AA8" w:rsidP="00D164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2.4. </w:t>
      </w:r>
      <w:r w:rsidR="00D16463" w:rsidRPr="00D16463">
        <w:rPr>
          <w:rFonts w:ascii="Times New Roman" w:eastAsia="Times New Roman" w:hAnsi="Times New Roman" w:cs="Times New Roman"/>
          <w:i/>
          <w:color w:val="000000"/>
        </w:rPr>
        <w:t xml:space="preserve">The </w:t>
      </w:r>
      <w:proofErr w:type="spellStart"/>
      <w:r w:rsidR="00D16463" w:rsidRPr="00D16463">
        <w:rPr>
          <w:rFonts w:ascii="Times New Roman" w:eastAsia="Times New Roman" w:hAnsi="Times New Roman" w:cs="Times New Roman"/>
          <w:i/>
          <w:color w:val="000000"/>
        </w:rPr>
        <w:t>hygro</w:t>
      </w:r>
      <w:proofErr w:type="spellEnd"/>
      <w:r w:rsidR="00D16463" w:rsidRPr="00D16463">
        <w:rPr>
          <w:rFonts w:ascii="Times New Roman" w:eastAsia="Times New Roman" w:hAnsi="Times New Roman" w:cs="Times New Roman"/>
          <w:i/>
          <w:color w:val="000000"/>
        </w:rPr>
        <w:t>-thermal measurements of the building</w:t>
      </w:r>
    </w:p>
    <w:p w:rsidR="00E66AA8" w:rsidRDefault="00E41130" w:rsidP="00DF66E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measurements are conducted using the humidity –</w:t>
      </w:r>
      <w:r w:rsidR="00F8438F">
        <w:rPr>
          <w:rFonts w:ascii="Times New Roman" w:eastAsia="Times New Roman" w:hAnsi="Times New Roman" w:cs="Times New Roman"/>
          <w:color w:val="000000"/>
        </w:rPr>
        <w:t xml:space="preserve"> digital </w:t>
      </w:r>
      <w:r>
        <w:rPr>
          <w:rFonts w:ascii="Times New Roman" w:eastAsia="Times New Roman" w:hAnsi="Times New Roman" w:cs="Times New Roman"/>
          <w:color w:val="000000"/>
        </w:rPr>
        <w:t xml:space="preserve">temperature instrument (YK-2001TM type,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Lutron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Taiwan), Figure 5. It is done according to ASTM F2420-05 [1</w:t>
      </w:r>
      <w:r w:rsidR="00F2454C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]. The temperature (T) and relative humidity (RH) measurements were carried out for exterior and interior columns. The measurements were</w:t>
      </w:r>
      <w:r w:rsidR="00E66AA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conducted three separate times, in the morning (from 8 am until 10 am), noon (from 11.30 am to 1.30 pm), and in the afte</w:t>
      </w:r>
      <w:r w:rsidR="006A7A69">
        <w:rPr>
          <w:rFonts w:ascii="Times New Roman" w:eastAsia="Times New Roman" w:hAnsi="Times New Roman" w:cs="Times New Roman"/>
          <w:color w:val="000000"/>
        </w:rPr>
        <w:t xml:space="preserve">rnoon (from 4 pm to 6 pm). It is done in July 2020. The results can be seen in figure 5 </w:t>
      </w:r>
      <w:r w:rsidR="00C821B6">
        <w:rPr>
          <w:rFonts w:ascii="Times New Roman" w:eastAsia="Times New Roman" w:hAnsi="Times New Roman" w:cs="Times New Roman"/>
          <w:color w:val="000000"/>
        </w:rPr>
        <w:t>until figure 8</w:t>
      </w:r>
      <w:r w:rsidR="006A7A69">
        <w:rPr>
          <w:rFonts w:ascii="Times New Roman" w:eastAsia="Times New Roman" w:hAnsi="Times New Roman" w:cs="Times New Roman"/>
          <w:color w:val="000000"/>
        </w:rPr>
        <w:t>.</w:t>
      </w:r>
    </w:p>
    <w:p w:rsidR="006A7A69" w:rsidRDefault="006A7A69" w:rsidP="00E411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8748" w:type="dxa"/>
        <w:jc w:val="center"/>
        <w:tblInd w:w="-234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</w:tblBorders>
        <w:tblLayout w:type="fixed"/>
        <w:tblLook w:val="0000"/>
      </w:tblPr>
      <w:tblGrid>
        <w:gridCol w:w="4007"/>
        <w:gridCol w:w="340"/>
        <w:gridCol w:w="4401"/>
      </w:tblGrid>
      <w:tr w:rsidR="006A7A69" w:rsidTr="00C821B6">
        <w:trPr>
          <w:jc w:val="center"/>
        </w:trPr>
        <w:tc>
          <w:tcPr>
            <w:tcW w:w="40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A7A69" w:rsidRDefault="006A7A69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150944" cy="1102278"/>
                  <wp:effectExtent l="19050" t="0" r="1706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784" cy="1102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A69" w:rsidRDefault="006A7A69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A7A69" w:rsidRDefault="006A7A69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A7A69" w:rsidRDefault="006A7A69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032218" cy="1084997"/>
                  <wp:effectExtent l="19050" t="0" r="6132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17" cy="1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A69" w:rsidTr="00C821B6">
        <w:trPr>
          <w:jc w:val="center"/>
        </w:trPr>
        <w:tc>
          <w:tcPr>
            <w:tcW w:w="40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A7A69" w:rsidRDefault="006A7A69" w:rsidP="00C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Figure 5.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C821B6">
              <w:rPr>
                <w:rFonts w:ascii="Times New Roman" w:eastAsia="Times New Roman" w:hAnsi="Times New Roman" w:cs="Times New Roman"/>
                <w:color w:val="000000"/>
              </w:rPr>
              <w:t xml:space="preserve"> (exterior columns)</w:t>
            </w:r>
          </w:p>
        </w:tc>
        <w:tc>
          <w:tcPr>
            <w:tcW w:w="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A7A69" w:rsidRDefault="006A7A69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6A7A69" w:rsidRDefault="006A7A69" w:rsidP="00C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Figure 6. </w:t>
            </w:r>
            <w:r w:rsidR="00C821B6">
              <w:rPr>
                <w:rFonts w:ascii="Times New Roman" w:eastAsia="Times New Roman" w:hAnsi="Times New Roman" w:cs="Times New Roman"/>
                <w:color w:val="000000"/>
              </w:rPr>
              <w:t>T (interior columns)</w:t>
            </w:r>
          </w:p>
        </w:tc>
      </w:tr>
    </w:tbl>
    <w:p w:rsidR="006A7A69" w:rsidRDefault="006A7A69" w:rsidP="00E4113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8748" w:type="dxa"/>
        <w:jc w:val="center"/>
        <w:tblInd w:w="-234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</w:tblBorders>
        <w:tblLayout w:type="fixed"/>
        <w:tblLook w:val="0000"/>
      </w:tblPr>
      <w:tblGrid>
        <w:gridCol w:w="4007"/>
        <w:gridCol w:w="340"/>
        <w:gridCol w:w="4401"/>
      </w:tblGrid>
      <w:tr w:rsidR="00C821B6" w:rsidTr="00794D32">
        <w:trPr>
          <w:jc w:val="center"/>
        </w:trPr>
        <w:tc>
          <w:tcPr>
            <w:tcW w:w="40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821B6" w:rsidRDefault="00C821B6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04265" cy="1243687"/>
                  <wp:effectExtent l="19050" t="0" r="553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908" cy="1243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1B6" w:rsidRDefault="00C821B6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821B6" w:rsidRDefault="00C821B6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821B6" w:rsidRDefault="00C821B6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179349" cy="1228867"/>
                  <wp:effectExtent l="1905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209" cy="1232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1B6" w:rsidTr="00794D32">
        <w:trPr>
          <w:jc w:val="center"/>
        </w:trPr>
        <w:tc>
          <w:tcPr>
            <w:tcW w:w="40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821B6" w:rsidRDefault="00C821B6" w:rsidP="00C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Figure 7.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RH (exterior columns)</w:t>
            </w:r>
          </w:p>
        </w:tc>
        <w:tc>
          <w:tcPr>
            <w:tcW w:w="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821B6" w:rsidRDefault="00C821B6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821B6" w:rsidRDefault="00C821B6" w:rsidP="00C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Figure 8.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RH (interior columns)</w:t>
            </w:r>
          </w:p>
        </w:tc>
      </w:tr>
    </w:tbl>
    <w:p w:rsidR="00296152" w:rsidRDefault="00296152" w:rsidP="00D164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06A6A" w:rsidRDefault="00D164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Results and Discussions</w:t>
      </w:r>
    </w:p>
    <w:p w:rsidR="00E06A6A" w:rsidRDefault="00296152" w:rsidP="00E55759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calculation of predicted service life of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Kadariah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Palace has been done for the main structural elements</w:t>
      </w:r>
      <w:r w:rsidR="003564E0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The decay depth is assumed to take place at the first time at 5 mm deep below the surface </w:t>
      </w:r>
      <w:r w:rsidR="00EA3CDD">
        <w:rPr>
          <w:rFonts w:ascii="Times New Roman" w:eastAsia="Times New Roman" w:hAnsi="Times New Roman" w:cs="Times New Roman"/>
          <w:color w:val="000000"/>
        </w:rPr>
        <w:t xml:space="preserve">of the timber structural elements. The input parameters for the model among others: </w:t>
      </w:r>
      <w:proofErr w:type="spellStart"/>
      <w:r w:rsidR="00EA3CDD" w:rsidRPr="00EA3CDD">
        <w:rPr>
          <w:rFonts w:ascii="Times New Roman" w:eastAsia="Times New Roman" w:hAnsi="Times New Roman" w:cs="Times New Roman"/>
          <w:color w:val="000000"/>
        </w:rPr>
        <w:t>k</w:t>
      </w:r>
      <w:r w:rsidR="00EA3CDD" w:rsidRPr="00EA3CDD">
        <w:rPr>
          <w:rFonts w:ascii="Times New Roman" w:eastAsia="Times New Roman" w:hAnsi="Times New Roman" w:cs="Times New Roman"/>
          <w:color w:val="000000"/>
          <w:vertAlign w:val="subscript"/>
        </w:rPr>
        <w:t>wood</w:t>
      </w:r>
      <w:proofErr w:type="spellEnd"/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 = 0.5 (</w:t>
      </w:r>
      <w:proofErr w:type="spellStart"/>
      <w:r w:rsidR="00EA3CDD" w:rsidRPr="00EA3CDD">
        <w:rPr>
          <w:rFonts w:ascii="Times New Roman" w:eastAsia="Times New Roman" w:hAnsi="Times New Roman" w:cs="Times New Roman"/>
          <w:color w:val="000000"/>
        </w:rPr>
        <w:t>ulin</w:t>
      </w:r>
      <w:proofErr w:type="spellEnd"/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 </w:t>
      </w:r>
      <w:r w:rsidR="00EA3CDD" w:rsidRPr="00EA3CDD">
        <w:rPr>
          <w:rFonts w:ascii="Times New Roman" w:eastAsia="Times New Roman" w:hAnsi="Times New Roman" w:cs="Times New Roman"/>
          <w:color w:val="000000"/>
        </w:rPr>
        <w:lastRenderedPageBreak/>
        <w:t xml:space="preserve">species), </w:t>
      </w:r>
      <w:proofErr w:type="spellStart"/>
      <w:r w:rsidR="00EA3CDD" w:rsidRPr="00EA3CDD">
        <w:rPr>
          <w:rFonts w:ascii="Times New Roman" w:eastAsia="Times New Roman" w:hAnsi="Times New Roman" w:cs="Times New Roman"/>
          <w:color w:val="000000"/>
        </w:rPr>
        <w:t>k</w:t>
      </w:r>
      <w:r w:rsidR="00EA3CDD" w:rsidRPr="00EA3CDD">
        <w:rPr>
          <w:rFonts w:ascii="Times New Roman" w:eastAsia="Times New Roman" w:hAnsi="Times New Roman" w:cs="Times New Roman"/>
          <w:color w:val="000000"/>
          <w:vertAlign w:val="subscript"/>
        </w:rPr>
        <w:t>climate</w:t>
      </w:r>
      <w:proofErr w:type="spellEnd"/>
      <w:r w:rsidR="00E55759">
        <w:rPr>
          <w:rFonts w:ascii="Times New Roman" w:eastAsia="Times New Roman" w:hAnsi="Times New Roman" w:cs="Times New Roman"/>
          <w:color w:val="000000"/>
        </w:rPr>
        <w:t xml:space="preserve"> = 0.4</w:t>
      </w:r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 (the most hazardous zone), </w:t>
      </w:r>
      <w:proofErr w:type="spellStart"/>
      <w:r w:rsidR="00EA3CDD" w:rsidRPr="00EA3CDD">
        <w:rPr>
          <w:rFonts w:ascii="Times New Roman" w:eastAsia="Times New Roman" w:hAnsi="Times New Roman" w:cs="Times New Roman"/>
          <w:color w:val="000000"/>
        </w:rPr>
        <w:t>k</w:t>
      </w:r>
      <w:r w:rsidR="00EA3CDD" w:rsidRPr="00EA3CDD">
        <w:rPr>
          <w:rFonts w:ascii="Times New Roman" w:eastAsia="Times New Roman" w:hAnsi="Times New Roman" w:cs="Times New Roman"/>
          <w:color w:val="000000"/>
          <w:vertAlign w:val="subscript"/>
        </w:rPr>
        <w:t>p</w:t>
      </w:r>
      <w:proofErr w:type="spellEnd"/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 = 3.5 (</w:t>
      </w:r>
      <w:proofErr w:type="spellStart"/>
      <w:r w:rsidR="00EA3CDD" w:rsidRPr="00EA3CDD">
        <w:rPr>
          <w:rFonts w:ascii="Times New Roman" w:eastAsia="Times New Roman" w:hAnsi="Times New Roman" w:cs="Times New Roman"/>
          <w:color w:val="000000"/>
        </w:rPr>
        <w:t>ulin</w:t>
      </w:r>
      <w:proofErr w:type="spellEnd"/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, painted timber), </w:t>
      </w:r>
      <w:proofErr w:type="spellStart"/>
      <w:r w:rsidR="00EA3CDD" w:rsidRPr="00EA3CDD">
        <w:rPr>
          <w:rFonts w:ascii="Times New Roman" w:eastAsia="Times New Roman" w:hAnsi="Times New Roman" w:cs="Times New Roman"/>
          <w:color w:val="000000"/>
        </w:rPr>
        <w:t>k</w:t>
      </w:r>
      <w:r w:rsidR="00EA3CDD" w:rsidRPr="00EA3CDD">
        <w:rPr>
          <w:rFonts w:ascii="Times New Roman" w:eastAsia="Times New Roman" w:hAnsi="Times New Roman" w:cs="Times New Roman"/>
          <w:color w:val="000000"/>
          <w:vertAlign w:val="subscript"/>
        </w:rPr>
        <w:t>t</w:t>
      </w:r>
      <w:proofErr w:type="spellEnd"/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 = 1 (</w:t>
      </w:r>
      <w:r w:rsidR="00E55759">
        <w:rPr>
          <w:rFonts w:ascii="Times New Roman" w:eastAsia="Times New Roman" w:hAnsi="Times New Roman" w:cs="Times New Roman"/>
          <w:color w:val="000000"/>
        </w:rPr>
        <w:t>thickness</w:t>
      </w:r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 </w:t>
      </w:r>
      <w:r w:rsidR="00E55759">
        <w:rPr>
          <w:rFonts w:ascii="Times New Roman" w:eastAsia="Times New Roman" w:hAnsi="Times New Roman" w:cs="Times New Roman"/>
          <w:color w:val="000000"/>
        </w:rPr>
        <w:t>150 m</w:t>
      </w:r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m), </w:t>
      </w:r>
      <w:proofErr w:type="spellStart"/>
      <w:r w:rsidR="00EA3CDD" w:rsidRPr="00EA3CDD">
        <w:rPr>
          <w:rFonts w:ascii="Times New Roman" w:eastAsia="Times New Roman" w:hAnsi="Times New Roman" w:cs="Times New Roman"/>
          <w:color w:val="000000"/>
        </w:rPr>
        <w:t>k</w:t>
      </w:r>
      <w:r w:rsidR="00EA3CDD" w:rsidRPr="00EA3CDD">
        <w:rPr>
          <w:rFonts w:ascii="Times New Roman" w:eastAsia="Times New Roman" w:hAnsi="Times New Roman" w:cs="Times New Roman"/>
          <w:color w:val="000000"/>
          <w:vertAlign w:val="subscript"/>
        </w:rPr>
        <w:t>w</w:t>
      </w:r>
      <w:proofErr w:type="spellEnd"/>
      <w:r w:rsidR="00E55759">
        <w:rPr>
          <w:rFonts w:ascii="Times New Roman" w:eastAsia="Times New Roman" w:hAnsi="Times New Roman" w:cs="Times New Roman"/>
          <w:color w:val="000000"/>
        </w:rPr>
        <w:t xml:space="preserve"> = 1</w:t>
      </w:r>
      <w:proofErr w:type="gramStart"/>
      <w:r w:rsidR="00E55759">
        <w:rPr>
          <w:rFonts w:ascii="Times New Roman" w:eastAsia="Times New Roman" w:hAnsi="Times New Roman" w:cs="Times New Roman"/>
          <w:color w:val="000000"/>
        </w:rPr>
        <w:t>,3</w:t>
      </w:r>
      <w:proofErr w:type="gramEnd"/>
      <w:r w:rsidR="00E55759">
        <w:rPr>
          <w:rFonts w:ascii="Times New Roman" w:eastAsia="Times New Roman" w:hAnsi="Times New Roman" w:cs="Times New Roman"/>
          <w:color w:val="000000"/>
        </w:rPr>
        <w:t xml:space="preserve"> (width 150 m</w:t>
      </w:r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m), </w:t>
      </w:r>
      <w:proofErr w:type="spellStart"/>
      <w:r w:rsidR="00EA3CDD" w:rsidRPr="00EA3CDD">
        <w:rPr>
          <w:rFonts w:ascii="Times New Roman" w:eastAsia="Times New Roman" w:hAnsi="Times New Roman" w:cs="Times New Roman"/>
          <w:color w:val="000000"/>
        </w:rPr>
        <w:t>k</w:t>
      </w:r>
      <w:r w:rsidR="00E55759">
        <w:rPr>
          <w:rFonts w:ascii="Times New Roman" w:eastAsia="Times New Roman" w:hAnsi="Times New Roman" w:cs="Times New Roman"/>
          <w:color w:val="000000"/>
          <w:vertAlign w:val="subscript"/>
        </w:rPr>
        <w:t>n</w:t>
      </w:r>
      <w:proofErr w:type="spellEnd"/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 = 1 (no connector), k</w:t>
      </w:r>
      <w:r w:rsidR="00EA3CDD" w:rsidRPr="00EA3CDD">
        <w:rPr>
          <w:rFonts w:ascii="Times New Roman" w:eastAsia="Times New Roman" w:hAnsi="Times New Roman" w:cs="Times New Roman"/>
          <w:color w:val="000000"/>
          <w:vertAlign w:val="subscript"/>
        </w:rPr>
        <w:t>g1</w:t>
      </w:r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 = 0.3 (non-contact), k</w:t>
      </w:r>
      <w:r w:rsidR="00EA3CDD" w:rsidRPr="00EA3CDD">
        <w:rPr>
          <w:rFonts w:ascii="Times New Roman" w:eastAsia="Times New Roman" w:hAnsi="Times New Roman" w:cs="Times New Roman"/>
          <w:color w:val="000000"/>
          <w:vertAlign w:val="subscript"/>
        </w:rPr>
        <w:t>g2</w:t>
      </w:r>
      <w:r w:rsidR="00E55759">
        <w:rPr>
          <w:rFonts w:ascii="Times New Roman" w:eastAsia="Times New Roman" w:hAnsi="Times New Roman" w:cs="Times New Roman"/>
          <w:color w:val="000000"/>
        </w:rPr>
        <w:t xml:space="preserve"> = 2</w:t>
      </w:r>
      <w:r w:rsidR="00EA3CDD" w:rsidRPr="00EA3CDD">
        <w:rPr>
          <w:rFonts w:ascii="Times New Roman" w:eastAsia="Times New Roman" w:hAnsi="Times New Roman" w:cs="Times New Roman"/>
          <w:color w:val="000000"/>
        </w:rPr>
        <w:t xml:space="preserve">. </w:t>
      </w:r>
    </w:p>
    <w:tbl>
      <w:tblPr>
        <w:tblStyle w:val="a0"/>
        <w:tblW w:w="8748" w:type="dxa"/>
        <w:jc w:val="center"/>
        <w:tblInd w:w="-234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</w:tblBorders>
        <w:tblLayout w:type="fixed"/>
        <w:tblLook w:val="0000"/>
      </w:tblPr>
      <w:tblGrid>
        <w:gridCol w:w="4007"/>
        <w:gridCol w:w="340"/>
        <w:gridCol w:w="4401"/>
      </w:tblGrid>
      <w:tr w:rsidR="003564E0" w:rsidTr="00794D32">
        <w:trPr>
          <w:jc w:val="center"/>
        </w:trPr>
        <w:tc>
          <w:tcPr>
            <w:tcW w:w="40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3564E0" w:rsidRDefault="003564E0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86000" cy="1218010"/>
                  <wp:effectExtent l="1905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950" cy="121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4E0" w:rsidRDefault="003564E0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3564E0" w:rsidRDefault="003564E0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3564E0" w:rsidRDefault="003564E0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40958" cy="1248770"/>
                  <wp:effectExtent l="19050" t="0" r="2192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285" cy="1247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4E0" w:rsidTr="00794D32">
        <w:trPr>
          <w:jc w:val="center"/>
        </w:trPr>
        <w:tc>
          <w:tcPr>
            <w:tcW w:w="400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3564E0" w:rsidRDefault="003564E0" w:rsidP="0035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Figure 9.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d(t) during the building life</w:t>
            </w:r>
          </w:p>
        </w:tc>
        <w:tc>
          <w:tcPr>
            <w:tcW w:w="3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3564E0" w:rsidRDefault="003564E0" w:rsidP="00794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3564E0" w:rsidRDefault="003564E0" w:rsidP="0035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Figure 10.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d(t) at the time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tlag</w:t>
            </w:r>
            <w:proofErr w:type="spellEnd"/>
          </w:p>
        </w:tc>
      </w:tr>
    </w:tbl>
    <w:p w:rsidR="00013D88" w:rsidRDefault="00013D88" w:rsidP="00013D88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</w:p>
    <w:p w:rsidR="00E55759" w:rsidRDefault="0035187B" w:rsidP="00F8438F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Figure 9 plotted the decay depth,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d(</w:t>
      </w:r>
      <w:proofErr w:type="gramEnd"/>
      <w:r>
        <w:rPr>
          <w:rFonts w:ascii="Times New Roman" w:eastAsia="Times New Roman" w:hAnsi="Times New Roman" w:cs="Times New Roman"/>
          <w:color w:val="000000"/>
        </w:rPr>
        <w:t>t) versus the time variable (t)</w:t>
      </w:r>
      <w:r w:rsidR="0004727C">
        <w:rPr>
          <w:rFonts w:ascii="Times New Roman" w:eastAsia="Times New Roman" w:hAnsi="Times New Roman" w:cs="Times New Roman"/>
          <w:color w:val="000000"/>
        </w:rPr>
        <w:t xml:space="preserve"> during the</w:t>
      </w:r>
      <w:r w:rsidR="007969DC">
        <w:rPr>
          <w:rFonts w:ascii="Times New Roman" w:eastAsia="Times New Roman" w:hAnsi="Times New Roman" w:cs="Times New Roman"/>
          <w:color w:val="000000"/>
        </w:rPr>
        <w:t xml:space="preserve"> building’s</w:t>
      </w:r>
      <w:r w:rsidR="0004727C">
        <w:rPr>
          <w:rFonts w:ascii="Times New Roman" w:eastAsia="Times New Roman" w:hAnsi="Times New Roman" w:cs="Times New Roman"/>
          <w:color w:val="000000"/>
        </w:rPr>
        <w:t xml:space="preserve"> whole service life</w:t>
      </w:r>
      <w:r>
        <w:rPr>
          <w:rFonts w:ascii="Times New Roman" w:eastAsia="Times New Roman" w:hAnsi="Times New Roman" w:cs="Times New Roman"/>
          <w:color w:val="000000"/>
        </w:rPr>
        <w:t xml:space="preserve">. The resulted graph show a decay rate (r) = </w:t>
      </w:r>
      <w:r w:rsidR="00013D88">
        <w:rPr>
          <w:rFonts w:ascii="Times New Roman" w:eastAsia="Times New Roman" w:hAnsi="Times New Roman" w:cs="Times New Roman"/>
          <w:color w:val="000000"/>
        </w:rPr>
        <w:t>0.56</w:t>
      </w:r>
      <w:r>
        <w:rPr>
          <w:rFonts w:ascii="Times New Roman" w:eastAsia="Times New Roman" w:hAnsi="Times New Roman" w:cs="Times New Roman"/>
          <w:color w:val="000000"/>
        </w:rPr>
        <w:t xml:space="preserve"> mm/year and decay lag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</w:t>
      </w:r>
      <w:r w:rsidRPr="00013D88">
        <w:rPr>
          <w:rFonts w:ascii="Times New Roman" w:eastAsia="Times New Roman" w:hAnsi="Times New Roman" w:cs="Times New Roman"/>
          <w:color w:val="000000"/>
          <w:vertAlign w:val="subscript"/>
        </w:rPr>
        <w:t>lag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= </w:t>
      </w:r>
      <w:r w:rsidR="00013D88">
        <w:rPr>
          <w:rFonts w:ascii="Times New Roman" w:eastAsia="Times New Roman" w:hAnsi="Times New Roman" w:cs="Times New Roman"/>
          <w:color w:val="000000"/>
        </w:rPr>
        <w:t>13.914</w:t>
      </w:r>
      <w:r>
        <w:rPr>
          <w:rFonts w:ascii="Times New Roman" w:eastAsia="Times New Roman" w:hAnsi="Times New Roman" w:cs="Times New Roman"/>
          <w:color w:val="000000"/>
        </w:rPr>
        <w:t xml:space="preserve"> years. The first part of the graph demonstrate</w:t>
      </w:r>
      <w:r w:rsidR="007969DC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a parabolic </w:t>
      </w:r>
      <w:r w:rsidR="0004727C">
        <w:rPr>
          <w:rFonts w:ascii="Times New Roman" w:eastAsia="Times New Roman" w:hAnsi="Times New Roman" w:cs="Times New Roman"/>
          <w:color w:val="000000"/>
        </w:rPr>
        <w:t>curve according to the formula</w:t>
      </w:r>
      <w:r w:rsidR="00377BB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="00377BB5">
        <w:rPr>
          <w:rFonts w:ascii="Times New Roman" w:eastAsia="Times New Roman" w:hAnsi="Times New Roman" w:cs="Times New Roman"/>
          <w:color w:val="000000"/>
        </w:rPr>
        <w:t>dt</w:t>
      </w:r>
      <w:proofErr w:type="spellEnd"/>
      <w:r w:rsidR="00377BB5">
        <w:rPr>
          <w:rFonts w:ascii="Times New Roman" w:eastAsia="Times New Roman" w:hAnsi="Times New Roman" w:cs="Times New Roman"/>
          <w:color w:val="000000"/>
        </w:rPr>
        <w:t>=</w:t>
      </w:r>
      <w:proofErr w:type="gramEnd"/>
      <w:r w:rsidR="00377BB5">
        <w:rPr>
          <w:rFonts w:ascii="Times New Roman" w:eastAsia="Times New Roman" w:hAnsi="Times New Roman" w:cs="Times New Roman"/>
          <w:color w:val="000000"/>
        </w:rPr>
        <w:t>ct2. Meanwhile</w:t>
      </w:r>
      <w:r w:rsidR="007969DC">
        <w:rPr>
          <w:rFonts w:ascii="Times New Roman" w:eastAsia="Times New Roman" w:hAnsi="Times New Roman" w:cs="Times New Roman"/>
          <w:color w:val="000000"/>
        </w:rPr>
        <w:t>,</w:t>
      </w:r>
      <w:r w:rsidR="00377BB5">
        <w:rPr>
          <w:rFonts w:ascii="Times New Roman" w:eastAsia="Times New Roman" w:hAnsi="Times New Roman" w:cs="Times New Roman"/>
          <w:color w:val="000000"/>
        </w:rPr>
        <w:t xml:space="preserve"> the second part of the graph gives a linear curve based on the </w:t>
      </w:r>
      <w:proofErr w:type="gramStart"/>
      <w:r w:rsidR="00377BB5">
        <w:rPr>
          <w:rFonts w:ascii="Times New Roman" w:eastAsia="Times New Roman" w:hAnsi="Times New Roman" w:cs="Times New Roman"/>
          <w:color w:val="000000"/>
        </w:rPr>
        <w:t xml:space="preserve">formula </w:t>
      </w:r>
      <w:r w:rsidR="0004727C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End"/>
      <w:r w:rsidR="0004727C">
        <w:rPr>
          <w:rFonts w:ascii="Times New Roman" w:eastAsia="Times New Roman" w:hAnsi="Times New Roman" w:cs="Times New Roman"/>
          <w:color w:val="000000"/>
        </w:rPr>
        <w:t>t-</w:t>
      </w:r>
      <w:proofErr w:type="spellStart"/>
      <w:r w:rsidR="0004727C">
        <w:rPr>
          <w:rFonts w:ascii="Times New Roman" w:eastAsia="Times New Roman" w:hAnsi="Times New Roman" w:cs="Times New Roman"/>
          <w:color w:val="000000"/>
        </w:rPr>
        <w:t>tlag</w:t>
      </w:r>
      <w:proofErr w:type="spellEnd"/>
      <w:r w:rsidR="0004727C">
        <w:rPr>
          <w:rFonts w:ascii="Times New Roman" w:eastAsia="Times New Roman" w:hAnsi="Times New Roman" w:cs="Times New Roman"/>
          <w:color w:val="000000"/>
        </w:rPr>
        <w:t xml:space="preserve">)r. Figure 10 illustrated the decay depth, d(t) versus the time variable for 50 years period. It is plotted to simulate the occurrence of </w:t>
      </w:r>
      <w:proofErr w:type="spellStart"/>
      <w:r w:rsidR="0004727C">
        <w:rPr>
          <w:rFonts w:ascii="Times New Roman" w:eastAsia="Times New Roman" w:hAnsi="Times New Roman" w:cs="Times New Roman"/>
          <w:color w:val="000000"/>
        </w:rPr>
        <w:t>tlag</w:t>
      </w:r>
      <w:proofErr w:type="spellEnd"/>
      <w:r w:rsidR="0004727C">
        <w:rPr>
          <w:rFonts w:ascii="Times New Roman" w:eastAsia="Times New Roman" w:hAnsi="Times New Roman" w:cs="Times New Roman"/>
          <w:color w:val="000000"/>
        </w:rPr>
        <w:t xml:space="preserve"> more clearly. </w:t>
      </w:r>
      <w:r w:rsidR="00F8438F" w:rsidRPr="00F8438F">
        <w:rPr>
          <w:rFonts w:ascii="Times New Roman" w:eastAsia="Times New Roman" w:hAnsi="Times New Roman" w:cs="Times New Roman"/>
          <w:color w:val="000000"/>
        </w:rPr>
        <w:t xml:space="preserve">It is interesting to notice that the decay rate will reach the </w:t>
      </w:r>
      <w:proofErr w:type="spellStart"/>
      <w:r w:rsidR="00F8438F" w:rsidRPr="00F8438F">
        <w:rPr>
          <w:rFonts w:ascii="Times New Roman" w:eastAsia="Times New Roman" w:hAnsi="Times New Roman" w:cs="Times New Roman"/>
          <w:color w:val="000000"/>
        </w:rPr>
        <w:t>center</w:t>
      </w:r>
      <w:proofErr w:type="spellEnd"/>
      <w:r w:rsidR="00F8438F" w:rsidRPr="00F8438F">
        <w:rPr>
          <w:rFonts w:ascii="Times New Roman" w:eastAsia="Times New Roman" w:hAnsi="Times New Roman" w:cs="Times New Roman"/>
          <w:color w:val="000000"/>
        </w:rPr>
        <w:t xml:space="preserve"> of the cross-section elements in 150 years</w:t>
      </w:r>
      <w:r w:rsidR="00377BB5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06A6A" w:rsidRDefault="00356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Conclusion</w:t>
      </w:r>
    </w:p>
    <w:p w:rsidR="00E06A6A" w:rsidRDefault="00F8438F" w:rsidP="00F8438F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8438F">
        <w:rPr>
          <w:rFonts w:ascii="Times New Roman" w:eastAsia="Times New Roman" w:hAnsi="Times New Roman" w:cs="Times New Roman"/>
          <w:color w:val="000000"/>
        </w:rPr>
        <w:t>It is quite demanding some more practical and straightforward formulation of historic timber buildings' service life in Indonesia</w:t>
      </w:r>
      <w:r w:rsidR="003564E0">
        <w:rPr>
          <w:rFonts w:ascii="Times New Roman" w:eastAsia="Times New Roman" w:hAnsi="Times New Roman" w:cs="Times New Roman"/>
          <w:color w:val="000000"/>
        </w:rPr>
        <w:t>.</w:t>
      </w:r>
      <w:r w:rsidR="00604CF6">
        <w:rPr>
          <w:rFonts w:ascii="Times New Roman" w:eastAsia="Times New Roman" w:hAnsi="Times New Roman" w:cs="Times New Roman"/>
          <w:color w:val="000000"/>
        </w:rPr>
        <w:t xml:space="preserve"> </w:t>
      </w:r>
      <w:r w:rsidR="001743F6">
        <w:rPr>
          <w:rFonts w:ascii="Times New Roman" w:eastAsia="Times New Roman" w:hAnsi="Times New Roman" w:cs="Times New Roman"/>
          <w:color w:val="000000"/>
        </w:rPr>
        <w:t xml:space="preserve">It is required to </w:t>
      </w:r>
      <w:r w:rsidR="001743F6" w:rsidRPr="00E66AA8">
        <w:rPr>
          <w:rFonts w:ascii="Times New Roman" w:eastAsia="Times New Roman" w:hAnsi="Times New Roman" w:cs="Times New Roman"/>
          <w:color w:val="000000"/>
        </w:rPr>
        <w:t>dete</w:t>
      </w:r>
      <w:r w:rsidR="001743F6">
        <w:rPr>
          <w:rFonts w:ascii="Times New Roman" w:eastAsia="Times New Roman" w:hAnsi="Times New Roman" w:cs="Times New Roman"/>
          <w:color w:val="000000"/>
        </w:rPr>
        <w:t>rmine the time when the repair or</w:t>
      </w:r>
      <w:r w:rsidR="001743F6" w:rsidRPr="00E66AA8">
        <w:rPr>
          <w:rFonts w:ascii="Times New Roman" w:eastAsia="Times New Roman" w:hAnsi="Times New Roman" w:cs="Times New Roman"/>
          <w:color w:val="000000"/>
        </w:rPr>
        <w:t xml:space="preserve"> replacement</w:t>
      </w:r>
      <w:r w:rsidR="001743F6">
        <w:rPr>
          <w:rFonts w:ascii="Times New Roman" w:eastAsia="Times New Roman" w:hAnsi="Times New Roman" w:cs="Times New Roman"/>
          <w:color w:val="000000"/>
        </w:rPr>
        <w:t xml:space="preserve"> </w:t>
      </w:r>
      <w:r w:rsidR="00C27B49">
        <w:rPr>
          <w:rFonts w:ascii="Times New Roman" w:eastAsia="Times New Roman" w:hAnsi="Times New Roman" w:cs="Times New Roman"/>
          <w:color w:val="000000"/>
        </w:rPr>
        <w:t>has</w:t>
      </w:r>
      <w:r w:rsidR="001743F6">
        <w:rPr>
          <w:rFonts w:ascii="Times New Roman" w:eastAsia="Times New Roman" w:hAnsi="Times New Roman" w:cs="Times New Roman"/>
          <w:color w:val="000000"/>
        </w:rPr>
        <w:t xml:space="preserve"> to be done. </w:t>
      </w:r>
      <w:r w:rsidRPr="00F8438F">
        <w:rPr>
          <w:rFonts w:ascii="Times New Roman" w:eastAsia="Times New Roman" w:hAnsi="Times New Roman" w:cs="Times New Roman"/>
          <w:color w:val="000000"/>
        </w:rPr>
        <w:t xml:space="preserve">The numerical simulation of the decay depth for </w:t>
      </w:r>
      <w:proofErr w:type="spellStart"/>
      <w:r w:rsidRPr="00F8438F">
        <w:rPr>
          <w:rFonts w:ascii="Times New Roman" w:eastAsia="Times New Roman" w:hAnsi="Times New Roman" w:cs="Times New Roman"/>
          <w:color w:val="000000"/>
        </w:rPr>
        <w:t>Kadariah</w:t>
      </w:r>
      <w:proofErr w:type="spellEnd"/>
      <w:r w:rsidRPr="00F8438F">
        <w:rPr>
          <w:rFonts w:ascii="Times New Roman" w:eastAsia="Times New Roman" w:hAnsi="Times New Roman" w:cs="Times New Roman"/>
          <w:color w:val="000000"/>
        </w:rPr>
        <w:t xml:space="preserve"> Palace shows that the main structural elements will reach the cross-section </w:t>
      </w:r>
      <w:proofErr w:type="spellStart"/>
      <w:r w:rsidRPr="00F8438F">
        <w:rPr>
          <w:rFonts w:ascii="Times New Roman" w:eastAsia="Times New Roman" w:hAnsi="Times New Roman" w:cs="Times New Roman"/>
          <w:color w:val="000000"/>
        </w:rPr>
        <w:t>center</w:t>
      </w:r>
      <w:proofErr w:type="spellEnd"/>
      <w:r w:rsidRPr="00F8438F">
        <w:rPr>
          <w:rFonts w:ascii="Times New Roman" w:eastAsia="Times New Roman" w:hAnsi="Times New Roman" w:cs="Times New Roman"/>
          <w:color w:val="000000"/>
        </w:rPr>
        <w:t xml:space="preserve"> in 150 years (around the year 1920)</w:t>
      </w:r>
      <w:r w:rsidR="00A62A33">
        <w:rPr>
          <w:rFonts w:ascii="Times New Roman" w:eastAsia="Times New Roman" w:hAnsi="Times New Roman" w:cs="Times New Roman"/>
          <w:color w:val="000000"/>
        </w:rPr>
        <w:t xml:space="preserve">. This condition </w:t>
      </w:r>
      <w:r w:rsidR="00BE0878">
        <w:rPr>
          <w:rFonts w:ascii="Times New Roman" w:eastAsia="Times New Roman" w:hAnsi="Times New Roman" w:cs="Times New Roman"/>
          <w:color w:val="000000"/>
        </w:rPr>
        <w:t>indeed</w:t>
      </w:r>
      <w:r w:rsidR="00A62A33">
        <w:rPr>
          <w:rFonts w:ascii="Times New Roman" w:eastAsia="Times New Roman" w:hAnsi="Times New Roman" w:cs="Times New Roman"/>
          <w:color w:val="000000"/>
        </w:rPr>
        <w:t xml:space="preserve"> threaten</w:t>
      </w:r>
      <w:r w:rsidR="008C4B97">
        <w:rPr>
          <w:rFonts w:ascii="Times New Roman" w:eastAsia="Times New Roman" w:hAnsi="Times New Roman" w:cs="Times New Roman"/>
          <w:color w:val="000000"/>
        </w:rPr>
        <w:t>s</w:t>
      </w:r>
      <w:r w:rsidR="00A62A33">
        <w:rPr>
          <w:rFonts w:ascii="Times New Roman" w:eastAsia="Times New Roman" w:hAnsi="Times New Roman" w:cs="Times New Roman"/>
          <w:color w:val="000000"/>
        </w:rPr>
        <w:t xml:space="preserve"> the stability and the safety of the building. The fact that the building remain</w:t>
      </w:r>
      <w:r w:rsidR="00257B0A">
        <w:rPr>
          <w:rFonts w:ascii="Times New Roman" w:eastAsia="Times New Roman" w:hAnsi="Times New Roman" w:cs="Times New Roman"/>
          <w:color w:val="000000"/>
        </w:rPr>
        <w:t>s</w:t>
      </w:r>
      <w:r w:rsidR="00A62A33">
        <w:rPr>
          <w:rFonts w:ascii="Times New Roman" w:eastAsia="Times New Roman" w:hAnsi="Times New Roman" w:cs="Times New Roman"/>
          <w:color w:val="000000"/>
        </w:rPr>
        <w:t xml:space="preserve"> </w:t>
      </w:r>
      <w:r w:rsidR="00BE0878">
        <w:rPr>
          <w:rFonts w:ascii="Times New Roman" w:eastAsia="Times New Roman" w:hAnsi="Times New Roman" w:cs="Times New Roman"/>
          <w:color w:val="000000"/>
        </w:rPr>
        <w:t xml:space="preserve">to </w:t>
      </w:r>
      <w:r w:rsidR="008C4B97">
        <w:rPr>
          <w:rFonts w:ascii="Times New Roman" w:eastAsia="Times New Roman" w:hAnsi="Times New Roman" w:cs="Times New Roman"/>
          <w:color w:val="000000"/>
        </w:rPr>
        <w:t xml:space="preserve">stand nowadays is due to the additional width and thickness </w:t>
      </w:r>
      <w:r w:rsidR="004D4D02">
        <w:rPr>
          <w:rFonts w:ascii="Times New Roman" w:eastAsia="Times New Roman" w:hAnsi="Times New Roman" w:cs="Times New Roman"/>
          <w:color w:val="000000"/>
        </w:rPr>
        <w:t>of</w:t>
      </w:r>
      <w:r w:rsidR="008C4B97">
        <w:rPr>
          <w:rFonts w:ascii="Times New Roman" w:eastAsia="Times New Roman" w:hAnsi="Times New Roman" w:cs="Times New Roman"/>
          <w:color w:val="000000"/>
        </w:rPr>
        <w:t xml:space="preserve"> the existing structural elements cross-section. The </w:t>
      </w:r>
      <w:r w:rsidR="00257B0A">
        <w:rPr>
          <w:rFonts w:ascii="Times New Roman" w:eastAsia="Times New Roman" w:hAnsi="Times New Roman" w:cs="Times New Roman"/>
          <w:color w:val="000000"/>
        </w:rPr>
        <w:t xml:space="preserve">other reason is </w:t>
      </w:r>
      <w:r w:rsidR="00B8518D">
        <w:rPr>
          <w:rFonts w:ascii="Times New Roman" w:eastAsia="Times New Roman" w:hAnsi="Times New Roman" w:cs="Times New Roman"/>
          <w:color w:val="000000"/>
        </w:rPr>
        <w:t xml:space="preserve">due to </w:t>
      </w:r>
      <w:r w:rsidR="004D4D02">
        <w:rPr>
          <w:rFonts w:ascii="Times New Roman" w:eastAsia="Times New Roman" w:hAnsi="Times New Roman" w:cs="Times New Roman"/>
          <w:color w:val="000000"/>
        </w:rPr>
        <w:t xml:space="preserve">the </w:t>
      </w:r>
      <w:r w:rsidR="00B8518D">
        <w:rPr>
          <w:rFonts w:ascii="Times New Roman" w:eastAsia="Times New Roman" w:hAnsi="Times New Roman" w:cs="Times New Roman"/>
          <w:color w:val="000000"/>
        </w:rPr>
        <w:t>application of weather shield</w:t>
      </w:r>
      <w:r w:rsidR="008C4B97">
        <w:rPr>
          <w:rFonts w:ascii="Times New Roman" w:eastAsia="Times New Roman" w:hAnsi="Times New Roman" w:cs="Times New Roman"/>
          <w:color w:val="000000"/>
        </w:rPr>
        <w:t xml:space="preserve"> </w:t>
      </w:r>
      <w:r w:rsidR="00B8518D">
        <w:rPr>
          <w:rFonts w:ascii="Times New Roman" w:eastAsia="Times New Roman" w:hAnsi="Times New Roman" w:cs="Times New Roman"/>
          <w:color w:val="000000"/>
        </w:rPr>
        <w:t>paint on the surface of structural elements periodically in recent time</w:t>
      </w:r>
      <w:r w:rsidR="00A620EE">
        <w:rPr>
          <w:rFonts w:ascii="Times New Roman" w:eastAsia="Times New Roman" w:hAnsi="Times New Roman" w:cs="Times New Roman"/>
          <w:color w:val="000000"/>
        </w:rPr>
        <w:t>s</w:t>
      </w:r>
      <w:r w:rsidR="00B8518D">
        <w:rPr>
          <w:rFonts w:ascii="Times New Roman" w:eastAsia="Times New Roman" w:hAnsi="Times New Roman" w:cs="Times New Roman"/>
          <w:color w:val="000000"/>
        </w:rPr>
        <w:t>.</w:t>
      </w:r>
      <w:r w:rsidR="00A62A3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06A6A" w:rsidRDefault="00E06A6A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E06A6A" w:rsidRDefault="003564E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Acknowledgments</w:t>
      </w:r>
    </w:p>
    <w:p w:rsidR="00E06A6A" w:rsidRDefault="003E466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Authors wish</w:t>
      </w:r>
      <w:r w:rsidRPr="003E4666">
        <w:rPr>
          <w:rFonts w:ascii="Times New Roman" w:eastAsia="Times New Roman" w:hAnsi="Times New Roman" w:cs="Times New Roman"/>
          <w:color w:val="000000"/>
        </w:rPr>
        <w:t xml:space="preserve"> to acknowledge financial support from DIPA </w:t>
      </w:r>
      <w:proofErr w:type="spellStart"/>
      <w:r w:rsidRPr="003E4666">
        <w:rPr>
          <w:rFonts w:ascii="Times New Roman" w:eastAsia="Times New Roman" w:hAnsi="Times New Roman" w:cs="Times New Roman"/>
          <w:color w:val="000000"/>
        </w:rPr>
        <w:t>Polnep</w:t>
      </w:r>
      <w:proofErr w:type="spellEnd"/>
      <w:r w:rsidRPr="003E4666">
        <w:rPr>
          <w:rFonts w:ascii="Times New Roman" w:eastAsia="Times New Roman" w:hAnsi="Times New Roman" w:cs="Times New Roman"/>
          <w:color w:val="000000"/>
        </w:rPr>
        <w:t xml:space="preserve"> fiscal year 2020. The assistance or encouragements from colleagues and extraor</w:t>
      </w:r>
      <w:r w:rsidR="00DD1674">
        <w:rPr>
          <w:rFonts w:ascii="Times New Roman" w:eastAsia="Times New Roman" w:hAnsi="Times New Roman" w:cs="Times New Roman"/>
          <w:color w:val="000000"/>
        </w:rPr>
        <w:t>dinary works by technical staff</w:t>
      </w:r>
      <w:r w:rsidRPr="003E4666">
        <w:rPr>
          <w:rFonts w:ascii="Times New Roman" w:eastAsia="Times New Roman" w:hAnsi="Times New Roman" w:cs="Times New Roman"/>
          <w:color w:val="000000"/>
        </w:rPr>
        <w:t xml:space="preserve"> are also gratefully acknowledged</w:t>
      </w:r>
      <w:r w:rsidR="003564E0">
        <w:rPr>
          <w:rFonts w:ascii="Times New Roman" w:eastAsia="Times New Roman" w:hAnsi="Times New Roman" w:cs="Times New Roman"/>
          <w:color w:val="000000"/>
        </w:rPr>
        <w:t>.</w:t>
      </w:r>
    </w:p>
    <w:p w:rsidR="00E06A6A" w:rsidRDefault="00E06A6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06A6A" w:rsidRDefault="00356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References </w:t>
      </w:r>
    </w:p>
    <w:p w:rsidR="00F2454C" w:rsidRDefault="00F2454C" w:rsidP="00F2454C">
      <w:pPr>
        <w:pStyle w:val="Bibliography"/>
        <w:rPr>
          <w:noProof/>
          <w:vanish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lang w:val="en-US"/>
        </w:rPr>
        <w:instrText xml:space="preserve"> BIBLIOGRAPHY  \l 1033 </w:instrText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noProof/>
          <w:vanish/>
        </w:rPr>
        <w:t>x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8718"/>
      </w:tblGrid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</w:rPr>
              <w:t>van de Kuilen JW. Service life modelling of timber structures. Materials and Structures. 2007; 40.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2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  <w:lang w:val="de-DE"/>
              </w:rPr>
              <w:t xml:space="preserve">Viitanen H, Toratti T, Makkonen L, Peuhkuri R, Ojanen T, Ruokolainen L, et al. </w:t>
            </w:r>
            <w:r w:rsidRPr="00F2454C">
              <w:rPr>
                <w:rFonts w:ascii="Times New Roman" w:hAnsi="Times New Roman" w:cs="Times New Roman"/>
                <w:noProof/>
              </w:rPr>
              <w:t>Towards modeling of decay risk of wooden materials. European Journal of Wood and Wood Products. 2010; 68.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3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</w:rPr>
              <w:t>Nofal M, Kumaran K. Biological damage function models for durability assessments of wood and wood-based products in building envelopes. European Journal of Wood and Wood Products. 2011; 69.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4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</w:rPr>
              <w:t>Zelinka SL, Derome D, Glass SV. Combining hygrothermal and corrosion models to predict corrosion of metal fasteners embedded in wood. Building and Environment. 2011; 46.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5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</w:rPr>
              <w:t>Saito H, Fukuda K, Sawachi T. Integration model of hygrothermal analysis with decay process for durability assessment of building envelopes. Building Simulation. 2012; 5.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6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  <w:lang w:val="de-DE"/>
              </w:rPr>
              <w:t xml:space="preserve">Wang CH, Leicester RH, Nguyen MN. </w:t>
            </w:r>
            <w:r w:rsidRPr="00F2454C">
              <w:rPr>
                <w:rFonts w:ascii="Times New Roman" w:hAnsi="Times New Roman" w:cs="Times New Roman"/>
                <w:noProof/>
              </w:rPr>
              <w:t>Manual 4 – Decay above- ground. Victoria: Forest and Wood Products Australia Limited (CSIRO Sustainable Ecosystems); 2008.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7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  <w:lang w:val="de-DE"/>
              </w:rPr>
              <w:t xml:space="preserve">MacKenzie C, Wang CH, Leicester RH, Foliente GC, Nguyen MN. </w:t>
            </w:r>
            <w:r w:rsidRPr="00F2454C">
              <w:rPr>
                <w:rFonts w:ascii="Times New Roman" w:hAnsi="Times New Roman" w:cs="Times New Roman"/>
                <w:noProof/>
              </w:rPr>
              <w:t>Timber service life design - Design guide for durability (Revised Version). Victoria: Forest and Wood Products Australia Limited; 2013.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8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</w:rPr>
              <w:t>Bornemann T, Brischke C, Alfredsen G. Decay of wooden commodities – moisture risk analysis, service life prediction and performance assessments in the field. Wood Material Science and Engineering. 2014; 9.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9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</w:rPr>
              <w:t>Kutnik M, Suttie E, Brischke C. European standards on durability and performance of wood and wood-based products – Trends and challenges. Wood Material Science and Engineering. 2014; 9.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10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</w:rPr>
              <w:t>Meyer-Veltrup L, Brischke C, Niklewski J, Hansson EF. Design and performance prediction of timber bridges based on a factorization approach. Wood material science &amp; engineering. 2018; 13.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11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</w:rPr>
              <w:t>Prabowo H, Hilmy M. An overview of durability model for timber structure decay under Indonesian climate. In IOP Conf. Series: Earth and Environmental Science; 2019: IOP Publishing.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12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  <w:lang w:val="de-DE"/>
              </w:rPr>
              <w:t xml:space="preserve">BPS. Provinsi Kalimantan Barat dalam Angka 2020. </w:t>
            </w:r>
            <w:r w:rsidRPr="00F2454C">
              <w:rPr>
                <w:rFonts w:ascii="Times New Roman" w:hAnsi="Times New Roman" w:cs="Times New Roman"/>
                <w:noProof/>
              </w:rPr>
              <w:t>Pontianak: Badan Pusat Statistik.</w:t>
            </w:r>
          </w:p>
        </w:tc>
      </w:tr>
      <w:tr w:rsidR="00F2454C" w:rsidRPr="00F2454C" w:rsidTr="00DF66E8">
        <w:trPr>
          <w:tblCellSpacing w:w="15" w:type="dxa"/>
        </w:trPr>
        <w:tc>
          <w:tcPr>
            <w:tcW w:w="0" w:type="auto"/>
            <w:hideMark/>
          </w:tcPr>
          <w:p w:rsidR="00F2454C" w:rsidRPr="00F2454C" w:rsidRDefault="00DF66E8" w:rsidP="00DF66E8">
            <w:pPr>
              <w:pStyle w:val="Bibliography"/>
              <w:spacing w:after="0" w:line="240" w:lineRule="auto"/>
              <w:rPr>
                <w:rFonts w:ascii="Times New Roman" w:eastAsiaTheme="minorEastAsia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[</w:t>
            </w:r>
            <w:r w:rsidR="00F2454C" w:rsidRPr="00F2454C">
              <w:rPr>
                <w:rFonts w:ascii="Times New Roman" w:hAnsi="Times New Roman" w:cs="Times New Roman"/>
                <w:noProof/>
              </w:rPr>
              <w:t>13</w:t>
            </w:r>
            <w:r>
              <w:rPr>
                <w:rFonts w:ascii="Times New Roman" w:hAnsi="Times New Roman" w:cs="Times New Roman"/>
                <w:noProof/>
              </w:rPr>
              <w:t>]</w:t>
            </w:r>
          </w:p>
        </w:tc>
        <w:tc>
          <w:tcPr>
            <w:tcW w:w="0" w:type="auto"/>
            <w:hideMark/>
          </w:tcPr>
          <w:p w:rsidR="00F2454C" w:rsidRPr="00F2454C" w:rsidRDefault="00F2454C" w:rsidP="00DF66E8">
            <w:pPr>
              <w:pStyle w:val="Bibliography"/>
              <w:spacing w:after="0" w:line="240" w:lineRule="auto"/>
              <w:ind w:left="232"/>
              <w:jc w:val="both"/>
              <w:rPr>
                <w:rFonts w:ascii="Times New Roman" w:eastAsiaTheme="minorEastAsia" w:hAnsi="Times New Roman" w:cs="Times New Roman"/>
                <w:noProof/>
              </w:rPr>
            </w:pPr>
            <w:r w:rsidRPr="00F2454C">
              <w:rPr>
                <w:rFonts w:ascii="Times New Roman" w:hAnsi="Times New Roman" w:cs="Times New Roman"/>
                <w:noProof/>
              </w:rPr>
              <w:t>ASTM. ASTM F2170 - 16b Standard Test Method for Determining Relative Humidity Using in situ Probes. West Conshohocken, PA:; 2016.</w:t>
            </w:r>
          </w:p>
        </w:tc>
      </w:tr>
    </w:tbl>
    <w:p w:rsidR="00F2454C" w:rsidRDefault="00F2454C" w:rsidP="00F2454C">
      <w:pPr>
        <w:pStyle w:val="Bibliography"/>
        <w:rPr>
          <w:rFonts w:eastAsiaTheme="minorEastAsia"/>
          <w:noProof/>
          <w:vanish/>
        </w:rPr>
      </w:pPr>
      <w:r>
        <w:rPr>
          <w:noProof/>
          <w:vanish/>
        </w:rPr>
        <w:t>x</w:t>
      </w:r>
    </w:p>
    <w:p w:rsidR="00E86FC1" w:rsidRDefault="00F2454C" w:rsidP="00F245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fldChar w:fldCharType="end"/>
      </w:r>
    </w:p>
    <w:p w:rsidR="00F2454C" w:rsidRDefault="00F245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5617F" w:rsidRDefault="003F0374" w:rsidP="0085617F">
      <w:pPr>
        <w:pStyle w:val="Bibliography"/>
        <w:rPr>
          <w:noProof/>
          <w:vanish/>
        </w:rPr>
      </w:pPr>
      <w:r>
        <w:rPr>
          <w:rFonts w:ascii="Times New Roman" w:eastAsia="Times New Roman" w:hAnsi="Times New Roman" w:cs="Times New Roman"/>
          <w:color w:val="000000"/>
        </w:rPr>
        <w:fldChar w:fldCharType="begin"/>
      </w:r>
      <w:r w:rsidR="0085617F">
        <w:rPr>
          <w:rFonts w:ascii="Times New Roman" w:eastAsia="Times New Roman" w:hAnsi="Times New Roman" w:cs="Times New Roman"/>
          <w:color w:val="000000"/>
          <w:lang w:val="en-US"/>
        </w:rPr>
        <w:instrText xml:space="preserve"> BIBLIOGRAPHY  \l 1033 </w:instrText>
      </w:r>
      <w:r>
        <w:rPr>
          <w:rFonts w:ascii="Times New Roman" w:eastAsia="Times New Roman" w:hAnsi="Times New Roman" w:cs="Times New Roman"/>
          <w:color w:val="000000"/>
        </w:rPr>
        <w:fldChar w:fldCharType="separate"/>
      </w:r>
      <w:r w:rsidR="0085617F">
        <w:rPr>
          <w:noProof/>
          <w:vanish/>
        </w:rPr>
        <w:t>x</w:t>
      </w:r>
    </w:p>
    <w:p w:rsidR="0085617F" w:rsidRDefault="0085617F" w:rsidP="0085617F">
      <w:pPr>
        <w:pStyle w:val="Bibliography"/>
        <w:rPr>
          <w:rFonts w:eastAsiaTheme="minorEastAsia"/>
          <w:noProof/>
          <w:vanish/>
        </w:rPr>
      </w:pPr>
      <w:r>
        <w:rPr>
          <w:noProof/>
          <w:vanish/>
        </w:rPr>
        <w:t>x</w:t>
      </w:r>
    </w:p>
    <w:p w:rsidR="00E06A6A" w:rsidRDefault="003F0374" w:rsidP="0085617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fldChar w:fldCharType="end"/>
      </w:r>
    </w:p>
    <w:p w:rsidR="00E06A6A" w:rsidRDefault="00E06A6A">
      <w:pPr>
        <w:spacing w:after="240"/>
        <w:rPr>
          <w:rFonts w:ascii="Times New Roman" w:eastAsia="Times New Roman" w:hAnsi="Times New Roman" w:cs="Times New Roman"/>
          <w:b/>
        </w:rPr>
      </w:pPr>
    </w:p>
    <w:sectPr w:rsidR="00E06A6A" w:rsidSect="00E06A6A">
      <w:pgSz w:w="11906" w:h="16838"/>
      <w:pgMar w:top="2268" w:right="1418" w:bottom="1531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17B8"/>
    <w:multiLevelType w:val="multilevel"/>
    <w:tmpl w:val="41C6D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B800C2E"/>
    <w:multiLevelType w:val="multilevel"/>
    <w:tmpl w:val="F4029F90"/>
    <w:lvl w:ilvl="0">
      <w:start w:val="1"/>
      <w:numFmt w:val="decimal"/>
      <w:pStyle w:val="Bulle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sectio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subsectio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06A6A"/>
    <w:rsid w:val="00005363"/>
    <w:rsid w:val="00013D88"/>
    <w:rsid w:val="0004727C"/>
    <w:rsid w:val="000D2881"/>
    <w:rsid w:val="00147831"/>
    <w:rsid w:val="001743F6"/>
    <w:rsid w:val="00193828"/>
    <w:rsid w:val="001D5141"/>
    <w:rsid w:val="00220CAA"/>
    <w:rsid w:val="00257B0A"/>
    <w:rsid w:val="00265B61"/>
    <w:rsid w:val="00296152"/>
    <w:rsid w:val="002A0BC2"/>
    <w:rsid w:val="002F425C"/>
    <w:rsid w:val="0035187B"/>
    <w:rsid w:val="003564E0"/>
    <w:rsid w:val="00377BB5"/>
    <w:rsid w:val="003E4666"/>
    <w:rsid w:val="003F0374"/>
    <w:rsid w:val="003F1DA2"/>
    <w:rsid w:val="0042301C"/>
    <w:rsid w:val="004505EB"/>
    <w:rsid w:val="004516C7"/>
    <w:rsid w:val="004C49C8"/>
    <w:rsid w:val="004D4D02"/>
    <w:rsid w:val="0058769D"/>
    <w:rsid w:val="00604CF6"/>
    <w:rsid w:val="0060730A"/>
    <w:rsid w:val="006778A6"/>
    <w:rsid w:val="006A7A69"/>
    <w:rsid w:val="007969DC"/>
    <w:rsid w:val="007A3E03"/>
    <w:rsid w:val="007B578B"/>
    <w:rsid w:val="007D0D1E"/>
    <w:rsid w:val="007E0321"/>
    <w:rsid w:val="007F0F66"/>
    <w:rsid w:val="008322EB"/>
    <w:rsid w:val="0085617F"/>
    <w:rsid w:val="00897D7A"/>
    <w:rsid w:val="008C4B97"/>
    <w:rsid w:val="009902D6"/>
    <w:rsid w:val="009E76A5"/>
    <w:rsid w:val="00A620EE"/>
    <w:rsid w:val="00A62A33"/>
    <w:rsid w:val="00A977EB"/>
    <w:rsid w:val="00AE6790"/>
    <w:rsid w:val="00B07A8A"/>
    <w:rsid w:val="00B13E2D"/>
    <w:rsid w:val="00B25458"/>
    <w:rsid w:val="00B41D30"/>
    <w:rsid w:val="00B84FE7"/>
    <w:rsid w:val="00B8518D"/>
    <w:rsid w:val="00BE0878"/>
    <w:rsid w:val="00C01E47"/>
    <w:rsid w:val="00C27B49"/>
    <w:rsid w:val="00C63C5C"/>
    <w:rsid w:val="00C821B6"/>
    <w:rsid w:val="00CA27D2"/>
    <w:rsid w:val="00CB38C1"/>
    <w:rsid w:val="00D00EB1"/>
    <w:rsid w:val="00D16463"/>
    <w:rsid w:val="00D349BD"/>
    <w:rsid w:val="00DC1023"/>
    <w:rsid w:val="00DD1674"/>
    <w:rsid w:val="00DF66E8"/>
    <w:rsid w:val="00E04B61"/>
    <w:rsid w:val="00E06A6A"/>
    <w:rsid w:val="00E277F9"/>
    <w:rsid w:val="00E37D08"/>
    <w:rsid w:val="00E41130"/>
    <w:rsid w:val="00E55759"/>
    <w:rsid w:val="00E66AA8"/>
    <w:rsid w:val="00E8333F"/>
    <w:rsid w:val="00E86FC1"/>
    <w:rsid w:val="00EA3CDD"/>
    <w:rsid w:val="00EA57B1"/>
    <w:rsid w:val="00EF67AF"/>
    <w:rsid w:val="00EF77E0"/>
    <w:rsid w:val="00F2454C"/>
    <w:rsid w:val="00F833CE"/>
    <w:rsid w:val="00F8438F"/>
    <w:rsid w:val="00FA1D89"/>
    <w:rsid w:val="00FC168E"/>
    <w:rsid w:val="00FF016B"/>
    <w:rsid w:val="00FF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6A"/>
  </w:style>
  <w:style w:type="paragraph" w:styleId="Heading1">
    <w:name w:val="heading 1"/>
    <w:basedOn w:val="normal0"/>
    <w:next w:val="normal0"/>
    <w:rsid w:val="00E06A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06A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06A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06A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06A6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06A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6A6A"/>
  </w:style>
  <w:style w:type="paragraph" w:styleId="Title">
    <w:name w:val="Title"/>
    <w:basedOn w:val="normal0"/>
    <w:next w:val="normal0"/>
    <w:rsid w:val="00E06A6A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95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1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1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1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1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1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139"/>
    <w:rPr>
      <w:rFonts w:ascii="Tahoma" w:hAnsi="Tahoma" w:cs="Tahoma"/>
      <w:sz w:val="16"/>
      <w:szCs w:val="16"/>
    </w:rPr>
  </w:style>
  <w:style w:type="paragraph" w:customStyle="1" w:styleId="BodyChar">
    <w:name w:val="Body Char"/>
    <w:link w:val="BodyCharChar"/>
    <w:rsid w:val="00964139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</w:rPr>
  </w:style>
  <w:style w:type="character" w:customStyle="1" w:styleId="BodyCharChar">
    <w:name w:val="Body Char Char"/>
    <w:link w:val="BodyChar"/>
    <w:rsid w:val="00964139"/>
    <w:rPr>
      <w:rFonts w:ascii="Times" w:eastAsia="Times New Roman" w:hAnsi="Times" w:cs="Times New Roman"/>
      <w:color w:val="000000"/>
      <w:lang w:eastAsia="en-US"/>
    </w:rPr>
  </w:style>
  <w:style w:type="paragraph" w:customStyle="1" w:styleId="StyleBodyCharNotBoldItalic">
    <w:name w:val="Style Body Char + Not Bold Italic"/>
    <w:link w:val="StyleBodyCharNotBoldItalicChar"/>
    <w:semiHidden/>
    <w:rsid w:val="0096413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StyleBodyCharNotBoldItalicChar">
    <w:name w:val="Style Body Char + Not Bold Italic Char"/>
    <w:link w:val="StyleBodyCharNotBoldItalic"/>
    <w:semiHidden/>
    <w:rsid w:val="00964139"/>
    <w:rPr>
      <w:rFonts w:ascii="Times New Roman" w:eastAsia="Times New Roman" w:hAnsi="Times New Roman" w:cs="Times New Roman"/>
      <w:i/>
      <w:iCs/>
      <w:color w:val="000000"/>
      <w:lang w:eastAsia="en-US"/>
    </w:rPr>
  </w:style>
  <w:style w:type="paragraph" w:customStyle="1" w:styleId="BodyIndent">
    <w:name w:val="BodyIndent"/>
    <w:basedOn w:val="Normal"/>
    <w:link w:val="BodyIndentChar"/>
    <w:autoRedefine/>
    <w:rsid w:val="00964139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</w:rPr>
  </w:style>
  <w:style w:type="paragraph" w:customStyle="1" w:styleId="Bulleted">
    <w:name w:val="Bulleted"/>
    <w:rsid w:val="00964139"/>
    <w:pPr>
      <w:numPr>
        <w:numId w:val="2"/>
      </w:numPr>
      <w:spacing w:after="0" w:line="240" w:lineRule="auto"/>
      <w:jc w:val="both"/>
    </w:pPr>
    <w:rPr>
      <w:rFonts w:ascii="Times" w:eastAsia="Times New Roman" w:hAnsi="Times" w:cs="Times New Roman"/>
      <w:color w:val="000000"/>
    </w:rPr>
  </w:style>
  <w:style w:type="character" w:customStyle="1" w:styleId="BodyIndentChar">
    <w:name w:val="BodyIndent Char"/>
    <w:link w:val="BodyIndent"/>
    <w:rsid w:val="00964139"/>
    <w:rPr>
      <w:rFonts w:ascii="Times" w:eastAsia="Times New Roman" w:hAnsi="Times" w:cs="Times New Roman"/>
      <w:color w:val="000000"/>
      <w:lang w:eastAsia="en-US"/>
    </w:rPr>
  </w:style>
  <w:style w:type="paragraph" w:customStyle="1" w:styleId="TableCaptionCentred">
    <w:name w:val="Table.Caption.Centred"/>
    <w:basedOn w:val="Normal"/>
    <w:autoRedefine/>
    <w:rsid w:val="00964139"/>
    <w:pPr>
      <w:spacing w:after="120" w:line="240" w:lineRule="auto"/>
      <w:jc w:val="center"/>
    </w:pPr>
    <w:rPr>
      <w:rFonts w:ascii="Times" w:eastAsia="Times New Roman" w:hAnsi="Times" w:cs="Times New Roman"/>
      <w:color w:val="000000"/>
    </w:rPr>
  </w:style>
  <w:style w:type="paragraph" w:customStyle="1" w:styleId="subsection">
    <w:name w:val="subsection"/>
    <w:rsid w:val="0022553C"/>
    <w:pPr>
      <w:numPr>
        <w:ilvl w:val="1"/>
        <w:numId w:val="3"/>
      </w:numPr>
      <w:tabs>
        <w:tab w:val="left" w:pos="567"/>
      </w:tabs>
      <w:spacing w:before="240" w:after="0" w:line="240" w:lineRule="auto"/>
    </w:pPr>
    <w:rPr>
      <w:rFonts w:ascii="Times" w:eastAsia="Times New Roman" w:hAnsi="Times" w:cs="Times New Roman"/>
      <w:i/>
      <w:iCs/>
      <w:color w:val="000000"/>
      <w:lang w:val="en-US"/>
    </w:rPr>
  </w:style>
  <w:style w:type="paragraph" w:customStyle="1" w:styleId="section">
    <w:name w:val="section"/>
    <w:autoRedefine/>
    <w:rsid w:val="0022553C"/>
    <w:pPr>
      <w:tabs>
        <w:tab w:val="left" w:pos="567"/>
        <w:tab w:val="num" w:pos="720"/>
      </w:tabs>
      <w:spacing w:before="240" w:after="0" w:line="240" w:lineRule="auto"/>
      <w:ind w:left="720" w:hanging="720"/>
    </w:pPr>
    <w:rPr>
      <w:rFonts w:ascii="Times" w:eastAsia="Times New Roman" w:hAnsi="Times" w:cs="Times New Roman"/>
      <w:b/>
      <w:color w:val="000000"/>
    </w:rPr>
  </w:style>
  <w:style w:type="paragraph" w:customStyle="1" w:styleId="subsubsection">
    <w:name w:val="subsubsection"/>
    <w:link w:val="subsubsectionChar"/>
    <w:autoRedefine/>
    <w:rsid w:val="0022553C"/>
    <w:pPr>
      <w:numPr>
        <w:ilvl w:val="2"/>
        <w:numId w:val="3"/>
      </w:numPr>
      <w:tabs>
        <w:tab w:val="left" w:pos="567"/>
      </w:tabs>
      <w:spacing w:before="240" w:after="0" w:line="240" w:lineRule="auto"/>
      <w:ind w:left="0" w:firstLine="0"/>
      <w:jc w:val="both"/>
    </w:pPr>
    <w:rPr>
      <w:rFonts w:ascii="Times" w:eastAsia="Times New Roman" w:hAnsi="Times" w:cs="Times New Roman"/>
      <w:i/>
      <w:iCs/>
      <w:color w:val="000000"/>
      <w:lang w:val="en-US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22553C"/>
    <w:rPr>
      <w:i w:val="0"/>
      <w:iCs w:val="0"/>
    </w:rPr>
  </w:style>
  <w:style w:type="character" w:customStyle="1" w:styleId="StylesubsubsectionNotItalic1CharChar">
    <w:name w:val="Style subsubsection + Not Italic1 Char Char"/>
    <w:basedOn w:val="DefaultParagraphFont"/>
    <w:link w:val="StylesubsubsectionNotItalic1Char"/>
    <w:rsid w:val="0022553C"/>
    <w:rPr>
      <w:rFonts w:ascii="Times" w:eastAsia="Times New Roman" w:hAnsi="Times" w:cs="Times New Roman"/>
      <w:color w:val="000000"/>
      <w:lang w:val="en-US" w:eastAsia="en-US"/>
    </w:rPr>
  </w:style>
  <w:style w:type="paragraph" w:customStyle="1" w:styleId="FigureCaption">
    <w:name w:val="FigureCaption"/>
    <w:rsid w:val="0022553C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</w:rPr>
  </w:style>
  <w:style w:type="paragraph" w:customStyle="1" w:styleId="TableCaption">
    <w:name w:val="Table.Caption"/>
    <w:rsid w:val="00806541"/>
    <w:pPr>
      <w:spacing w:after="120" w:line="240" w:lineRule="auto"/>
      <w:jc w:val="both"/>
    </w:pPr>
    <w:rPr>
      <w:rFonts w:ascii="Times" w:eastAsia="Times New Roman" w:hAnsi="Times" w:cs="Times New Roman"/>
      <w:color w:val="000000"/>
    </w:rPr>
  </w:style>
  <w:style w:type="character" w:customStyle="1" w:styleId="subsubsectionChar">
    <w:name w:val="subsubsection Char"/>
    <w:link w:val="subsubsection"/>
    <w:rsid w:val="00806541"/>
    <w:rPr>
      <w:rFonts w:ascii="Times" w:eastAsia="Times New Roman" w:hAnsi="Times" w:cs="Times New Roman"/>
      <w:i/>
      <w:iCs/>
      <w:color w:val="000000"/>
      <w:lang w:val="en-US" w:eastAsia="en-US"/>
    </w:rPr>
  </w:style>
  <w:style w:type="paragraph" w:customStyle="1" w:styleId="EQN">
    <w:name w:val="EQN"/>
    <w:basedOn w:val="BodyIndent"/>
    <w:autoRedefine/>
    <w:rsid w:val="00806541"/>
    <w:pPr>
      <w:tabs>
        <w:tab w:val="clear" w:pos="567"/>
        <w:tab w:val="center" w:pos="4820"/>
        <w:tab w:val="right" w:pos="9072"/>
      </w:tabs>
      <w:spacing w:before="120" w:after="120"/>
      <w:jc w:val="center"/>
    </w:pPr>
    <w:rPr>
      <w:lang w:val="en-US"/>
    </w:rPr>
  </w:style>
  <w:style w:type="paragraph" w:customStyle="1" w:styleId="Reference">
    <w:name w:val="Reference"/>
    <w:rsid w:val="002A7DEE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 New Roman"/>
      <w:color w:val="000000"/>
    </w:rPr>
  </w:style>
  <w:style w:type="character" w:customStyle="1" w:styleId="times">
    <w:name w:val="times"/>
    <w:basedOn w:val="DefaultParagraphFont"/>
    <w:semiHidden/>
    <w:rsid w:val="002A7DEE"/>
  </w:style>
  <w:style w:type="character" w:customStyle="1" w:styleId="times1">
    <w:name w:val="times1"/>
    <w:rsid w:val="002A7DEE"/>
    <w:rPr>
      <w:rFonts w:ascii="Times New Roman" w:hAnsi="Times New Roman" w:cs="Times New Roman" w:hint="default"/>
      <w:color w:val="000000"/>
      <w:sz w:val="24"/>
      <w:szCs w:val="24"/>
    </w:rPr>
  </w:style>
  <w:style w:type="paragraph" w:styleId="Subtitle">
    <w:name w:val="Subtitle"/>
    <w:basedOn w:val="Normal"/>
    <w:next w:val="Normal"/>
    <w:rsid w:val="00E06A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6A6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06A6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06A6A"/>
    <w:tblPr>
      <w:tblStyleRowBandSize w:val="1"/>
      <w:tblStyleColBandSize w:val="1"/>
      <w:tblInd w:w="0" w:type="dxa"/>
      <w:tblCellMar>
        <w:top w:w="40" w:type="dxa"/>
        <w:left w:w="0" w:type="dxa"/>
        <w:bottom w:w="40" w:type="dxa"/>
        <w:right w:w="0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561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" Type="http://schemas.openxmlformats.org/officeDocument/2006/relationships/numbering" Target="numbering.xml"/><Relationship Id="rId21" Type="http://schemas.openxmlformats.org/officeDocument/2006/relationships/image" Target="media/image10.e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4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3.e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2.e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DjsvCZYf9uXA01W5JTZUiHhgwA==">AMUW2mWhFPTa3yYEns90FMNkBYPIs4qDbTcVmMwzAJa5UE9oauodThUC833kR1xX4LPNx3MEOFkjwa3q2226RybQnVtkqigDLn1sBkm5JVzjIhSM3HL9sLsVU3RcHq2pvpq58q8B+0xm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Vancouver.XSL" StyleName="Vancouver">
  <b:Source>
    <b:Tag>van07</b:Tag>
    <b:SourceType>JournalArticle</b:SourceType>
    <b:Guid>{E385EB4D-AB61-44ED-AD7F-4876CD0AE194}</b:Guid>
    <b:LCID>0</b:LCID>
    <b:Author>
      <b:Author>
        <b:NameList>
          <b:Person>
            <b:Last>van de Kuilen</b:Last>
            <b:First>J</b:First>
            <b:Middle>W</b:Middle>
          </b:Person>
        </b:NameList>
      </b:Author>
    </b:Author>
    <b:Title>Service life modelling of timber structures</b:Title>
    <b:Year>2007</b:Year>
    <b:JournalName>Materials and Structures</b:JournalName>
    <b:Volume>40</b:Volume>
    <b:RefOrder>1</b:RefOrder>
  </b:Source>
  <b:Source>
    <b:Tag>Vii10</b:Tag>
    <b:SourceType>JournalArticle</b:SourceType>
    <b:Guid>{057FF1E8-C3B5-43C0-A697-6A29539B534F}</b:Guid>
    <b:LCID>0</b:LCID>
    <b:Author>
      <b:Author>
        <b:NameList>
          <b:Person>
            <b:Last>Viitanen</b:Last>
            <b:First>H</b:First>
          </b:Person>
          <b:Person>
            <b:Last>Toratti</b:Last>
            <b:First>T</b:First>
          </b:Person>
          <b:Person>
            <b:Last>Makkonen</b:Last>
            <b:First>L</b:First>
          </b:Person>
          <b:Person>
            <b:Last>Peuhkuri</b:Last>
            <b:First>R</b:First>
          </b:Person>
          <b:Person>
            <b:Last>Ojanen</b:Last>
            <b:First>T</b:First>
          </b:Person>
          <b:Person>
            <b:Last>Ruokolainen</b:Last>
            <b:First>L</b:First>
          </b:Person>
          <b:Person>
            <b:Last>Räisänen</b:Last>
            <b:First>J</b:First>
          </b:Person>
        </b:NameList>
      </b:Author>
    </b:Author>
    <b:Title>Towards modeling of decay risk of wooden materials</b:Title>
    <b:JournalName>European Journal of Wood and Wood Products</b:JournalName>
    <b:Year>2010</b:Year>
    <b:Volume>68</b:Volume>
    <b:RefOrder>2</b:RefOrder>
  </b:Source>
  <b:Source>
    <b:Tag>Zel11</b:Tag>
    <b:SourceType>JournalArticle</b:SourceType>
    <b:Guid>{544BA110-F742-4215-A3F4-A8EBB7E1F238}</b:Guid>
    <b:LCID>0</b:LCID>
    <b:Author>
      <b:Author>
        <b:NameList>
          <b:Person>
            <b:Last>Zelinka</b:Last>
            <b:First>S</b:First>
            <b:Middle>L</b:Middle>
          </b:Person>
          <b:Person>
            <b:Last>Derome</b:Last>
            <b:First>D</b:First>
          </b:Person>
          <b:Person>
            <b:Last>Glass</b:Last>
            <b:First>S</b:First>
            <b:Middle>V</b:Middle>
          </b:Person>
        </b:NameList>
      </b:Author>
    </b:Author>
    <b:Title>Combining hygrothermal and corrosion models to predict corrosion of metal fasteners embedded in wood</b:Title>
    <b:JournalName>Building and Environment</b:JournalName>
    <b:Year>2011</b:Year>
    <b:Volume>46</b:Volume>
    <b:RefOrder>4</b:RefOrder>
  </b:Source>
  <b:Source>
    <b:Tag>Sai12</b:Tag>
    <b:SourceType>JournalArticle</b:SourceType>
    <b:Guid>{C6E37669-B29F-4716-AF60-6ECB495C2924}</b:Guid>
    <b:LCID>0</b:LCID>
    <b:Author>
      <b:Author>
        <b:NameList>
          <b:Person>
            <b:Last>Saito</b:Last>
            <b:First>H</b:First>
          </b:Person>
          <b:Person>
            <b:Last>Fukuda</b:Last>
            <b:First>K</b:First>
          </b:Person>
          <b:Person>
            <b:Last>Sawachi</b:Last>
            <b:First>T</b:First>
          </b:Person>
        </b:NameList>
      </b:Author>
    </b:Author>
    <b:Title>Integration model of hygrothermal analysis with decay process for durability assessment of building envelopes</b:Title>
    <b:JournalName>Building Simulation</b:JournalName>
    <b:Year>2012</b:Year>
    <b:Volume>5</b:Volume>
    <b:RefOrder>5</b:RefOrder>
  </b:Source>
  <b:Source>
    <b:Tag>Wan08</b:Tag>
    <b:SourceType>Report</b:SourceType>
    <b:Guid>{F3072AAB-B2CC-472A-A3C8-B57E0B414034}</b:Guid>
    <b:LCID>0</b:LCID>
    <b:Author>
      <b:Author>
        <b:NameList>
          <b:Person>
            <b:Last>Wang</b:Last>
            <b:First>C</b:First>
            <b:Middle>H</b:Middle>
          </b:Person>
          <b:Person>
            <b:Last>Leicester</b:Last>
            <b:First>R</b:First>
            <b:Middle>H</b:Middle>
          </b:Person>
          <b:Person>
            <b:Last>Nguyen</b:Last>
            <b:First>M</b:First>
            <b:Middle>N</b:Middle>
          </b:Person>
        </b:NameList>
      </b:Author>
    </b:Author>
    <b:Title>Manual 4 – Decay above- ground</b:Title>
    <b:Year>2008</b:Year>
    <b:Institution>Forest and Wood Products Australia Limited (CSIRO Sustainable Ecosystems)</b:Institution>
    <b:City>Victoria</b:City>
    <b:RefOrder>6</b:RefOrder>
  </b:Source>
  <b:Source>
    <b:Tag>Mac13</b:Tag>
    <b:SourceType>Report</b:SourceType>
    <b:Guid>{8D5131D7-F321-4DFF-9F5F-91C3F550D4C5}</b:Guid>
    <b:LCID>0</b:LCID>
    <b:Author>
      <b:Author>
        <b:NameList>
          <b:Person>
            <b:Last>MacKenzie</b:Last>
            <b:First>C</b:First>
          </b:Person>
          <b:Person>
            <b:Last>Wang</b:Last>
            <b:First>C</b:First>
            <b:Middle>H</b:Middle>
          </b:Person>
          <b:Person>
            <b:Last>Leicester</b:Last>
            <b:First>R</b:First>
            <b:Middle>H</b:Middle>
          </b:Person>
          <b:Person>
            <b:Last>Foliente</b:Last>
            <b:First>G</b:First>
            <b:Middle>C</b:Middle>
          </b:Person>
          <b:Person>
            <b:Last>Nguyen</b:Last>
            <b:First>M</b:First>
            <b:Middle>N</b:Middle>
          </b:Person>
        </b:NameList>
      </b:Author>
    </b:Author>
    <b:Title>Timber service life design - Design guide for durability (Revised Version)</b:Title>
    <b:Year>2013</b:Year>
    <b:Institution>Forest and Wood Products Australia Limited</b:Institution>
    <b:City>Victoria</b:City>
    <b:RefOrder>7</b:RefOrder>
  </b:Source>
  <b:Source>
    <b:Tag>Kut14</b:Tag>
    <b:SourceType>JournalArticle</b:SourceType>
    <b:Guid>{6C142D57-9B06-44F5-A2FB-290EF8297C6B}</b:Guid>
    <b:LCID>0</b:LCID>
    <b:Author>
      <b:Author>
        <b:NameList>
          <b:Person>
            <b:Last>Kutnik</b:Last>
            <b:First>M</b:First>
          </b:Person>
          <b:Person>
            <b:Last>Suttie</b:Last>
            <b:First>E</b:First>
          </b:Person>
          <b:Person>
            <b:Last>Brischke</b:Last>
            <b:First>C</b:First>
          </b:Person>
        </b:NameList>
      </b:Author>
    </b:Author>
    <b:Title>European standards on durability and performance of wood and wood-based products – Trends and challenges</b:Title>
    <b:JournalName>Wood Material Science and Engineering</b:JournalName>
    <b:Year>2014</b:Year>
    <b:Volume>9</b:Volume>
    <b:RefOrder>9</b:RefOrder>
  </b:Source>
  <b:Source>
    <b:Tag>Mey18</b:Tag>
    <b:SourceType>JournalArticle</b:SourceType>
    <b:Guid>{986177E9-43DE-4AB3-94EF-57EF4AC0E499}</b:Guid>
    <b:LCID>0</b:LCID>
    <b:Author>
      <b:Author>
        <b:NameList>
          <b:Person>
            <b:Last>Meyer-Veltrup</b:Last>
            <b:First>L</b:First>
          </b:Person>
          <b:Person>
            <b:Last>Brischke</b:Last>
            <b:First>C</b:First>
          </b:Person>
          <b:Person>
            <b:Last>Niklewski</b:Last>
            <b:First>J</b:First>
          </b:Person>
          <b:Person>
            <b:Last>Hansson</b:Last>
            <b:First>E</b:First>
            <b:Middle>F</b:Middle>
          </b:Person>
        </b:NameList>
      </b:Author>
    </b:Author>
    <b:Title>Design and performance prediction of timber bridges based on a factorization approach</b:Title>
    <b:JournalName>Wood material science &amp; engineering</b:JournalName>
    <b:Year>2018</b:Year>
    <b:Volume>13</b:Volume>
    <b:RefOrder>10</b:RefOrder>
  </b:Source>
  <b:Source>
    <b:Tag>BPS</b:Tag>
    <b:SourceType>Report</b:SourceType>
    <b:Guid>{9EFC24A3-16E9-4BC4-9B5E-1CE6466D9472}</b:Guid>
    <b:LCID>0</b:LCID>
    <b:Author>
      <b:Author>
        <b:NameList>
          <b:Person>
            <b:Last>BPS</b:Last>
          </b:Person>
        </b:NameList>
      </b:Author>
    </b:Author>
    <b:Title>Provinsi Kalimantan Barat dalam Angka 2020</b:Title>
    <b:Institution>Badan Pusat Statistik</b:Institution>
    <b:City>Pontianak</b:City>
    <b:RefOrder>12</b:RefOrder>
  </b:Source>
  <b:Source>
    <b:Tag>AST16</b:Tag>
    <b:SourceType>Report</b:SourceType>
    <b:Guid>{405D34FF-8B0C-4B1A-9CDE-4C0D6E431EBA}</b:Guid>
    <b:LCID>0</b:LCID>
    <b:Author>
      <b:Author>
        <b:NameList>
          <b:Person>
            <b:Last>ASTM</b:Last>
          </b:Person>
        </b:NameList>
      </b:Author>
    </b:Author>
    <b:Title>ASTM F2170 - 16b Standard Test Method for Determining Relative Humidity Using in situ Probes</b:Title>
    <b:Year>2016</b:Year>
    <b:City>West Conshohocken, PA</b:City>
    <b:RefOrder>13</b:RefOrder>
  </b:Source>
  <b:Source>
    <b:Tag>Bor14</b:Tag>
    <b:SourceType>JournalArticle</b:SourceType>
    <b:Guid>{E462D83B-B188-419E-A3D5-FFE2680BFC61}</b:Guid>
    <b:LCID>0</b:LCID>
    <b:Author>
      <b:Author>
        <b:NameList>
          <b:Person>
            <b:Last>Bornemann</b:Last>
            <b:First>T</b:First>
          </b:Person>
          <b:Person>
            <b:Last>Brischke</b:Last>
            <b:First>C</b:First>
          </b:Person>
          <b:Person>
            <b:Last>Alfredsen</b:Last>
            <b:First>G</b:First>
          </b:Person>
        </b:NameList>
      </b:Author>
    </b:Author>
    <b:Title>Decay of wooden commodities – moisture risk analysis, service life prediction and performance assessments in the field</b:Title>
    <b:Year>2014</b:Year>
    <b:JournalName>Wood Material Science and Engineering</b:JournalName>
    <b:Volume>9</b:Volume>
    <b:RefOrder>8</b:RefOrder>
  </b:Source>
  <b:Source>
    <b:Tag>Nof</b:Tag>
    <b:SourceType>JournalArticle</b:SourceType>
    <b:Guid>{EB1E9063-C01A-4B1C-81D5-5470AA0B1517}</b:Guid>
    <b:LCID>0</b:LCID>
    <b:Author>
      <b:Author>
        <b:NameList>
          <b:Person>
            <b:Last>Nofal</b:Last>
            <b:First>M</b:First>
          </b:Person>
          <b:Person>
            <b:Last>Kumaran</b:Last>
            <b:First>K</b:First>
          </b:Person>
        </b:NameList>
      </b:Author>
    </b:Author>
    <b:Title>Biological damage function models for durability assessments of wood and wood-based products in building envelopes</b:Title>
    <b:JournalName>European Journal of Wood and Wood Products</b:JournalName>
    <b:Volume>69</b:Volume>
    <b:Year>2011</b:Year>
    <b:RefOrder>3</b:RefOrder>
  </b:Source>
  <b:Source>
    <b:Tag>Pra19</b:Tag>
    <b:SourceType>ConferenceProceedings</b:SourceType>
    <b:Guid>{F0E87373-9DD3-46FD-8F9E-77AEBB924956}</b:Guid>
    <b:LCID>0</b:LCID>
    <b:Author>
      <b:Author>
        <b:NameList>
          <b:Person>
            <b:Last>Prabowo</b:Last>
            <b:First>Herry</b:First>
          </b:Person>
          <b:Person>
            <b:Last>Hilmy</b:Last>
            <b:First>Mochamad</b:First>
          </b:Person>
        </b:NameList>
      </b:Author>
    </b:Author>
    <b:Title>An overview of durability model for timber structure decay under Indonesian climate</b:Title>
    <b:Year>2019</b:Year>
    <b:Publisher>IOP Publishing</b:Publisher>
    <b:ConferenceName>IOP Conf. Series: Earth and Environmental Science</b:ConferenceName>
    <b:RefOrder>11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15DF67-27DF-4D5B-9F4C-6612EE59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6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49</cp:revision>
  <dcterms:created xsi:type="dcterms:W3CDTF">2018-07-23T10:44:00Z</dcterms:created>
  <dcterms:modified xsi:type="dcterms:W3CDTF">2020-10-06T23:30:00Z</dcterms:modified>
</cp:coreProperties>
</file>