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3517" w14:textId="77777777" w:rsidR="00792CFC" w:rsidRPr="005F0BBD" w:rsidRDefault="00091DD4">
      <w:pPr>
        <w:spacing w:after="568"/>
        <w:rPr>
          <w:rFonts w:ascii="Times New Roman" w:hAnsi="Times New Roman" w:cs="Times New Roman"/>
          <w:b/>
          <w:sz w:val="34"/>
          <w:szCs w:val="34"/>
        </w:rPr>
      </w:pPr>
      <w:r>
        <w:rPr>
          <w:rFonts w:ascii="Times New Roman" w:hAnsi="Times New Roman" w:cs="Times New Roman"/>
          <w:b/>
          <w:sz w:val="34"/>
          <w:szCs w:val="34"/>
        </w:rPr>
        <w:t>Measuring</w:t>
      </w:r>
      <w:r w:rsidR="00792CFC" w:rsidRPr="00792CFC">
        <w:rPr>
          <w:rFonts w:ascii="Times New Roman" w:hAnsi="Times New Roman" w:cs="Times New Roman"/>
          <w:b/>
          <w:sz w:val="34"/>
          <w:szCs w:val="34"/>
        </w:rPr>
        <w:t xml:space="preserve"> occupational self-efficacy: A </w:t>
      </w:r>
      <w:r w:rsidR="00275E7D">
        <w:rPr>
          <w:rFonts w:ascii="Times New Roman" w:eastAsia="Times New Roman" w:hAnsi="Times New Roman" w:cs="Times New Roman"/>
          <w:b/>
          <w:sz w:val="34"/>
          <w:szCs w:val="34"/>
        </w:rPr>
        <w:t>c</w:t>
      </w:r>
      <w:r w:rsidR="00275E7D" w:rsidRPr="00275E7D">
        <w:rPr>
          <w:rFonts w:ascii="Times New Roman" w:eastAsia="Times New Roman" w:hAnsi="Times New Roman" w:cs="Times New Roman"/>
          <w:b/>
          <w:sz w:val="34"/>
          <w:szCs w:val="34"/>
        </w:rPr>
        <w:t>ase study of cooking performance</w:t>
      </w:r>
    </w:p>
    <w:p w14:paraId="50945B71" w14:textId="77777777" w:rsidR="005F0BBD" w:rsidRPr="005F0BBD" w:rsidRDefault="005F0BBD" w:rsidP="005F0BBD">
      <w:pPr>
        <w:spacing w:after="0"/>
        <w:ind w:left="1418"/>
        <w:rPr>
          <w:rFonts w:ascii="Times New Roman" w:eastAsia="Times New Roman" w:hAnsi="Times New Roman" w:cs="Times New Roman"/>
          <w:b/>
          <w:vertAlign w:val="superscript"/>
        </w:rPr>
      </w:pPr>
      <w:r w:rsidRPr="005F0BBD">
        <w:rPr>
          <w:rFonts w:ascii="Times New Roman" w:hAnsi="Times New Roman" w:cs="Times New Roman"/>
          <w:b/>
        </w:rPr>
        <w:t xml:space="preserve">Tuatul </w:t>
      </w:r>
      <w:r w:rsidRPr="005F0BBD">
        <w:rPr>
          <w:rFonts w:ascii="Times New Roman" w:hAnsi="Times New Roman" w:cs="Times New Roman"/>
          <w:b/>
          <w:lang w:val="sv-SE"/>
        </w:rPr>
        <w:t>Mahfud</w:t>
      </w:r>
      <w:r w:rsidRPr="005F0BBD">
        <w:rPr>
          <w:rFonts w:ascii="Times New Roman" w:hAnsi="Times New Roman" w:cs="Times New Roman"/>
          <w:b/>
          <w:vertAlign w:val="superscript"/>
          <w:lang w:val="sv-SE"/>
        </w:rPr>
        <w:t>1</w:t>
      </w:r>
      <w:r w:rsidRPr="005F0BBD">
        <w:rPr>
          <w:rFonts w:ascii="Times New Roman" w:hAnsi="Times New Roman" w:cs="Times New Roman"/>
          <w:b/>
          <w:lang w:val="sv-SE"/>
        </w:rPr>
        <w:t>, Mutiara Nugraheni</w:t>
      </w:r>
      <w:r w:rsidRPr="005F0BBD">
        <w:rPr>
          <w:rFonts w:ascii="Times New Roman" w:hAnsi="Times New Roman" w:cs="Times New Roman"/>
          <w:b/>
          <w:vertAlign w:val="superscript"/>
          <w:lang w:val="sv-SE"/>
        </w:rPr>
        <w:t>3</w:t>
      </w:r>
      <w:r w:rsidRPr="005F0BBD">
        <w:rPr>
          <w:rFonts w:ascii="Times New Roman" w:hAnsi="Times New Roman" w:cs="Times New Roman"/>
          <w:b/>
          <w:lang w:val="sv-SE"/>
        </w:rPr>
        <w:t>, Pardjono</w:t>
      </w:r>
      <w:r w:rsidRPr="005F0BBD">
        <w:rPr>
          <w:rFonts w:ascii="Times New Roman" w:hAnsi="Times New Roman" w:cs="Times New Roman"/>
          <w:b/>
          <w:vertAlign w:val="superscript"/>
          <w:lang w:val="sv-SE"/>
        </w:rPr>
        <w:t>2</w:t>
      </w:r>
      <w:r w:rsidRPr="005F0BBD">
        <w:rPr>
          <w:rFonts w:ascii="Times New Roman" w:hAnsi="Times New Roman" w:cs="Times New Roman"/>
          <w:b/>
          <w:lang w:val="sv-SE"/>
        </w:rPr>
        <w:t>, Badraningsih Lastariwati</w:t>
      </w:r>
      <w:r w:rsidRPr="005F0BBD">
        <w:rPr>
          <w:rFonts w:ascii="Times New Roman" w:hAnsi="Times New Roman" w:cs="Times New Roman"/>
          <w:b/>
          <w:vertAlign w:val="superscript"/>
          <w:lang w:val="sv-SE"/>
        </w:rPr>
        <w:t>3</w:t>
      </w:r>
    </w:p>
    <w:p w14:paraId="6684DEB5" w14:textId="77777777" w:rsidR="005F0BBD" w:rsidRDefault="005F0BBD">
      <w:pPr>
        <w:spacing w:after="0"/>
        <w:ind w:left="1418"/>
        <w:rPr>
          <w:rFonts w:ascii="Times New Roman" w:eastAsia="Times New Roman" w:hAnsi="Times New Roman" w:cs="Times New Roman"/>
          <w:b/>
        </w:rPr>
      </w:pPr>
    </w:p>
    <w:p w14:paraId="1260ABBC" w14:textId="77777777" w:rsidR="006C424A" w:rsidRDefault="006C424A">
      <w:pPr>
        <w:spacing w:after="0"/>
        <w:ind w:left="1418"/>
        <w:rPr>
          <w:rFonts w:ascii="Times New Roman" w:eastAsia="Times New Roman" w:hAnsi="Times New Roman" w:cs="Times New Roman"/>
          <w:vertAlign w:val="superscript"/>
        </w:rPr>
      </w:pPr>
    </w:p>
    <w:p w14:paraId="21A906F1" w14:textId="77777777" w:rsidR="005F0BBD" w:rsidRDefault="002B0102" w:rsidP="005F0BBD">
      <w:pPr>
        <w:spacing w:after="0"/>
        <w:ind w:left="1418"/>
        <w:rPr>
          <w:rFonts w:ascii="Times New Roman" w:hAnsi="Times New Roman" w:cs="Times New Roman"/>
          <w:lang w:val="sv-SE"/>
        </w:rPr>
      </w:pPr>
      <w:r w:rsidRPr="005F0BBD">
        <w:rPr>
          <w:rFonts w:ascii="Times New Roman" w:eastAsia="Times New Roman" w:hAnsi="Times New Roman" w:cs="Times New Roman"/>
          <w:vertAlign w:val="superscript"/>
        </w:rPr>
        <w:t>1</w:t>
      </w:r>
      <w:bookmarkStart w:id="0" w:name="_heading=h.gjdgxs" w:colFirst="0" w:colLast="0"/>
      <w:bookmarkEnd w:id="0"/>
      <w:r w:rsidR="005F0BBD" w:rsidRPr="005F0BBD">
        <w:rPr>
          <w:rFonts w:ascii="Times New Roman" w:hAnsi="Times New Roman" w:cs="Times New Roman"/>
          <w:lang w:val="sv-SE"/>
        </w:rPr>
        <w:t xml:space="preserve">Hospitality Department, Balikpapan State Polytechnic, </w:t>
      </w:r>
      <w:r w:rsidR="005F0BBD">
        <w:rPr>
          <w:rFonts w:ascii="Times New Roman" w:hAnsi="Times New Roman" w:cs="Times New Roman"/>
          <w:lang w:val="sv-SE"/>
        </w:rPr>
        <w:t xml:space="preserve">Jl. Soekarno Hatta Km.8, Balikpapan, </w:t>
      </w:r>
      <w:r w:rsidR="005F0BBD" w:rsidRPr="005F0BBD">
        <w:rPr>
          <w:rFonts w:ascii="Times New Roman" w:hAnsi="Times New Roman" w:cs="Times New Roman"/>
          <w:lang w:val="sv-SE"/>
        </w:rPr>
        <w:t>Indonesia;</w:t>
      </w:r>
    </w:p>
    <w:p w14:paraId="6C7C1581" w14:textId="77777777" w:rsidR="005F0BBD" w:rsidRDefault="005F0BBD" w:rsidP="005F0BBD">
      <w:pPr>
        <w:spacing w:after="0"/>
        <w:ind w:left="1418"/>
        <w:rPr>
          <w:rFonts w:ascii="Times New Roman" w:hAnsi="Times New Roman" w:cs="Times New Roman"/>
          <w:lang w:val="sv-SE"/>
        </w:rPr>
      </w:pPr>
      <w:r w:rsidRPr="005F0BBD">
        <w:rPr>
          <w:rFonts w:ascii="Times New Roman" w:hAnsi="Times New Roman" w:cs="Times New Roman"/>
          <w:vertAlign w:val="superscript"/>
          <w:lang w:val="sv-SE"/>
        </w:rPr>
        <w:t>2</w:t>
      </w:r>
      <w:r w:rsidRPr="005F0BBD">
        <w:rPr>
          <w:rFonts w:ascii="Times New Roman" w:hAnsi="Times New Roman" w:cs="Times New Roman"/>
          <w:lang w:val="sv-SE"/>
        </w:rPr>
        <w:t xml:space="preserve">Vocational Education and Technology, Graduate School of Yogyakarta State University, </w:t>
      </w:r>
      <w:r>
        <w:rPr>
          <w:rFonts w:ascii="Times New Roman" w:hAnsi="Times New Roman" w:cs="Times New Roman"/>
          <w:lang w:val="sv-SE"/>
        </w:rPr>
        <w:t xml:space="preserve">Jl. </w:t>
      </w:r>
      <w:r w:rsidRPr="005F0BBD">
        <w:rPr>
          <w:rFonts w:ascii="Times New Roman" w:hAnsi="Times New Roman" w:cs="Times New Roman"/>
        </w:rPr>
        <w:t xml:space="preserve">Colombo No.1, </w:t>
      </w:r>
      <w:r>
        <w:rPr>
          <w:rFonts w:ascii="Times New Roman" w:hAnsi="Times New Roman" w:cs="Times New Roman"/>
        </w:rPr>
        <w:t xml:space="preserve">Yogyakarta, </w:t>
      </w:r>
      <w:r w:rsidRPr="005F0BBD">
        <w:rPr>
          <w:rFonts w:ascii="Times New Roman" w:hAnsi="Times New Roman" w:cs="Times New Roman"/>
          <w:lang w:val="sv-SE"/>
        </w:rPr>
        <w:t xml:space="preserve">Indonesia; </w:t>
      </w:r>
    </w:p>
    <w:p w14:paraId="6F51DA6A" w14:textId="77777777" w:rsidR="005F0BBD" w:rsidRPr="005F0BBD" w:rsidRDefault="005F0BBD" w:rsidP="005F0BBD">
      <w:pPr>
        <w:spacing w:after="0"/>
        <w:ind w:left="1418"/>
        <w:rPr>
          <w:rFonts w:ascii="Times New Roman" w:eastAsia="Times New Roman" w:hAnsi="Times New Roman" w:cs="Times New Roman"/>
        </w:rPr>
      </w:pPr>
      <w:r w:rsidRPr="005F0BBD">
        <w:rPr>
          <w:rFonts w:ascii="Times New Roman" w:hAnsi="Times New Roman" w:cs="Times New Roman"/>
          <w:vertAlign w:val="superscript"/>
          <w:lang w:val="sv-SE"/>
        </w:rPr>
        <w:t>3</w:t>
      </w:r>
      <w:r w:rsidRPr="005F0BBD">
        <w:rPr>
          <w:rFonts w:ascii="Times New Roman" w:hAnsi="Times New Roman" w:cs="Times New Roman"/>
          <w:lang w:val="sv-SE"/>
        </w:rPr>
        <w:t xml:space="preserve">Department of Culinary Art Vocational Education, Yogyakarta State University, </w:t>
      </w:r>
      <w:r>
        <w:rPr>
          <w:rFonts w:ascii="Times New Roman" w:hAnsi="Times New Roman" w:cs="Times New Roman"/>
          <w:lang w:val="sv-SE"/>
        </w:rPr>
        <w:t xml:space="preserve">Jl. </w:t>
      </w:r>
      <w:r w:rsidRPr="005F0BBD">
        <w:rPr>
          <w:rFonts w:ascii="Times New Roman" w:hAnsi="Times New Roman" w:cs="Times New Roman"/>
        </w:rPr>
        <w:t xml:space="preserve">Colombo No.1, </w:t>
      </w:r>
      <w:r>
        <w:rPr>
          <w:rFonts w:ascii="Times New Roman" w:hAnsi="Times New Roman" w:cs="Times New Roman"/>
        </w:rPr>
        <w:t xml:space="preserve">Yogyakarta, </w:t>
      </w:r>
      <w:r>
        <w:rPr>
          <w:rFonts w:ascii="Times New Roman" w:hAnsi="Times New Roman" w:cs="Times New Roman"/>
          <w:lang w:val="sv-SE"/>
        </w:rPr>
        <w:t>Indonesia</w:t>
      </w:r>
    </w:p>
    <w:p w14:paraId="32350BB8" w14:textId="77777777" w:rsidR="006C424A" w:rsidRDefault="006C424A" w:rsidP="009D031B">
      <w:pPr>
        <w:spacing w:after="0"/>
        <w:rPr>
          <w:rFonts w:ascii="Times New Roman" w:eastAsia="Times New Roman" w:hAnsi="Times New Roman" w:cs="Times New Roman"/>
        </w:rPr>
      </w:pPr>
    </w:p>
    <w:p w14:paraId="380F6B62" w14:textId="77777777" w:rsidR="006C424A" w:rsidRDefault="002B0102">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5F0BBD">
        <w:rPr>
          <w:rFonts w:ascii="Times New Roman" w:eastAsia="Times New Roman" w:hAnsi="Times New Roman" w:cs="Times New Roman"/>
        </w:rPr>
        <w:t>tuatul.mahfud@poltekba.ac.id</w:t>
      </w:r>
    </w:p>
    <w:p w14:paraId="42976AC3" w14:textId="547EDC54" w:rsidR="005A55A2" w:rsidRPr="005A55A2" w:rsidRDefault="002B0102" w:rsidP="005A55A2">
      <w:pPr>
        <w:spacing w:after="568"/>
        <w:ind w:left="1418"/>
        <w:jc w:val="both"/>
        <w:rPr>
          <w:rFonts w:ascii="Times New Roman" w:eastAsiaTheme="minorEastAsia" w:hAnsi="Times New Roman" w:cs="Times New Roman"/>
          <w:sz w:val="20"/>
        </w:rPr>
      </w:pPr>
      <w:r>
        <w:rPr>
          <w:rFonts w:ascii="Times New Roman" w:eastAsia="Times New Roman" w:hAnsi="Times New Roman" w:cs="Times New Roman"/>
          <w:b/>
          <w:sz w:val="20"/>
          <w:szCs w:val="20"/>
        </w:rPr>
        <w:t xml:space="preserve">Abstract. </w:t>
      </w:r>
      <w:r w:rsidR="005A55A2" w:rsidRPr="005A55A2">
        <w:rPr>
          <w:rFonts w:ascii="Times New Roman" w:eastAsia="Times New Roman" w:hAnsi="Times New Roman" w:cs="Times New Roman"/>
          <w:sz w:val="20"/>
          <w:szCs w:val="20"/>
        </w:rPr>
        <w:t xml:space="preserve">Occupational self-efficacy is believed to be an essential factor for optimizing mastery of cooking competencies for culinary students. Although there have been many studies examining the importance of self-efficacy, there are still limited studies that discuss how to measure the self-efficacy of cooking abilities for culinary vocational students. This study aims to develop and test the validity of the self-efficacy cooking skills questionnaire. This study involved 329 culinary students in the Special Region of Yogyakarta, Indonesia. </w:t>
      </w:r>
      <w:r w:rsidR="00F32EAF">
        <w:rPr>
          <w:rFonts w:ascii="Times New Roman" w:eastAsia="Times New Roman" w:hAnsi="Times New Roman" w:cs="Times New Roman"/>
          <w:sz w:val="20"/>
          <w:szCs w:val="20"/>
        </w:rPr>
        <w:t>D</w:t>
      </w:r>
      <w:r w:rsidR="005A55A2" w:rsidRPr="005A55A2">
        <w:rPr>
          <w:rFonts w:ascii="Times New Roman" w:eastAsia="Times New Roman" w:hAnsi="Times New Roman" w:cs="Times New Roman"/>
          <w:sz w:val="20"/>
          <w:szCs w:val="20"/>
        </w:rPr>
        <w:t xml:space="preserve">ata analysis </w:t>
      </w:r>
      <w:r w:rsidR="005A55A2" w:rsidRPr="00AC3748">
        <w:rPr>
          <w:rFonts w:ascii="Times New Roman" w:eastAsia="Times New Roman" w:hAnsi="Times New Roman" w:cs="Times New Roman"/>
          <w:sz w:val="20"/>
          <w:szCs w:val="20"/>
        </w:rPr>
        <w:t>use</w:t>
      </w:r>
      <w:r w:rsidR="00117879" w:rsidRPr="00AC3748">
        <w:rPr>
          <w:rFonts w:ascii="Times New Roman" w:eastAsia="Times New Roman" w:hAnsi="Times New Roman" w:cs="Times New Roman"/>
          <w:sz w:val="20"/>
          <w:szCs w:val="20"/>
        </w:rPr>
        <w:t>d</w:t>
      </w:r>
      <w:r w:rsidR="005A55A2" w:rsidRPr="005A55A2">
        <w:rPr>
          <w:rFonts w:ascii="Times New Roman" w:eastAsia="Times New Roman" w:hAnsi="Times New Roman" w:cs="Times New Roman"/>
          <w:sz w:val="20"/>
          <w:szCs w:val="20"/>
        </w:rPr>
        <w:t xml:space="preserve"> Confirmatory Factor Analysis (CFA) to test the validity and reliability. The results of the study </w:t>
      </w:r>
      <w:r w:rsidR="005A55A2" w:rsidRPr="00AC3748">
        <w:rPr>
          <w:rFonts w:ascii="Times New Roman" w:eastAsia="Times New Roman" w:hAnsi="Times New Roman" w:cs="Times New Roman"/>
          <w:sz w:val="20"/>
          <w:szCs w:val="20"/>
        </w:rPr>
        <w:t>reveal</w:t>
      </w:r>
      <w:r w:rsidR="00F32EAF" w:rsidRPr="00AC3748">
        <w:rPr>
          <w:rFonts w:ascii="Times New Roman" w:eastAsia="Times New Roman" w:hAnsi="Times New Roman" w:cs="Times New Roman"/>
          <w:sz w:val="20"/>
          <w:szCs w:val="20"/>
        </w:rPr>
        <w:t>ed</w:t>
      </w:r>
      <w:r w:rsidR="005A55A2" w:rsidRPr="00AC3748">
        <w:rPr>
          <w:rFonts w:ascii="Times New Roman" w:eastAsia="Times New Roman" w:hAnsi="Times New Roman" w:cs="Times New Roman"/>
          <w:sz w:val="20"/>
          <w:szCs w:val="20"/>
        </w:rPr>
        <w:t xml:space="preserve"> that</w:t>
      </w:r>
      <w:r w:rsidR="005A55A2" w:rsidRPr="005A55A2">
        <w:rPr>
          <w:rFonts w:ascii="Times New Roman" w:eastAsia="Times New Roman" w:hAnsi="Times New Roman" w:cs="Times New Roman"/>
          <w:sz w:val="20"/>
          <w:szCs w:val="20"/>
        </w:rPr>
        <w:t xml:space="preserve"> the occupational self-efficacy of cooking performance could be explained by four indicators, namely the enactive experience, model experience, social persuasion, and emotional conditions. The results of this study have implications for industry and education practitioners to evaluate the achievement of mastery of students 'and chefs' cooking skills.</w:t>
      </w:r>
    </w:p>
    <w:p w14:paraId="45E7A4B7" w14:textId="77777777" w:rsidR="003B5849" w:rsidRPr="003B5849" w:rsidRDefault="002B0102" w:rsidP="003B584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62A6CD35" w14:textId="77777777" w:rsidR="00517DC7" w:rsidRDefault="003B5849" w:rsidP="00C54253">
      <w:pPr>
        <w:pBdr>
          <w:top w:val="nil"/>
          <w:left w:val="nil"/>
          <w:bottom w:val="nil"/>
          <w:right w:val="nil"/>
          <w:between w:val="nil"/>
        </w:pBdr>
        <w:tabs>
          <w:tab w:val="left" w:pos="567"/>
        </w:tabs>
        <w:spacing w:after="240" w:line="240" w:lineRule="auto"/>
        <w:jc w:val="both"/>
        <w:rPr>
          <w:rFonts w:ascii="Times New Roman" w:hAnsi="Times New Roman" w:cs="Times New Roman"/>
        </w:rPr>
      </w:pPr>
      <w:r w:rsidRPr="003B5849">
        <w:rPr>
          <w:rFonts w:ascii="Times New Roman" w:hAnsi="Times New Roman" w:cs="Times New Roman"/>
        </w:rPr>
        <w:t>The industry now understands that business development, aside from paying attention to tangible capital such as data and physical resources, also needs to pay attention to intangible human capital such as positive human psychology. In principle, individual development of psychological capital is shown in positive mental status. One form of psychological capital that needs to be developed is self-efficacy</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{"citationItems":[{"id":"ITEM-1","itemData":{"author":[{"dropping-particle":"","family":"Luthans","given":"F.","non-dropping-particle":"","parse-names":false,"suffix":""},{"dropping-particle":"","family":"Luthans","given":"K. W.","non-dropping-particle":"","parse-names":false,"suffix":""},{"dropping-particle":"","family":"Luthans","given":"B. C.","non-dropping-particle":"","parse-names":false,"suffix":""}],"container-title":"Business Horizons","id":"ITEM-1","issued":{"date-parts":[["2004"]]},"page":"45-50","title":"Positive psychological capital: Beyond human and social capital","type":"article-journal","volume":"47"},"uris":["http://www.mendeley.com/documents/?uuid=e2a26cb3-6228-4952-a502-e1fe717cccea"]}],"mendeley":{"formattedCitation":"[1]","plainTextFormattedCitation":"[1]","previouslyFormattedCitation":"[1]"},"properties":{"noteIndex":0},"schema":"https://github.com/citation-style-language/schema/raw/master/csl-citation.json"}</w:instrText>
      </w:r>
      <w:r>
        <w:rPr>
          <w:rFonts w:ascii="Times New Roman" w:hAnsi="Times New Roman" w:cs="Times New Roman"/>
        </w:rPr>
        <w:fldChar w:fldCharType="separate"/>
      </w:r>
      <w:r w:rsidRPr="004A5439">
        <w:rPr>
          <w:rFonts w:ascii="Times New Roman" w:hAnsi="Times New Roman" w:cs="Times New Roman"/>
          <w:noProof/>
        </w:rPr>
        <w:t>[1]</w:t>
      </w:r>
      <w:r>
        <w:rPr>
          <w:rFonts w:ascii="Times New Roman" w:hAnsi="Times New Roman" w:cs="Times New Roman"/>
        </w:rPr>
        <w:fldChar w:fldCharType="end"/>
      </w:r>
      <w:r w:rsidRPr="003B5849">
        <w:rPr>
          <w:rFonts w:ascii="Times New Roman" w:hAnsi="Times New Roman" w:cs="Times New Roman"/>
        </w:rPr>
        <w:t xml:space="preserve">. Bandura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Pr>
          <w:rFonts w:ascii="Times New Roman" w:hAnsi="Times New Roman" w:cs="Times New Roman"/>
        </w:rPr>
        <w:fldChar w:fldCharType="separate"/>
      </w:r>
      <w:r w:rsidRPr="004A5439">
        <w:rPr>
          <w:rFonts w:ascii="Times New Roman" w:hAnsi="Times New Roman" w:cs="Times New Roman"/>
          <w:noProof/>
        </w:rPr>
        <w:t>[2]</w:t>
      </w:r>
      <w:r>
        <w:rPr>
          <w:rFonts w:ascii="Times New Roman" w:hAnsi="Times New Roman" w:cs="Times New Roman"/>
        </w:rPr>
        <w:fldChar w:fldCharType="end"/>
      </w:r>
      <w:r w:rsidRPr="003B5849">
        <w:rPr>
          <w:rFonts w:ascii="Times New Roman" w:hAnsi="Times New Roman" w:cs="Times New Roman"/>
        </w:rPr>
        <w:t xml:space="preserve"> introduced the term self-efficacy in the context of social learning. He then incorporated this psychological construction into his social cognitive theory. In his opinion, Bandura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{"citationItems":[{"id":"ITEM-1","itemData":{"author":[{"dropping-particle":"","family":"Bandura","given":"A.","non-dropping-particle":"","parse-names":false,"suffix":""}],"id":"ITEM-1","issued":{"date-parts":[["1986"]]},"publisher":"Prentice Hall","publisher-place":"Englewood Cliffs, NJ","title":"Social foundations of thought and action","type":"book"},"uris":["http://www.mendeley.com/documents/?uuid=09e10eff-e608-4f06-ae61-8b3b12ed48fc"]}],"mendeley":{"formattedCitation":"[3]","plainTextFormattedCitation":"[3]","previouslyFormattedCitation":"[3]"},"properties":{"noteIndex":0},"schema":"https://github.com/citation-style-language/schema/raw/master/csl-citation.json"}</w:instrText>
      </w:r>
      <w:r>
        <w:rPr>
          <w:rFonts w:ascii="Times New Roman" w:hAnsi="Times New Roman" w:cs="Times New Roman"/>
        </w:rPr>
        <w:fldChar w:fldCharType="separate"/>
      </w:r>
      <w:r w:rsidRPr="004A5439">
        <w:rPr>
          <w:rFonts w:ascii="Times New Roman" w:hAnsi="Times New Roman" w:cs="Times New Roman"/>
          <w:noProof/>
        </w:rPr>
        <w:t>[3]</w:t>
      </w:r>
      <w:r>
        <w:rPr>
          <w:rFonts w:ascii="Times New Roman" w:hAnsi="Times New Roman" w:cs="Times New Roman"/>
        </w:rPr>
        <w:fldChar w:fldCharType="end"/>
      </w:r>
      <w:r w:rsidRPr="003B5849">
        <w:rPr>
          <w:rFonts w:ascii="Times New Roman" w:hAnsi="Times New Roman" w:cs="Times New Roman"/>
        </w:rPr>
        <w:t xml:space="preserve"> proposes a learning model in which cognition, behavior, and environment influence each other. Individuals process information from each of these elements to form their thoughts and behavior.</w:t>
      </w:r>
    </w:p>
    <w:p w14:paraId="341B4418" w14:textId="77777777" w:rsidR="00A6237B" w:rsidRDefault="00517DC7" w:rsidP="00C54253">
      <w:pPr>
        <w:pBdr>
          <w:top w:val="nil"/>
          <w:left w:val="nil"/>
          <w:bottom w:val="nil"/>
          <w:right w:val="nil"/>
          <w:between w:val="nil"/>
        </w:pBdr>
        <w:tabs>
          <w:tab w:val="left" w:pos="567"/>
        </w:tabs>
        <w:spacing w:after="240" w:line="240" w:lineRule="auto"/>
        <w:jc w:val="both"/>
        <w:rPr>
          <w:rFonts w:ascii="Times New Roman" w:hAnsi="Times New Roman" w:cs="Times New Roman"/>
        </w:rPr>
      </w:pPr>
      <w:r w:rsidRPr="00517DC7">
        <w:rPr>
          <w:rFonts w:ascii="Times New Roman" w:hAnsi="Times New Roman" w:cs="Times New Roman"/>
        </w:rPr>
        <w:t xml:space="preserve">In positive psychology, self-efficacy is a construction that is synonymous with self-confidence and refers to a person's judgment about his ability to perform a task at a certain level of performance </w:t>
      </w:r>
      <w:r w:rsidRPr="007F6A49">
        <w:rPr>
          <w:rFonts w:ascii="Times New Roman" w:hAnsi="Times New Roman" w:cs="Times New Roman"/>
          <w:b/>
        </w:rPr>
        <w:fldChar w:fldCharType="begin" w:fldLock="1"/>
      </w:r>
      <w:r>
        <w:rPr>
          <w:rFonts w:ascii="Times New Roman" w:hAnsi="Times New Roman" w:cs="Times New Roman"/>
        </w:rPr>
        <w:instrText>ADDIN CSL_CITATION {"citationItems":[{"id":"ITEM-1","itemData":{"DOI":"10.1080/0013188042000222421","author":[{"dropping-particle":"","family":"Seifert","given":"Timothy","non-dropping-particle":"","parse-names":false,"suffix":""}],"container-title":"Educational Research","id":"ITEM-1","issue":"2","issued":{"date-parts":[["2010"]]},"page":"137-149","title":"Understanding student motivation","type":"article-journal","volume":"46"},"uris":["http://www.mendeley.com/documents/?uuid=35d330aa-b616-4c9c-83a0-36d139d1c665"]},{"id":"ITEM-2","itemData":{"DOI":"10.1016/j.sbspro.2011.04.158","author":[{"dropping-particle":"","family":"Yusuf","given":"Muhammed","non-dropping-particle":"","parse-names":false,"suffix":""}],"container-title":"Procedia -Social and Behavioral Sciences","id":"ITEM-2","issued":{"date-parts":[["2011"]]},"page":"2623-2626","publisher":"Elsevier Ltd","title":"The Impact of Self-Efficacy, Achievement Motivation, and Self-Regulated Learning Strategies on Students’ Academic Achievement","type":"paper-conference","volume":"15"},"uris":["http://www.mendeley.com/documents/?uuid=ef75aa82-da86-4122-b7d9-aabf7f193e91"]}],"mendeley":{"formattedCitation":"[4,5]","plainTextFormattedCitation":"[4,5]","previouslyFormattedCitation":"[4,5]"},"properties":{"noteIndex":0},"schema":"https://github.com/citation-style-language/schema/raw/master/csl-citation.json"}</w:instrText>
      </w:r>
      <w:r w:rsidRPr="007F6A49">
        <w:rPr>
          <w:rFonts w:ascii="Times New Roman" w:hAnsi="Times New Roman" w:cs="Times New Roman"/>
          <w:b/>
        </w:rPr>
        <w:fldChar w:fldCharType="separate"/>
      </w:r>
      <w:r w:rsidRPr="004A5439">
        <w:rPr>
          <w:rFonts w:ascii="Times New Roman" w:hAnsi="Times New Roman" w:cs="Times New Roman"/>
          <w:noProof/>
        </w:rPr>
        <w:t>[4,5]</w:t>
      </w:r>
      <w:r w:rsidRPr="007F6A49">
        <w:rPr>
          <w:rFonts w:ascii="Times New Roman" w:hAnsi="Times New Roman" w:cs="Times New Roman"/>
          <w:b/>
        </w:rPr>
        <w:fldChar w:fldCharType="end"/>
      </w:r>
      <w:r>
        <w:rPr>
          <w:rFonts w:ascii="Times New Roman" w:hAnsi="Times New Roman" w:cs="Times New Roman"/>
          <w:b/>
        </w:rPr>
        <w:t xml:space="preserve"> </w:t>
      </w:r>
      <w:r w:rsidRPr="00517DC7">
        <w:rPr>
          <w:rFonts w:ascii="Times New Roman" w:hAnsi="Times New Roman" w:cs="Times New Roman"/>
        </w:rPr>
        <w:t xml:space="preserve">and makes sense beyond the real skills that lead to the job complete tasks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Çavuş","given":"Mustafa","non-dropping-particle":"","parse-names":false,"suffix":""},{"dropping-particle":"","family":"Kapusuz","given":"Ayşe","non-dropping-particle":"","parse-names":false,"suffix":""}],"container-title":"British Journal of Education, Society &amp; Behavioural Science","id":"ITEM-1","issued":{"date-parts":[["2015"]]},"page":"244-255","title":"Psychological capital: Definition, components and effects","type":"article-journal","volume":"5"},"uris":["http://www.mendeley.com/documents/?uuid=a6baa430-baa8-4a21-8d51-cd89a3560336"]}],"mendeley":{"formattedCitation":"[6]","plainTextFormattedCitation":"[6]","previouslyFormattedCitation":"[6]"},"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[6]</w:t>
      </w:r>
      <w:r w:rsidRPr="007F6A49">
        <w:rPr>
          <w:rFonts w:ascii="Times New Roman" w:hAnsi="Times New Roman" w:cs="Times New Roman"/>
          <w:noProof/>
        </w:rPr>
        <w:fldChar w:fldCharType="end"/>
      </w:r>
      <w:r w:rsidRPr="007F6A49">
        <w:rPr>
          <w:rFonts w:ascii="Times New Roman" w:hAnsi="Times New Roman" w:cs="Times New Roman"/>
        </w:rPr>
        <w:t>.</w:t>
      </w:r>
      <w:r w:rsidRPr="00517DC7">
        <w:rPr>
          <w:rFonts w:ascii="Times New Roman" w:hAnsi="Times New Roman" w:cs="Times New Roman"/>
        </w:rPr>
        <w:t xml:space="preserve"> Similarly, Bandura, Pastorell</w:t>
      </w:r>
      <w:r>
        <w:rPr>
          <w:rFonts w:ascii="Times New Roman" w:hAnsi="Times New Roman" w:cs="Times New Roman"/>
        </w:rPr>
        <w:t>i, Barbaranelli, and Caprara</w:t>
      </w:r>
      <w:r w:rsidRPr="00517DC7">
        <w:rPr>
          <w:rFonts w:ascii="Times New Roman" w:hAnsi="Times New Roman" w:cs="Times New Roman"/>
          <w:noProof/>
        </w:rPr>
        <w:t xml:space="preserve">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dropping-particle":"","family":"Pastorelli","given":"Concetta","non-dropping-particle":"","parse-names":false,"suffix":""},{"dropping-particle":"","family":"Barbaranelli","given":"Claudio","non-dropping-particle":"","parse-names":false,"suffix":""},{"dropping-particle":"","family":"Caprara","given":"Gian Vittorio","non-dropping-particle":"","parse-names":false,"suffix":""}],"container-title":"Journal of Personality and Social Psychology","id":"ITEM-1","issue":"2","issued":{"date-parts":[["1999"]]},"page":"258-269","title":"Self-Efficacy Pathways to Childhood Depression","type":"article-journal","volume":"76"},"uris":["http://www.mendeley.com/documents/?uuid=3fbf91a4-167a-4213-adad-dcd06b2420ef"]}],"mendeley":{"formattedCitation":"[7]","plainTextFormattedCitation":"[7]","previouslyFormattedCitation":"[7]"},"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[7]</w:t>
      </w:r>
      <w:r>
        <w:rPr>
          <w:rFonts w:ascii="Times New Roman" w:hAnsi="Times New Roman" w:cs="Times New Roman"/>
          <w:noProof/>
        </w:rPr>
        <w:fldChar w:fldCharType="end"/>
      </w:r>
      <w:r w:rsidRPr="007F6A49">
        <w:rPr>
          <w:rFonts w:ascii="Times New Roman" w:hAnsi="Times New Roman" w:cs="Times New Roman"/>
          <w:noProof/>
        </w:rPr>
        <w:t xml:space="preserve"> </w:t>
      </w:r>
      <w:r w:rsidRPr="00517DC7">
        <w:rPr>
          <w:rFonts w:ascii="Times New Roman" w:hAnsi="Times New Roman" w:cs="Times New Roman"/>
        </w:rPr>
        <w:t xml:space="preserve"> revealed that self-efficacy is a personal belief about their level of competence in certain situations or certain. Stajkovic and Luthans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{"citationItems":[{"id":"ITEM-1","itemData":{"author":[{"dropping-particle":"","family":"Stajkovic","given":"Alexander D.","non-dropping-particle":"","parse-names":false,"suffix":""},{"dropping-particle":"","family":"Luthans","given":"F.","non-dropping-particle":"","parse-names":false,"suffix":""}],"container-title":"Organizational Dynamics","id":"ITEM-1","issue":"4","issued":{"date-parts":[["1998"]]},"page":"62-74","title":"Social cognitive theory and self efficacy: Going beyond traditional motivational and behavioral approaches","type":"article-journal","volume":"26"},"uris":["http://www.mendeley.com/documents/?uuid=de4354fa-5e05-4254-947e-1f16118d6da9"]}],"mendeley":{"formattedCitation":"[8]","plainTextFormattedCitation":"[8]","previouslyFormattedCitation":"[8]"},"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[8]</w:t>
      </w:r>
      <w:r>
        <w:rPr>
          <w:rFonts w:ascii="Times New Roman" w:hAnsi="Times New Roman" w:cs="Times New Roman"/>
          <w:noProof/>
        </w:rPr>
        <w:fldChar w:fldCharType="end"/>
      </w:r>
      <w:r>
        <w:rPr>
          <w:rFonts w:ascii="Times New Roman" w:hAnsi="Times New Roman" w:cs="Times New Roman"/>
          <w:noProof/>
        </w:rPr>
        <w:t xml:space="preserve"> </w:t>
      </w:r>
      <w:r w:rsidRPr="00517DC7">
        <w:rPr>
          <w:rFonts w:ascii="Times New Roman" w:hAnsi="Times New Roman" w:cs="Times New Roman"/>
        </w:rPr>
        <w:t xml:space="preserve">define beliefs (self-efficacy) as individual beliefs about their ability to mobilize the motivation, cognitive resources, and actions needed </w:t>
      </w:r>
      <w:r w:rsidRPr="00517DC7">
        <w:rPr>
          <w:rFonts w:ascii="Times New Roman" w:hAnsi="Times New Roman" w:cs="Times New Roman"/>
        </w:rPr>
        <w:lastRenderedPageBreak/>
        <w:t xml:space="preserve">to carry out specific tasks in certain contexts successfully. Besides, self-confidence as a positive psychological capital capacity and has been shown to have a strong positive relationship with the work-related performance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{"citationItems":[{"id":"ITEM-1","itemData":{"author":[{"dropping-particle":"","family":"Bandura","given":"A.","non-dropping-particle":"","parse-names":false,"suffix":""}],"id":"ITEM-1","issued":{"date-parts":[["1997"]]},"publisher":"Freeman","publisher-place":"New York","title":"Self-efficacy: The exercise of control","type":"book"},"uris":["http://www.mendeley.com/documents/?uuid=c147f71f-da3a-4ccc-9a5b-b6c8b0429011"]}],"mendeley":{"formattedCitation":"[9]","plainTextFormattedCitation":"[9]","previouslyFormattedCitation":"[9]"},"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[9]</w:t>
      </w:r>
      <w:r w:rsidRPr="007F6A49">
        <w:rPr>
          <w:rFonts w:ascii="Times New Roman" w:hAnsi="Times New Roman" w:cs="Times New Roman"/>
          <w:noProof/>
        </w:rPr>
        <w:fldChar w:fldCharType="end"/>
      </w:r>
      <w:r w:rsidRPr="007F6A49">
        <w:rPr>
          <w:rFonts w:ascii="Times New Roman" w:hAnsi="Times New Roman" w:cs="Times New Roman"/>
          <w:noProof/>
        </w:rPr>
        <w:t xml:space="preserve">. </w:t>
      </w:r>
      <w:r w:rsidRPr="00517DC7">
        <w:rPr>
          <w:rFonts w:ascii="Times New Roman" w:hAnsi="Times New Roman" w:cs="Times New Roman"/>
        </w:rPr>
        <w:t xml:space="preserve">Individuals with low levels of self-efficacy will have negative thoughts and regard task demands as a threat that is not challenging and therefore sets small goals for themselves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{"citationItems":[{"id":"ITEM-1","itemData":{"author":[{"dropping-particle":"","family":"Md. Yunus","given":"Aida Suraya","non-dropping-particle":"","parse-names":false,"suffix":""},{"dropping-particle":"","family":"Wan Ali","given":"Wan Zah","non-dropping-particle":"","parse-names":false,"suffix":""}],"container-title":"The International Journal of Learning","id":"ITEM-1","issue":"3","issued":{"date-parts":[["2009"]]},"page":"121-132","title":"Metacognition and Motivation in Mathematical Problem Solving","type":"article-journal","volume":"15"},"uris":["http://www.mendeley.com/documents/?uuid=b485599d-5c0e-43e7-a4e9-cd757242b523"]}],"mendeley":{"formattedCitation":"[10]","plainTextFormattedCitation":"[10]","previouslyFormattedCitation":"[10]"},"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[10]</w:t>
      </w:r>
      <w:r>
        <w:rPr>
          <w:rFonts w:ascii="Times New Roman" w:hAnsi="Times New Roman" w:cs="Times New Roman"/>
          <w:noProof/>
        </w:rPr>
        <w:fldChar w:fldCharType="end"/>
      </w:r>
      <w:r>
        <w:rPr>
          <w:rFonts w:ascii="Times New Roman" w:hAnsi="Times New Roman" w:cs="Times New Roman"/>
          <w:noProof/>
        </w:rPr>
        <w:t>.</w:t>
      </w:r>
      <w:r w:rsidRPr="007F6A49">
        <w:rPr>
          <w:rFonts w:ascii="Times New Roman" w:hAnsi="Times New Roman" w:cs="Times New Roman"/>
          <w:noProof/>
        </w:rPr>
        <w:t xml:space="preserve"> </w:t>
      </w:r>
      <w:r w:rsidRPr="00517DC7">
        <w:rPr>
          <w:rFonts w:ascii="Times New Roman" w:hAnsi="Times New Roman" w:cs="Times New Roman"/>
        </w:rPr>
        <w:t>From this perspective, individuals have high self-efficacy when they believe their skill level meets or exceeds their job demands.</w:t>
      </w:r>
    </w:p>
    <w:p w14:paraId="15101E65" w14:textId="77777777" w:rsidR="0035016B" w:rsidRDefault="00A6237B" w:rsidP="00C54253">
      <w:pPr>
        <w:pBdr>
          <w:top w:val="nil"/>
          <w:left w:val="nil"/>
          <w:bottom w:val="nil"/>
          <w:right w:val="nil"/>
          <w:between w:val="nil"/>
        </w:pBdr>
        <w:tabs>
          <w:tab w:val="left" w:pos="567"/>
        </w:tabs>
        <w:spacing w:after="240" w:line="240" w:lineRule="auto"/>
        <w:jc w:val="both"/>
        <w:rPr>
          <w:rFonts w:ascii="Times New Roman" w:hAnsi="Times New Roman" w:cs="Times New Roman"/>
          <w:noProof/>
        </w:rPr>
      </w:pPr>
      <w:r w:rsidRPr="00A6237B">
        <w:rPr>
          <w:rFonts w:ascii="Times New Roman" w:hAnsi="Times New Roman" w:cs="Times New Roman"/>
        </w:rPr>
        <w:t xml:space="preserve">Self-efficacy is not a general trait but related to specific tasks and situations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{"citationItems":[{"id":"ITEM-1","itemData":{"author":[{"dropping-particle":"","family":"Bandura","given":"A.","non-dropping-particle":"","parse-names":false,"suffix":""}],"id":"ITEM-1","issued":{"date-parts":[["1986"]]},"publisher":"Prentice Hall","publisher-place":"Englewood Cliffs, NJ","title":"Social foundations of thought and action","type":"book"},"uris":["http://www.mendeley.com/documents/?uuid=09e10eff-e608-4f06-ae61-8b3b12ed48fc"]}],"mendeley":{"formattedCitation":"[3]","plainTextFormattedCitation":"[3]","previouslyFormattedCitation":"[3]"},"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[3]</w:t>
      </w:r>
      <w:r w:rsidRPr="007F6A49">
        <w:rPr>
          <w:rFonts w:ascii="Times New Roman" w:hAnsi="Times New Roman" w:cs="Times New Roman"/>
          <w:noProof/>
        </w:rPr>
        <w:fldChar w:fldCharType="end"/>
      </w:r>
      <w:r>
        <w:rPr>
          <w:rFonts w:ascii="Times New Roman" w:hAnsi="Times New Roman" w:cs="Times New Roman"/>
          <w:noProof/>
        </w:rPr>
        <w:t>.</w:t>
      </w:r>
      <w:r w:rsidRPr="00A6237B">
        <w:rPr>
          <w:rFonts w:ascii="Times New Roman" w:hAnsi="Times New Roman" w:cs="Times New Roman"/>
        </w:rPr>
        <w:t xml:space="preserve"> In the context of work, self-efficacy is known as occupational self-efficacy, which can be defined as a person's perception of his ability to carry out his work duties effectively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{"citationItems":[{"id":"ITEM-1","itemData":{"DOI":"10.1177/1069072707305763","ISSN":"1069-0727","abstract":"Occupational self-efficacy is an important resource for individuals in organizations. To be able to compare the occupational self-efficacy of employees across different countries, equivalent versions of the standard instruments need to be made available in different languages. In this article, the authors report on the structural and construct validity of an instrument that assesses occupational self-efficacy across five countries (Germany, Sweden, Belgium, United Kingdom, Spain), based on an overall sample of N =1,535. The instrument can be recommended for comparative use in German, Swedish, Belgian, Spanish, and British organizational contexts.","author":[{"dropping-particle":"","family":"Rigotti","given":"Thomas","non-dropping-particle":"","parse-names":false,"suffix":""},{"dropping-particle":"","family":"Schyns","given":"Birgit","non-dropping-particle":"","parse-names":false,"suffix":""},{"dropping-particle":"","family":"Mohr","given":"Gisela","non-dropping-particle":"","parse-names":false,"suffix":""}],"container-title":"Journal of Career Assessment","id":"ITEM-1","issue":"2","issued":{"date-parts":[["2008","5","1"]]},"note":"doi: 10.1177/1069072707305763","page":"238-255","publisher":"SAGE Publications Inc","title":"A Short Version of the Occupational Self-Efficacy Scale: Structural and Construct Validity Across Five Countries","type":"article-journal","volume":"16"},"uris":["http://www.mendeley.com/documents/?uuid=a75f07c8-569f-46d1-a954-75a2965f9f56"]}],"mendeley":{"formattedCitation":"[11]","plainTextFormattedCitation":"[11]","previouslyFormattedCitation":"[11]"},"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[11]</w:t>
      </w:r>
      <w:r>
        <w:rPr>
          <w:rFonts w:ascii="Times New Roman" w:hAnsi="Times New Roman" w:cs="Times New Roman"/>
          <w:noProof/>
        </w:rPr>
        <w:fldChar w:fldCharType="end"/>
      </w:r>
      <w:r>
        <w:rPr>
          <w:rFonts w:ascii="Times New Roman" w:hAnsi="Times New Roman" w:cs="Times New Roman"/>
          <w:noProof/>
        </w:rPr>
        <w:t>.</w:t>
      </w:r>
      <w:r w:rsidRPr="00A6237B">
        <w:rPr>
          <w:rFonts w:ascii="Times New Roman" w:hAnsi="Times New Roman" w:cs="Times New Roman"/>
        </w:rPr>
        <w:t xml:space="preserve"> Occupational self-efficacy has a significant role in performance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10.1108/MRR-03-2017-0062","author":[{"dropping-particle":"","family":"Çetin","given":"Fatih","non-dropping-particle":"","parse-names":false,"suffix":""},{"dropping-particle":"","family":"Aşkun","given":"Duysal","non-dropping-particle":"","parse-names":false,"suffix":""}],"container-title":"Management Research Review","id":"ITEM-1","issue":"2","issued":{"date-parts":[["2018"]]},"page":"186-201","title":"The effect of occupational self-efficacy on work performance through intrinsic work motivation","type":"article-journal","volume":"41"},"uris":["http://www.mendeley.com/documents/?uuid=bb5baac3-05bd-435e-8746-8b91dd989edb"]}],"mendeley":{"formattedCitation":"[12]","plainTextFormattedCitation":"[12]","previouslyFormattedCitation":"[12]"},"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[12]</w:t>
      </w:r>
      <w:r>
        <w:rPr>
          <w:rFonts w:ascii="Times New Roman" w:hAnsi="Times New Roman" w:cs="Times New Roman"/>
          <w:noProof/>
        </w:rPr>
        <w:fldChar w:fldCharType="end"/>
      </w:r>
      <w:r w:rsidRPr="007F6A49">
        <w:rPr>
          <w:rFonts w:ascii="Times New Roman" w:hAnsi="Times New Roman" w:cs="Times New Roman"/>
          <w:noProof/>
        </w:rPr>
        <w:t xml:space="preserve">. </w:t>
      </w:r>
      <w:r w:rsidRPr="00A6237B">
        <w:rPr>
          <w:rFonts w:ascii="Times New Roman" w:hAnsi="Times New Roman" w:cs="Times New Roman"/>
        </w:rPr>
        <w:t xml:space="preserve">Besides, occupational self-efficacy has been positively associated with professional performance, skills development, work involvement, positive attitude towards the organization, job satisfaction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{"citationItems":[{"id":"ITEM-1","itemData":{"DOI":"doi:10.5209/rev_ SJOP.2012.v15.n2.38883","author":[{"dropping-particle":"","family":"Líbano","given":"M.D.","non-dropping-particle":"","parse-names":false,"suffix":""},{"dropping-particle":"","family":"Llorens","given":"S.","non-dropping-particle":"","parse-names":false,"suffix":""},{"dropping-particle":"","family":"Salanoval","given":"M.","non-dropping-particle":"","parse-names":false,"suffix":""},{"dropping-particle":"","family":"Schaufeli","given":"W.B.","non-dropping-particle":"","parse-names":false,"suffix":""}],"container-title":"The Spanish Journal of Psychology","id":"ITEM-1","issue":"2","issued":{"date-parts":[["2012"]]},"page":"688-701","title":"About the dark and bright sides of self-efficacy: workaholism and work engagement","type":"article-journal","volume":"15"},"uris":["http://www.mendeley.com/documents/?uuid=4aff75d9-80c9-4554-8df4-c04403a50bc3"]},{"id":"ITEM-2","itemData":{"DOI":"10.1177/1069072707305763","ISSN":"1069-0727","abstract":"Occupational self-efficacy is an important resource for individuals in organizations. To be able to compare the occupational self-efficacy of employees across different countries, equivalent versions of the standard instruments need to be made available in different languages. In this article, the authors report on the structural and construct validity of an instrument that assesses occupational self-efficacy across five countries (Germany, Sweden, Belgium, United Kingdom, Spain), based on an overall sample of N =1,535. The instrument can be recommended for comparative use in German, Swedish, Belgian, Spanish, and British organizational contexts.","author":[{"dropping-particle":"","family":"Rigotti","given":"Thomas","non-dropping-particle":"","parse-names":false,"suffix":""},{"dropping-particle":"","family":"Schyns","given":"Birgit","non-dropping-particle":"","parse-names":false,"suffix":""},{"dropping-particle":"","family":"Mohr","given":"Gisela","non-dropping-particle":"","parse-names":false,"suffix":""}],"container-title":"Journal of Career Assessment","id":"ITEM-2","issue":"2","issued":{"date-parts":[["2008","5","1"]]},"note":"doi: 10.1177/1069072707305763","page":"238-255","publisher":"SAGE Publications Inc","title":"A Short Version of the Occupational Self-Efficacy Scale: Structural and Construct Validity Across Five Countries","type":"article-journal","volume":"16"},"uris":["http://www.mendeley.com/documents/?uuid=a75f07c8-569f-46d1-a954-75a2965f9f56"]}],"mendeley":{"formattedCitation":"[11,13]","plainTextFormattedCitation":"[11,13]","previouslyFormattedCitation":"[11,13]"},"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[11,13]</w:t>
      </w:r>
      <w:r>
        <w:rPr>
          <w:rFonts w:ascii="Times New Roman" w:hAnsi="Times New Roman" w:cs="Times New Roman"/>
          <w:noProof/>
        </w:rPr>
        <w:fldChar w:fldCharType="end"/>
      </w:r>
      <w:r>
        <w:rPr>
          <w:rFonts w:ascii="Times New Roman" w:hAnsi="Times New Roman" w:cs="Times New Roman"/>
          <w:noProof/>
        </w:rPr>
        <w:t xml:space="preserve">, </w:t>
      </w:r>
      <w:r w:rsidRPr="00A6237B">
        <w:rPr>
          <w:rFonts w:ascii="Times New Roman" w:hAnsi="Times New Roman" w:cs="Times New Roman"/>
        </w:rPr>
        <w:t xml:space="preserve">and positive influence at work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{"citationItems":[{"id":"ITEM-1","itemData":{"DOI":"10.1111/j.1464-0597.2010.00435.x","abstract":"Taking Bandura's Social Cognitive Theory as our starting point, we tested how efficacy beliefs (self-efficacy and perceived collective efficacy) reciprocally influence activity engagement (vigor, dedication, and absorption) indirectly through their impact on positive affect (enthusiasm, satisfaction, and comfort) over time. We conducted two longitudinal studies using independent samples. Study 1 is a two-wave longitudinal field study that examines gain cycles regarding the dynamic relationships among self-efficacy, positive affect, and work engagement in 274 secondary school teachers. Study 2 is a three-wave longitudinal laboratory study about gain spirals in the dynamic relationships among collective efficacy beliefs, positive affect, and task engagement in 100 university students working in groups. Our findings show that: (1) efficacy beliefs reciprocally influence activity engagement indirectly through their impact on positive affect over time; (2) enthusiasm is the positive affect with the strongest effect on activity engagement; and (3) a gain spiral exists whereby efficacy beliefs increase over time due to engagement and positive affect (most notably enthusiasm). Finally, we discuss the theoretical and practical implications in terms of Social Cognitive Theory.","author":[{"dropping-particle":"","family":"Salanova","given":"Marisa","non-dropping-particle":"","parse-names":false,"suffix":""},{"dropping-particle":"","family":"Llorens","given":"Susana","non-dropping-particle":"","parse-names":false,"suffix":""},{"dropping-particle":"","family":"Schaufeli","given":"Wilmar B","non-dropping-particle":"","parse-names":false,"suffix":""}],"container-title":"Applied Psychology","id":"ITEM-1","issue":"2","issued":{"date-parts":[["2011"]]},"page":"255-285","title":"“Yes, I can, I feel good, and I just do it!” On gain cycles and spirals of efficacy beliefs, affect, and engagement","type":"article-journal","volume":"60"},"uris":["http://www.mendeley.com/documents/?uuid=f2c52ed0-8b5f-4049-8a33-1c8df40a2ef5"]}],"mendeley":{"formattedCitation":"[14]","plainTextFormattedCitation":"[14]","previouslyFormattedCitation":"[14]"},"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[14]</w:t>
      </w:r>
      <w:r>
        <w:rPr>
          <w:rFonts w:ascii="Times New Roman" w:hAnsi="Times New Roman" w:cs="Times New Roman"/>
          <w:noProof/>
        </w:rPr>
        <w:fldChar w:fldCharType="end"/>
      </w:r>
      <w:r>
        <w:rPr>
          <w:rFonts w:ascii="Times New Roman" w:hAnsi="Times New Roman" w:cs="Times New Roman"/>
          <w:noProof/>
        </w:rPr>
        <w:t>.</w:t>
      </w:r>
      <w:r w:rsidRPr="00A6237B">
        <w:rPr>
          <w:rFonts w:ascii="Times New Roman" w:hAnsi="Times New Roman" w:cs="Times New Roman"/>
        </w:rPr>
        <w:t xml:space="preserve"> On the other hand, a low level of occupational self-efficacy is associated with negative work outcomes, such as burnout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{"citationItems":[{"id":"ITEM-1","itemData":{"DOI":"10.1006/jvbe.2001.1815","ISSN":"0001-8791(Print)","abstract":"The current study compared two perspectives of emotional labor as predictors of burnout beyond the effects of negative affectivity: job-focused emotional labor (work demands regarding emotion expression) and employee-focused emotional labor (regulation of feelings and emotional expression). 238 Canadian employees (mean age 27 yrs) participated. Significant differences existed in the emotional demands reported by 5 occupational groupings. The use of surface-level emotional labor, or faking, predicted depersonalization beyond the work demands. Perceiving the demand to display positive emotions and using deep-level regulation were associated with a heightened sense of personal accomplishment, suggesting positive benefits to this aspect of work. These findings suggest new antecedents of employee burnout and clarify the emotional labor literature by comparing different conceptualizations of this concept. (PsycINFO Database Record (c) 2016 APA, all rights reserved)","author":[{"dropping-particle":"","family":"Brotheridge","given":"Céleste M","non-dropping-particle":"","parse-names":false,"suffix":""},{"dropping-particle":"","family":"Grandey","given":"Alicia A","non-dropping-particle":"","parse-names":false,"suffix":""}],"container-title":"Journal of Vocational Behavior","id":"ITEM-1","issue":"1","issued":{"date-parts":[["2002"]]},"page":"17-39","publisher":"Elsevier Science","publisher-place":"Grandey, Alicia A.: Pennsylvania State U, Dept of Psychology, 520 Moore Building, University Park, PA, US, 16802, aag6@psu.edu","title":"Emotional labor and burnout: Comparing two perspectives of \"people work\".","type":"article-journal","volume":"60"},"uris":["http://www.mendeley.com/documents/?uuid=96e83846-f655-453c-be50-9ccb0a5760bd"]},{"id":"ITEM-2","itemData":{"DOI":"10.1108/13620431211255842","ISSN":"1758-6003(Electronic),1362-0436(Print)","abstract":"Purpose: This study aims to investigate school principals’ well-being by using the job demands-resources (JD-R) model as a theoretical framework. It aims at making a significant contribution to the development of this model by considering not only job demands and job resources, but also the role of personal resources and personal demands as predictors of work engagement and burnout. In particular, it was hypothesised that job demands may mediate the relationship between workaholism and burnout, whereas job resources may mediate the relationship between self-efficacy and work engagement and burnout. Design/methodology/approach: A survey study was conducted. In total, 224 school principals (67 percent women) during training activities completed a questionnaire. Findings: The results of SEM analyses largely supported the hypotheses by showing that personal variables operate as initiators of health impairment and motivational processes. Research limitations/implications: The study lends support to the literature on individual resources that underlines the role that personal resources play in work engagement and burnout. It contributes to the JD-R model by highlighting the role of personal demands (i.e. workaholism), which has an effect on the development of burnout in school principals. Practical implications: The implications of these findings for interventions aimed at the promotion of school principals’ well-being are discussed. Originality/value: This study advances the understanding of the role played by personal resources and personal demands in the job demands-resources model. The value added is represented by the study of workaholism as personal demand, which in turn influences job demands and also the health impairment it triggers. (PsycINFO Database Record (c) 2017 APA, all rights reserved)","author":[{"dropping-particle":"","family":"Guglielmi","given":"Dina","non-dropping-particle":"","parse-names":false,"suffix":""},{"dropping-particle":"","family":"Simbula","given":"Silvia","non-dropping-particle":"","parse-names":false,"suffix":""},{"dropping-particle":"","family":"Schaufeli","given":"Wilmar B","non-dropping-particle":"","parse-names":false,"suffix":""},{"dropping-particle":"","family":"Depolo","given":"Marco","non-dropping-particle":"","parse-names":false,"suffix":""}],"container-title":"The Career Development International","id":"ITEM-2","issue":"4","issued":{"date-parts":[["2012"]]},"page":"375-389","publisher":"Emerald Group Publishing Limited","publisher-place":"Guglielmi, Dina: dina.guglielmi@unibo.it","title":"Self-efficacy and workaholism as initiators of the job demands-resources model.","type":"article-journal","volume":"17"},"uris":["http://www.mendeley.com/documents/?uuid=ffe6f03e-a504-4788-a2b7-1399eaadf851"]}],"mendeley":{"formattedCitation":"[15,16]","plainTextFormattedCitation":"[15,16]","previouslyFormattedCitation":"[15,16]"},"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[15,16]</w:t>
      </w:r>
      <w:r>
        <w:rPr>
          <w:rFonts w:ascii="Times New Roman" w:hAnsi="Times New Roman" w:cs="Times New Roman"/>
          <w:noProof/>
        </w:rPr>
        <w:fldChar w:fldCharType="end"/>
      </w:r>
      <w:r w:rsidRPr="00A6237B">
        <w:rPr>
          <w:rFonts w:ascii="Times New Roman" w:hAnsi="Times New Roman" w:cs="Times New Roman"/>
        </w:rPr>
        <w:t xml:space="preserve"> and negati</w:t>
      </w:r>
      <w:r>
        <w:rPr>
          <w:rFonts w:ascii="Times New Roman" w:hAnsi="Times New Roman" w:cs="Times New Roman"/>
        </w:rPr>
        <w:t xml:space="preserve">ve effects related to work </w:t>
      </w:r>
      <w:r w:rsidR="004A5439">
        <w:rPr>
          <w:rFonts w:ascii="Times New Roman" w:hAnsi="Times New Roman" w:cs="Times New Roman"/>
          <w:noProof/>
        </w:rPr>
        <w:fldChar w:fldCharType="begin" w:fldLock="1"/>
      </w:r>
      <w:r w:rsidR="00AB398B">
        <w:rPr>
          <w:rFonts w:ascii="Times New Roman" w:hAnsi="Times New Roman" w:cs="Times New Roman"/>
          <w:noProof/>
        </w:rPr>
        <w:instrText>ADDIN CSL_CITATION {"citationItems":[{"id":"ITEM-1","itemData":{"DOI":"10.1016/j.paid.2007.10.004","ISSN":"0191-8869(Print)","abstract":"The study tested the extent to which positive and negative affect at work mediate personality effects (Emotional Intelligence) on job satisfaction. Participants were 523 educators who completed the Wong Law Emotional Intelligence Scale, a version of the Job Affect Scale and the General Index of Job Satisfaction. Results using structural equation modelling indicated that positive and negative affect at work substantially mediate the relationship between EI and job satisfaction with positive affect exerting a stronger influence. In males, affect at work fully mediated the EI effect on job satisfaction. Among the four EI dimensions, use of emotion and emotion regulation were significant independent predictors of affect at work. The results confirm expectations deriving from Affective Events Theory regarding the role of work affectivity as an interface between personality and work attitudes and extend the literature on EI effects in organizational settings. (PsycINFO Database Record (c) 2016 APA, all rights reserved)","author":[{"dropping-particle":"","family":"Kafetsios","given":"Konstantinos","non-dropping-particle":"","parse-names":false,"suffix":""},{"dropping-particle":"","family":"Zampetakis","given":"Leonidas A","non-dropping-particle":"","parse-names":false,"suffix":""}],"container-title":"Personality and Individual Differences","id":"ITEM-1","issue":"3","issued":{"date-parts":[["2008"]]},"page":"712-722","publisher":"Elsevier Science","publisher-place":"Kafetsios, Konstantinos: Department of Psychology, University of Crete, Rethimnon 74100, Crete, Greece, k.kafetsios@psy.soc.uoc.gr","title":"Emotional intelligence and job satisfaction: Testing the mediatory role of positive and negative affect at work.","type":"article-journal","volume":"44"},"uris":["http://www.mendeley.com/documents/?uuid=242ba311-3b98-48e9-991c-de99c2497ff3"]}],"mendeley":{"formattedCitation":"[17]","plainTextFormattedCitation":"[17]","previouslyFormattedCitation":"[17]"},"properties":{"noteIndex":0},"schema":"https://github.com/citation-style-language/schema/raw/master/csl-citation.json"}</w:instrText>
      </w:r>
      <w:r w:rsidR="004A5439">
        <w:rPr>
          <w:rFonts w:ascii="Times New Roman" w:hAnsi="Times New Roman" w:cs="Times New Roman"/>
          <w:noProof/>
        </w:rPr>
        <w:fldChar w:fldCharType="separate"/>
      </w:r>
      <w:r w:rsidR="004A5439" w:rsidRPr="004A5439">
        <w:rPr>
          <w:rFonts w:ascii="Times New Roman" w:hAnsi="Times New Roman" w:cs="Times New Roman"/>
          <w:noProof/>
        </w:rPr>
        <w:t>[17]</w:t>
      </w:r>
      <w:r w:rsidR="004A5439">
        <w:rPr>
          <w:rFonts w:ascii="Times New Roman" w:hAnsi="Times New Roman" w:cs="Times New Roman"/>
          <w:noProof/>
        </w:rPr>
        <w:fldChar w:fldCharType="end"/>
      </w:r>
      <w:r>
        <w:rPr>
          <w:rFonts w:ascii="Times New Roman" w:hAnsi="Times New Roman" w:cs="Times New Roman"/>
          <w:noProof/>
        </w:rPr>
        <w:t>.</w:t>
      </w:r>
    </w:p>
    <w:p w14:paraId="266ABBB8" w14:textId="21D765B9" w:rsidR="0035016B" w:rsidRDefault="0035016B" w:rsidP="00C54253">
      <w:pPr>
        <w:pBdr>
          <w:top w:val="nil"/>
          <w:left w:val="nil"/>
          <w:bottom w:val="nil"/>
          <w:right w:val="nil"/>
          <w:between w:val="nil"/>
        </w:pBdr>
        <w:tabs>
          <w:tab w:val="left" w:pos="567"/>
        </w:tabs>
        <w:spacing w:after="240" w:line="240" w:lineRule="auto"/>
        <w:jc w:val="both"/>
        <w:rPr>
          <w:rFonts w:ascii="Times New Roman" w:hAnsi="Times New Roman" w:cs="Times New Roman"/>
          <w:noProof/>
        </w:rPr>
      </w:pPr>
      <w:r w:rsidRPr="0035016B">
        <w:rPr>
          <w:rFonts w:ascii="Times New Roman" w:hAnsi="Times New Roman" w:cs="Times New Roman"/>
        </w:rPr>
        <w:t>In the chef profession, strengthening self-efficacy of the ability to do cooking tasks is very necessary. Chefs who have confidence in their abilities</w:t>
      </w:r>
      <w:r w:rsidR="00117879">
        <w:rPr>
          <w:rFonts w:ascii="Times New Roman" w:hAnsi="Times New Roman" w:cs="Times New Roman"/>
        </w:rPr>
        <w:t xml:space="preserve"> </w:t>
      </w:r>
      <w:r w:rsidRPr="0035016B">
        <w:rPr>
          <w:rFonts w:ascii="Times New Roman" w:hAnsi="Times New Roman" w:cs="Times New Roman"/>
        </w:rPr>
        <w:t>tend to approach the work of a chef. Therefore, the provision of occupational self-efficacy as a chef must begin from the time the individual is in school. In this context, the culinary vocational school has a vital role in preparing prospective professional chefs. Measuring occupational self-efficacy refers to measuring self-efficacy in general. Self-efficacy can be conceptualized and measured through four sources of information that contribute to the development of self-efficacy. These sources are: (a) enactive mastery experience or enacting mastery experience, (b) experience models or peer observations and other role models (vicarious experience), (c) verbal/social persuasion or encouragement from others (verbal/social persuasion), and (d) physiological and affective states or physica</w:t>
      </w:r>
      <w:r>
        <w:rPr>
          <w:rFonts w:ascii="Times New Roman" w:hAnsi="Times New Roman" w:cs="Times New Roman"/>
        </w:rPr>
        <w:t xml:space="preserve">l/emotional conditions </w:t>
      </w:r>
      <w:r w:rsidR="007F6A49" w:rsidRPr="007F6A49">
        <w:rPr>
          <w:rFonts w:ascii="Times New Roman" w:hAnsi="Times New Roman" w:cs="Times New Roman"/>
          <w:noProof/>
        </w:rPr>
        <w:fldChar w:fldCharType="begin" w:fldLock="1"/>
      </w:r>
      <w:r w:rsidR="004A5439">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id":"ITEM-2","itemData":{"author":[{"dropping-particle":"","family":"Bandura","given":"A.","non-dropping-particle":"","parse-names":false,"suffix":""}],"id":"ITEM-2","issued":{"date-parts":[["1986"]]},"publisher":"Prentice Hall","publisher-place":"Englewood Cliffs, NJ","title":"Social foundations of thought and action","type":"book"},"uris":["http://www.mendeley.com/documents/?uuid=09e10eff-e608-4f06-ae61-8b3b12ed48fc"]},{"id":"ITEM-3","itemData":{"DOI":"10.1016/j.cedpsych.2008.09.002","author":[{"dropping-particle":"","family":"Usher","given":"Ellen L","non-dropping-particle":"","parse-names":false,"suffix":""},{"dropping-particle":"","family":"Pajares","given":"Frank","non-dropping-particle":"","parse-names":false,"suffix":""}],"container-title":"Contemporary Educational Psychology","id":"ITEM-3","issued":{"date-parts":[["2009"]]},"page":"89-101","title":"Sources of Self-Efficacy in Mathematics : A Validation Study","type":"article-journal","volume":"34"},"uris":["http://www.mendeley.com/documents/?uuid=888d2b9e-816a-4923-b9b6-aa8ce876f1c8"]}],"mendeley":{"formattedCitation":"[2,3,18]","plainTextFormattedCitation":"[2,3,18]","previouslyFormattedCitation":"[2,3,18]"},"properties":{"noteIndex":0},"schema":"https://github.com/citation-style-language/schema/raw/master/csl-citation.json"}</w:instrText>
      </w:r>
      <w:r w:rsidR="007F6A49" w:rsidRPr="007F6A49">
        <w:rPr>
          <w:rFonts w:ascii="Times New Roman" w:hAnsi="Times New Roman" w:cs="Times New Roman"/>
          <w:noProof/>
        </w:rPr>
        <w:fldChar w:fldCharType="separate"/>
      </w:r>
      <w:r w:rsidR="004A5439" w:rsidRPr="004A5439">
        <w:rPr>
          <w:rFonts w:ascii="Times New Roman" w:hAnsi="Times New Roman" w:cs="Times New Roman"/>
          <w:noProof/>
        </w:rPr>
        <w:t>[2,3,18]</w:t>
      </w:r>
      <w:r w:rsidR="007F6A49" w:rsidRPr="007F6A49">
        <w:rPr>
          <w:rFonts w:ascii="Times New Roman" w:hAnsi="Times New Roman" w:cs="Times New Roman"/>
          <w:noProof/>
        </w:rPr>
        <w:fldChar w:fldCharType="end"/>
      </w:r>
      <w:r w:rsidR="007F6A49" w:rsidRPr="007F6A49">
        <w:rPr>
          <w:rFonts w:ascii="Times New Roman" w:hAnsi="Times New Roman" w:cs="Times New Roman"/>
          <w:noProof/>
        </w:rPr>
        <w:t>.</w:t>
      </w:r>
    </w:p>
    <w:p w14:paraId="67B05011" w14:textId="6E61F3A7" w:rsidR="00EB4E5D" w:rsidRDefault="0035016B" w:rsidP="00C54253">
      <w:pPr>
        <w:pBdr>
          <w:top w:val="nil"/>
          <w:left w:val="nil"/>
          <w:bottom w:val="nil"/>
          <w:right w:val="nil"/>
          <w:between w:val="nil"/>
        </w:pBdr>
        <w:tabs>
          <w:tab w:val="left" w:pos="567"/>
        </w:tabs>
        <w:spacing w:after="240" w:line="240" w:lineRule="auto"/>
        <w:jc w:val="both"/>
        <w:rPr>
          <w:rFonts w:ascii="Times New Roman" w:hAnsi="Times New Roman" w:cs="Times New Roman"/>
          <w:noProof/>
        </w:rPr>
      </w:pPr>
      <w:r w:rsidRPr="0035016B">
        <w:rPr>
          <w:rFonts w:ascii="Times New Roman" w:hAnsi="Times New Roman" w:cs="Times New Roman"/>
        </w:rPr>
        <w:t xml:space="preserve">Enactive mastery experience refers to the confidence gained in a person's past success or failure in an activity. Empirically, the most reliable source of self-efficacy information is usually an achievement that has been experienced and is evident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Change","type":"article-journal","volume":"84"},"uris":["http://www.mendeley.com/documents/?uuid=a4500586-da8c-4b76-9dcb-de9cb17c2b50"]},{"id":"ITEM-2","itemData":{"author":[{"dropping-particle":"","family":"Schunk","given":"D. H.","non-dropping-particle":"","parse-names":false,"suffix":""},{"dropping-particle":"","family":"Usher","given":"E. L.","non-dropping-particle":"","parse-names":false,"suffix":""}],"container-title":"The Oxford handbook of human motivation","id":"ITEM-2","issued":{"date-parts":[["2012"]]},"page":"13–27","publisher":"Oxford University Press","publisher-place":"New York","title":"Social cognitive theory and motivation","type":"chapter"},"uris":["http://www.mendeley.com/documents/?uuid=8d74ac66-dce1-4d62-ad4d-e54b275b50f1"]}],"mendeley":{"formattedCitation":"[2,19]","plainTextFormattedCitation":"[2,19]","previouslyFormattedCitation":"[2,19]"},"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[2,19]</w:t>
      </w:r>
      <w:r w:rsidRPr="007F6A49">
        <w:rPr>
          <w:rFonts w:ascii="Times New Roman" w:hAnsi="Times New Roman" w:cs="Times New Roman"/>
          <w:noProof/>
        </w:rPr>
        <w:fldChar w:fldCharType="end"/>
      </w:r>
      <w:r w:rsidRPr="007F6A49">
        <w:rPr>
          <w:rFonts w:ascii="Times New Roman" w:hAnsi="Times New Roman" w:cs="Times New Roman"/>
          <w:noProof/>
        </w:rPr>
        <w:t xml:space="preserve">. </w:t>
      </w:r>
      <w:r w:rsidRPr="0035016B">
        <w:rPr>
          <w:rFonts w:ascii="Times New Roman" w:hAnsi="Times New Roman" w:cs="Times New Roman"/>
        </w:rPr>
        <w:t xml:space="preserve">According to Bandura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Pr>
          <w:rFonts w:ascii="Times New Roman" w:hAnsi="Times New Roman" w:cs="Times New Roman"/>
          <w:noProof/>
        </w:rPr>
        <w:fldChar w:fldCharType="separate"/>
      </w:r>
      <w:r w:rsidRPr="00AB398B">
        <w:rPr>
          <w:rFonts w:ascii="Times New Roman" w:hAnsi="Times New Roman" w:cs="Times New Roman"/>
          <w:noProof/>
        </w:rPr>
        <w:t>[2]</w:t>
      </w:r>
      <w:r>
        <w:rPr>
          <w:rFonts w:ascii="Times New Roman" w:hAnsi="Times New Roman" w:cs="Times New Roman"/>
          <w:noProof/>
        </w:rPr>
        <w:fldChar w:fldCharType="end"/>
      </w:r>
      <w:r w:rsidRPr="007F6A49">
        <w:rPr>
          <w:rFonts w:ascii="Times New Roman" w:hAnsi="Times New Roman" w:cs="Times New Roman"/>
          <w:noProof/>
        </w:rPr>
        <w:t xml:space="preserve">, </w:t>
      </w:r>
      <w:r w:rsidRPr="0035016B">
        <w:rPr>
          <w:rFonts w:ascii="Times New Roman" w:hAnsi="Times New Roman" w:cs="Times New Roman"/>
        </w:rPr>
        <w:t xml:space="preserve">every success will build one's trust, and conversely, every failure will weaken it. </w:t>
      </w:r>
      <w:r w:rsidR="00117879" w:rsidRPr="00AC3748">
        <w:rPr>
          <w:rFonts w:ascii="Times New Roman" w:hAnsi="Times New Roman" w:cs="Times New Roman"/>
        </w:rPr>
        <w:t>E</w:t>
      </w:r>
      <w:r w:rsidRPr="00AC3748">
        <w:rPr>
          <w:rFonts w:ascii="Times New Roman" w:hAnsi="Times New Roman" w:cs="Times New Roman"/>
        </w:rPr>
        <w:t xml:space="preserve">xperience </w:t>
      </w:r>
      <w:r w:rsidR="00117879" w:rsidRPr="00AC3748">
        <w:rPr>
          <w:rFonts w:ascii="Times New Roman" w:hAnsi="Times New Roman" w:cs="Times New Roman"/>
        </w:rPr>
        <w:t>model</w:t>
      </w:r>
      <w:r w:rsidR="00117879" w:rsidRPr="0035016B">
        <w:rPr>
          <w:rFonts w:ascii="Times New Roman" w:hAnsi="Times New Roman" w:cs="Times New Roman"/>
        </w:rPr>
        <w:t xml:space="preserve"> </w:t>
      </w:r>
      <w:r w:rsidRPr="0035016B">
        <w:rPr>
          <w:rFonts w:ascii="Times New Roman" w:hAnsi="Times New Roman" w:cs="Times New Roman"/>
        </w:rPr>
        <w:t xml:space="preserve">(vicarious experience) refers to a person's beliefs that are obtained through observing other people for their successes or failures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{"citationItems":[{"id":"ITEM-1","itemData":{"DOI":"10.1177/8755123315576535","ISSN":"8755-1233","abstract":"Music teachers can empower students with control over their own music ability development by helping them foster positive self-efficacy beliefs. This article reviews general education and music research concerning Bandura’s theoretical four sources of self-efficacy (enactive mastery experience, vicarious experience, verbal/social persuasion, and physiological and affective states), in order to guide music teachers in determining effective methods and approaches to help students develop a sense of music self-efficacy and subsequent music achievement. A brief summary of each self-efficacy source category is provided, along with a discussion of the means whereby self-efficacy perceptions can be developed within both general education and music learning environments. Each of these four sections reviews research and simultaneously provides corresponding practical suggestions for educators.","author":[{"dropping-particle":"","family":"Hendricks","given":"Karin S.","non-dropping-particle":"","parse-names":false,"suffix":""}],"container-title":"National Association for Music Education","id":"ITEM-1","issue":"1","issued":{"date-parts":[["2016"]]},"page":"32-38","title":"The sources of self-efficacy: Educational research and implications for music","type":"article-journal","volume":"35"},"uris":["http://www.mendeley.com/documents/?uuid=c36a7ee8-d1f7-4998-a6a5-bcf3ade48217"]}],"mendeley":{"formattedCitation":"[20]","plainTextFormattedCitation":"[20]","previouslyFormattedCitation":"[20]"},"properties":{"noteIndex":0},"schema":"https://github.com/citation-style-language/schema/raw/master/csl-citation.json"}</w:instrText>
      </w:r>
      <w:r>
        <w:rPr>
          <w:rFonts w:ascii="Times New Roman" w:hAnsi="Times New Roman" w:cs="Times New Roman"/>
          <w:noProof/>
        </w:rPr>
        <w:fldChar w:fldCharType="separate"/>
      </w:r>
      <w:r w:rsidRPr="00AB398B">
        <w:rPr>
          <w:rFonts w:ascii="Times New Roman" w:hAnsi="Times New Roman" w:cs="Times New Roman"/>
          <w:noProof/>
        </w:rPr>
        <w:t>[20]</w:t>
      </w:r>
      <w:r>
        <w:rPr>
          <w:rFonts w:ascii="Times New Roman" w:hAnsi="Times New Roman" w:cs="Times New Roman"/>
          <w:noProof/>
        </w:rPr>
        <w:fldChar w:fldCharType="end"/>
      </w:r>
      <w:r>
        <w:rPr>
          <w:rFonts w:ascii="Times New Roman" w:hAnsi="Times New Roman" w:cs="Times New Roman"/>
          <w:noProof/>
        </w:rPr>
        <w:t xml:space="preserve">. </w:t>
      </w:r>
      <w:r w:rsidRPr="0035016B">
        <w:rPr>
          <w:rFonts w:ascii="Times New Roman" w:hAnsi="Times New Roman" w:cs="Times New Roman"/>
        </w:rPr>
        <w:t xml:space="preserve">Observing others who are successful can give confidence to their ability to do the same task [2]. Modeling experiences are more effective when individuals recognize the same relationship between their skills and the capabilities of the model. The higher the assumed similarity between the model and himself, the more persuasive the successes and failures of the model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{"citationItems":[{"id":"ITEM-1","itemData":{"author":[{"dropping-particle":"","family":"Bandura","given":"A.","non-dropping-particle":"","parse-names":false,"suffix":""}],"id":"ITEM-1","issued":{"date-parts":[["1997"]]},"publisher":"Freeman","publisher-place":"New York","title":"Self-efficacy: The exercise of control","type":"book"},"uris":["http://www.mendeley.com/documents/?uuid=c147f71f-da3a-4ccc-9a5b-b6c8b0429011"]}],"mendeley":{"formattedCitation":"[9]","plainTextFormattedCitation":"[9]","previouslyFormattedCitation":"[9]"},"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[9]</w:t>
      </w:r>
      <w:r w:rsidRPr="007F6A49">
        <w:rPr>
          <w:rFonts w:ascii="Times New Roman" w:hAnsi="Times New Roman" w:cs="Times New Roman"/>
          <w:noProof/>
        </w:rPr>
        <w:fldChar w:fldCharType="end"/>
      </w:r>
      <w:r>
        <w:rPr>
          <w:rFonts w:ascii="Times New Roman" w:hAnsi="Times New Roman" w:cs="Times New Roman"/>
          <w:noProof/>
        </w:rPr>
        <w:t>.</w:t>
      </w:r>
      <w:r w:rsidRPr="0035016B">
        <w:rPr>
          <w:rFonts w:ascii="Times New Roman" w:hAnsi="Times New Roman" w:cs="Times New Roman"/>
        </w:rPr>
        <w:t xml:space="preserve"> Besides, verbal/social persuasion is the assessment and opinion of others and their influence on the individual decision-making process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w:t>
      </w:r>
      <w:r w:rsidRPr="007F6A49">
        <w:rPr>
          <w:rFonts w:ascii="Times New Roman" w:hAnsi="Times New Roman" w:cs="Times New Roman"/>
          <w:noProof/>
        </w:rPr>
        <w:fldChar w:fldCharType="end"/>
      </w:r>
      <w:r>
        <w:rPr>
          <w:rFonts w:ascii="Times New Roman" w:hAnsi="Times New Roman" w:cs="Times New Roman"/>
          <w:noProof/>
        </w:rPr>
        <w:t>.</w:t>
      </w:r>
      <w:r w:rsidRPr="0035016B">
        <w:rPr>
          <w:rFonts w:ascii="Times New Roman" w:hAnsi="Times New Roman" w:cs="Times New Roman"/>
        </w:rPr>
        <w:t xml:space="preserve"> Verbal persuasion is easy to achieve but not as persistent or as effective as providing opportunities with a gradual in</w:t>
      </w:r>
      <w:r>
        <w:rPr>
          <w:rFonts w:ascii="Times New Roman" w:hAnsi="Times New Roman" w:cs="Times New Roman"/>
        </w:rPr>
        <w:t xml:space="preserve">crease in challenges and risks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w:t>
      </w:r>
      <w:r w:rsidRPr="007F6A49">
        <w:rPr>
          <w:rFonts w:ascii="Times New Roman" w:hAnsi="Times New Roman" w:cs="Times New Roman"/>
          <w:noProof/>
        </w:rPr>
        <w:fldChar w:fldCharType="end"/>
      </w:r>
      <w:r w:rsidRPr="0035016B">
        <w:rPr>
          <w:rFonts w:ascii="Times New Roman" w:hAnsi="Times New Roman" w:cs="Times New Roman"/>
        </w:rPr>
        <w:t xml:space="preserve">. Inappropriate, excessive, or superficial praise may be ineffective or even detrimental to students' intrinsic motivation and performance progress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{"citationItems":[{"id":"ITEM-1","itemData":{"author":[{"dropping-particle":"","family":"Dweck","given":"C. S.","non-dropping-particle":"","parse-names":false,"suffix":""}],"id":"ITEM-1","issued":{"date-parts":[["2000"]]},"publisher":"Psychology Press","publisher-place":"Philadelphia, PA","title":"Self-theories: Their role in motivation, personality, and development","type":"book"},"uris":["http://www.mendeley.com/documents/?uuid=e393e0fd-161c-4bb1-a913-8cefc3691338"]}],"mendeley":{"formattedCitation":"[21]","plainTextFormattedCitation":"[21]","previouslyFormattedCitation":"[21]"},"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[21]</w:t>
      </w:r>
      <w:r w:rsidRPr="007F6A49">
        <w:rPr>
          <w:rFonts w:ascii="Times New Roman" w:hAnsi="Times New Roman" w:cs="Times New Roman"/>
          <w:noProof/>
        </w:rPr>
        <w:fldChar w:fldCharType="end"/>
      </w:r>
      <w:r>
        <w:rPr>
          <w:rFonts w:ascii="Times New Roman" w:hAnsi="Times New Roman" w:cs="Times New Roman"/>
          <w:noProof/>
        </w:rPr>
        <w:t>.</w:t>
      </w:r>
      <w:r w:rsidRPr="0035016B">
        <w:rPr>
          <w:rFonts w:ascii="Times New Roman" w:hAnsi="Times New Roman" w:cs="Times New Roman"/>
        </w:rPr>
        <w:t xml:space="preserve"> Praise can be meaningful and helpful when the compliment is proportional, specific, authentic, and based on performance that is genuinely praised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{"citationItems":[{"id":"ITEM-1","itemData":{"ISSN":"00109894","abstract":"This paper draws on questionnaire and interview data, gathered as part of a longitudinal study based at the University of New South Wales, Sydney, investigating the motivations and behavior of young instrumentalists in their first 20 months of learning. Comparisons are drawn between children who maintained and lost motivation over that period, and between those who ceased to have lessons and those who persevered. It is concluded that sensitive parental and teacher support is essential to progress, and that effective practice, focusing on quality rather than quantity, is a skill that children need to be taught and encouraged to implement. Implications for education are drawn from our data, and links made with existing research literature and educational beliefs.","author":[{"dropping-particle":"","family":"Pitts","given":"Stephanie E","non-dropping-particle":"","parse-names":false,"suffix":""},{"dropping-particle":"","family":"Davidson","given":"Jane W","non-dropping-particle":"","parse-names":false,"suffix":""},{"dropping-particle":"","family":"McPherson","given":"Gary E","non-dropping-particle":"","parse-names":false,"suffix":""}],"container-title":"Bulletin of the Council for Research in Music Education","id":"ITEM-1","issue":"146","issued":{"date-parts":[["2000"]]},"page":"51-69","publisher":"University of Illinois Press","title":"Models of success and failure in instrumental learning: Case studies of young players in the first 20 months of learning","type":"article-journal"},"uris":["http://www.mendeley.com/documents/?uuid=f3e98768-0004-463b-a8ec-42779117a306"]}],"mendeley":{"formattedCitation":"[22]","plainTextFormattedCitation":"[22]","previouslyFormattedCitation":"[22]"},"properties":{"noteIndex":0},"schema":"https://github.com/citation-style-language/schema/raw/master/csl-citation.json"}</w:instrText>
      </w:r>
      <w:r>
        <w:rPr>
          <w:rFonts w:ascii="Times New Roman" w:hAnsi="Times New Roman" w:cs="Times New Roman"/>
          <w:noProof/>
        </w:rPr>
        <w:fldChar w:fldCharType="separate"/>
      </w:r>
      <w:r w:rsidRPr="00AB398B">
        <w:rPr>
          <w:rFonts w:ascii="Times New Roman" w:hAnsi="Times New Roman" w:cs="Times New Roman"/>
          <w:noProof/>
        </w:rPr>
        <w:t>[22]</w:t>
      </w:r>
      <w:r>
        <w:rPr>
          <w:rFonts w:ascii="Times New Roman" w:hAnsi="Times New Roman" w:cs="Times New Roman"/>
          <w:noProof/>
        </w:rPr>
        <w:fldChar w:fldCharType="end"/>
      </w:r>
      <w:r w:rsidRPr="007F6A49">
        <w:rPr>
          <w:rFonts w:ascii="Times New Roman" w:hAnsi="Times New Roman" w:cs="Times New Roman"/>
          <w:noProof/>
        </w:rPr>
        <w:t>.</w:t>
      </w:r>
      <w:r w:rsidRPr="0035016B">
        <w:rPr>
          <w:rFonts w:ascii="Times New Roman" w:hAnsi="Times New Roman" w:cs="Times New Roman"/>
        </w:rPr>
        <w:t xml:space="preserve"> While the physiological/emotional state refers to the level of physical arousal and emotional mood of the individual. Perceived ability is influenced by our awareness of the physical and emotional reactions of the body to certain situations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w:t>
      </w:r>
      <w:r w:rsidRPr="007F6A49">
        <w:rPr>
          <w:rFonts w:ascii="Times New Roman" w:hAnsi="Times New Roman" w:cs="Times New Roman"/>
          <w:noProof/>
        </w:rPr>
        <w:fldChar w:fldCharType="end"/>
      </w:r>
      <w:r>
        <w:rPr>
          <w:rFonts w:ascii="Times New Roman" w:hAnsi="Times New Roman" w:cs="Times New Roman"/>
          <w:noProof/>
        </w:rPr>
        <w:t xml:space="preserve">. </w:t>
      </w:r>
      <w:r w:rsidRPr="0035016B">
        <w:rPr>
          <w:rFonts w:ascii="Times New Roman" w:hAnsi="Times New Roman" w:cs="Times New Roman"/>
        </w:rPr>
        <w:t>Perceptions of self-efficacy can be improved by developing physical strength, reducing stress, developing positive thinking, and increasing mental interpretatio</w:t>
      </w:r>
      <w:r>
        <w:rPr>
          <w:rFonts w:ascii="Times New Roman" w:hAnsi="Times New Roman" w:cs="Times New Roman"/>
        </w:rPr>
        <w:t xml:space="preserve">n of the state of the body </w:t>
      </w:r>
      <w:r w:rsidR="007F6A49" w:rsidRPr="007F6A49">
        <w:rPr>
          <w:rFonts w:ascii="Times New Roman" w:hAnsi="Times New Roman" w:cs="Times New Roman"/>
          <w:noProof/>
        </w:rPr>
        <w:fldChar w:fldCharType="begin" w:fldLock="1"/>
      </w:r>
      <w:r w:rsidR="004A5439">
        <w:rPr>
          <w:rFonts w:ascii="Times New Roman" w:hAnsi="Times New Roman" w:cs="Times New Roman"/>
          <w:noProof/>
        </w:rPr>
        <w:instrText>ADDIN CSL_CITATION {"citationItems":[{"id":"ITEM-1","itemData":{"DOI":"10.1080/02699939108411041","ISSN":"0269-9931","abstract":"Abstract Contrary to the assumptions of common sense?and of some research?focusing on one's physical sensations does not necessarily make them more unpleasant. Rather, attention and affect interact to produce somatic meaning. Fifty-six male subjects exercised at 60% of their aerobic capacity with either no instructions, or instructions to closely monitor their somatic sensations. Half of each group thought they might receive an electric shock while they exercised. Subjects then listed the sensations they perceived, and indicated their degree of noticeability, their subjective unpleasantness, and their presumed cause. Monitoring subjects reported the same number of physical sensations as did the no-instruction subjects, and rated them as noticeable to the same degree. Nonetheless, monitoring produced a more negative interpretation of one's sensations under threat, but a more positive one under no threat. The findings support and extend the view of somatic experience as inherently plastic. The results also suggest that sensory attention can influence the meaning of somatic information?in both a positive and a negative direction?without necessarily imparting more of it.","author":[{"dropping-particle":"","family":"Cioffi","given":"Delia","non-dropping-particle":"","parse-names":false,"suffix":""}],"container-title":"Cognition and Emotion","id":"ITEM-1","issue":"4","issued":{"date-parts":[["1991","7","1"]]},"note":"doi: 10.1080/02699939108411041","page":"275-294","publisher":"Routledge","title":"Sensory awareness versus sensory impression: Affect and attention interact to produce somatic meaning","type":"article-journal","volume":"5"},"uris":["http://www.mendeley.com/documents/?uuid=0285f10c-dbac-4804-aa42-266aa28a7e63"]}],"mendeley":{"formattedCitation":"[23]","plainTextFormattedCitation":"[23]","previouslyFormattedCitation":"[23]"},"properties":{"noteIndex":0},"schema":"https://github.com/citation-style-language/schema/raw/master/csl-citation.json"}</w:instrText>
      </w:r>
      <w:r w:rsidR="007F6A49" w:rsidRPr="007F6A49">
        <w:rPr>
          <w:rFonts w:ascii="Times New Roman" w:hAnsi="Times New Roman" w:cs="Times New Roman"/>
          <w:noProof/>
        </w:rPr>
        <w:fldChar w:fldCharType="separate"/>
      </w:r>
      <w:r w:rsidR="004A5439" w:rsidRPr="004A5439">
        <w:rPr>
          <w:rFonts w:ascii="Times New Roman" w:hAnsi="Times New Roman" w:cs="Times New Roman"/>
          <w:noProof/>
        </w:rPr>
        <w:t>[23]</w:t>
      </w:r>
      <w:r w:rsidR="007F6A49" w:rsidRPr="007F6A49">
        <w:rPr>
          <w:rFonts w:ascii="Times New Roman" w:hAnsi="Times New Roman" w:cs="Times New Roman"/>
          <w:noProof/>
        </w:rPr>
        <w:fldChar w:fldCharType="end"/>
      </w:r>
      <w:r w:rsidR="007F6A49" w:rsidRPr="007F6A49">
        <w:rPr>
          <w:rFonts w:ascii="Times New Roman" w:hAnsi="Times New Roman" w:cs="Times New Roman"/>
          <w:noProof/>
        </w:rPr>
        <w:t xml:space="preserve">. </w:t>
      </w:r>
    </w:p>
    <w:p w14:paraId="71FC8E4A" w14:textId="77777777" w:rsidR="006C424A" w:rsidRPr="00C54253" w:rsidRDefault="00EB4E5D" w:rsidP="00C54253">
      <w:pPr>
        <w:pBdr>
          <w:top w:val="nil"/>
          <w:left w:val="nil"/>
          <w:bottom w:val="nil"/>
          <w:right w:val="nil"/>
          <w:between w:val="nil"/>
        </w:pBdr>
        <w:tabs>
          <w:tab w:val="left" w:pos="567"/>
        </w:tabs>
        <w:spacing w:after="240" w:line="240" w:lineRule="auto"/>
        <w:jc w:val="both"/>
        <w:rPr>
          <w:rFonts w:ascii="Times New Roman" w:hAnsi="Times New Roman" w:cs="Times New Roman"/>
        </w:rPr>
      </w:pPr>
      <w:r w:rsidRPr="00EB4E5D">
        <w:rPr>
          <w:rFonts w:ascii="Times New Roman" w:hAnsi="Times New Roman" w:cs="Times New Roman"/>
        </w:rPr>
        <w:t xml:space="preserve">Referring to the broad database, then in the context of this study, the self-efficacy of a chef occupation is one's self-confidence in his ability to do work on a chef's profession. Several studies conducted by the experts above indicate that it is essential to build and develop occupational self-efficacy for students in vocational schools as their capital in preparing themselves to be skilled in the chosen field of expertise. </w:t>
      </w:r>
      <w:r w:rsidRPr="00EB4E5D">
        <w:rPr>
          <w:rFonts w:ascii="Times New Roman" w:hAnsi="Times New Roman" w:cs="Times New Roman"/>
        </w:rPr>
        <w:lastRenderedPageBreak/>
        <w:t>Although there have been many studies that discuss the importance of self-efficacy, there are still limited studies that address occupational self-efficacy in the area of cooking. This study aims to develop and test an occupational self-efficacy questionnaire on cooking ability.</w:t>
      </w:r>
    </w:p>
    <w:p w14:paraId="00EB9F3A" w14:textId="77777777" w:rsidR="006C424A" w:rsidRDefault="006C424A">
      <w:pPr>
        <w:spacing w:after="0"/>
        <w:jc w:val="both"/>
        <w:rPr>
          <w:rFonts w:ascii="Times New Roman" w:eastAsia="Times New Roman" w:hAnsi="Times New Roman" w:cs="Times New Roman"/>
          <w:i/>
        </w:rPr>
      </w:pPr>
    </w:p>
    <w:p w14:paraId="6A482EBD" w14:textId="3ECD4AB9" w:rsidR="006C424A" w:rsidRDefault="00CB59C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w:t>
      </w:r>
      <w:r w:rsidR="00117879">
        <w:rPr>
          <w:rFonts w:ascii="Times New Roman" w:eastAsia="Times New Roman" w:hAnsi="Times New Roman" w:cs="Times New Roman"/>
          <w:b/>
          <w:color w:val="000000"/>
        </w:rPr>
        <w:t>hod</w:t>
      </w:r>
    </w:p>
    <w:p w14:paraId="6E35EB1D" w14:textId="77777777" w:rsidR="00E85766" w:rsidRDefault="00E85766" w:rsidP="00C77997">
      <w:pPr>
        <w:spacing w:after="240"/>
        <w:jc w:val="both"/>
        <w:rPr>
          <w:rFonts w:ascii="Times New Roman" w:eastAsia="Garamond" w:hAnsi="Times New Roman" w:cs="Times New Roman"/>
        </w:rPr>
      </w:pPr>
      <w:r w:rsidRPr="00E85766">
        <w:rPr>
          <w:rFonts w:ascii="Times New Roman" w:eastAsia="Garamond" w:hAnsi="Times New Roman" w:cs="Times New Roman"/>
        </w:rPr>
        <w:t>This study involved culinary students in Yogyakarta-Indonesia as respondents. Three hundred ninety-two students had filled out a questionnaire from a total population of 950 culinary vocational students in Yogyakarta (see Table 1).</w:t>
      </w:r>
    </w:p>
    <w:p w14:paraId="2589B6C4" w14:textId="77777777" w:rsidR="00E26B2B" w:rsidRPr="00345A71" w:rsidRDefault="00E26B2B" w:rsidP="00345A71">
      <w:pPr>
        <w:pStyle w:val="BodyText"/>
        <w:tabs>
          <w:tab w:val="clear" w:pos="8640"/>
        </w:tabs>
        <w:ind w:firstLine="0"/>
        <w:rPr>
          <w:rFonts w:eastAsia="Garamond"/>
          <w:sz w:val="22"/>
        </w:rPr>
      </w:pPr>
      <w:r w:rsidRPr="00345A71">
        <w:rPr>
          <w:rFonts w:eastAsia="Garamond"/>
          <w:sz w:val="22"/>
        </w:rPr>
        <w:t xml:space="preserve">Table 1. </w:t>
      </w:r>
      <w:r w:rsidRPr="00345A71">
        <w:rPr>
          <w:i/>
          <w:color w:val="000000"/>
          <w:sz w:val="22"/>
        </w:rPr>
        <w:t>Background of participants</w:t>
      </w:r>
      <w:r w:rsidRPr="00345A71">
        <w:rPr>
          <w:i/>
          <w:color w:val="000000"/>
          <w:sz w:val="22"/>
          <w:lang w:eastAsia="zh-TW"/>
        </w:rPr>
        <w:t xml:space="preserve"> (N=392)</w:t>
      </w:r>
    </w:p>
    <w:tbl>
      <w:tblPr>
        <w:tblW w:w="6970" w:type="dxa"/>
        <w:tblBorders>
          <w:top w:val="single" w:sz="4" w:space="0" w:color="7F7F7F"/>
          <w:bottom w:val="single" w:sz="4" w:space="0" w:color="7F7F7F"/>
        </w:tblBorders>
        <w:tblLayout w:type="fixed"/>
        <w:tblLook w:val="04A0" w:firstRow="1" w:lastRow="0" w:firstColumn="1" w:lastColumn="0" w:noHBand="0" w:noVBand="1"/>
      </w:tblPr>
      <w:tblGrid>
        <w:gridCol w:w="1843"/>
        <w:gridCol w:w="2835"/>
        <w:gridCol w:w="1134"/>
        <w:gridCol w:w="1158"/>
      </w:tblGrid>
      <w:tr w:rsidR="00E26B2B" w:rsidRPr="00062105" w14:paraId="005023F0" w14:textId="77777777" w:rsidTr="00345A71">
        <w:trPr>
          <w:trHeight w:val="437"/>
          <w:tblHeader/>
        </w:trPr>
        <w:tc>
          <w:tcPr>
            <w:tcW w:w="1843" w:type="dxa"/>
            <w:tcBorders>
              <w:bottom w:val="single" w:sz="4" w:space="0" w:color="7F7F7F"/>
            </w:tcBorders>
            <w:shd w:val="clear" w:color="auto" w:fill="auto"/>
          </w:tcPr>
          <w:p w14:paraId="2F35412A" w14:textId="77777777"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Attribute</w:t>
            </w:r>
          </w:p>
        </w:tc>
        <w:tc>
          <w:tcPr>
            <w:tcW w:w="2835" w:type="dxa"/>
            <w:tcBorders>
              <w:bottom w:val="single" w:sz="4" w:space="0" w:color="7F7F7F"/>
            </w:tcBorders>
            <w:shd w:val="clear" w:color="auto" w:fill="auto"/>
          </w:tcPr>
          <w:p w14:paraId="2911B86F" w14:textId="77777777"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Categories</w:t>
            </w:r>
          </w:p>
        </w:tc>
        <w:tc>
          <w:tcPr>
            <w:tcW w:w="1134" w:type="dxa"/>
            <w:tcBorders>
              <w:bottom w:val="single" w:sz="4" w:space="0" w:color="7F7F7F"/>
            </w:tcBorders>
            <w:shd w:val="clear" w:color="auto" w:fill="auto"/>
          </w:tcPr>
          <w:p w14:paraId="27DD3B70" w14:textId="77777777"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N</w:t>
            </w:r>
          </w:p>
        </w:tc>
        <w:tc>
          <w:tcPr>
            <w:tcW w:w="1158" w:type="dxa"/>
            <w:tcBorders>
              <w:bottom w:val="single" w:sz="4" w:space="0" w:color="7F7F7F"/>
            </w:tcBorders>
            <w:shd w:val="clear" w:color="auto" w:fill="auto"/>
          </w:tcPr>
          <w:p w14:paraId="6D3E0B9B" w14:textId="77777777"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w:t>
            </w:r>
          </w:p>
        </w:tc>
      </w:tr>
      <w:tr w:rsidR="00E26B2B" w:rsidRPr="00062105" w14:paraId="344C649B" w14:textId="77777777" w:rsidTr="00345A71">
        <w:tc>
          <w:tcPr>
            <w:tcW w:w="1843" w:type="dxa"/>
            <w:vMerge w:val="restart"/>
            <w:tcBorders>
              <w:top w:val="single" w:sz="4" w:space="0" w:color="7F7F7F"/>
              <w:bottom w:val="single" w:sz="4" w:space="0" w:color="7F7F7F"/>
            </w:tcBorders>
            <w:shd w:val="clear" w:color="auto" w:fill="auto"/>
          </w:tcPr>
          <w:p w14:paraId="1D7F4D96" w14:textId="77777777" w:rsidR="00E26B2B" w:rsidRPr="00062105" w:rsidRDefault="00E26B2B" w:rsidP="00E26B2B">
            <w:pPr>
              <w:spacing w:after="0" w:line="240" w:lineRule="auto"/>
              <w:rPr>
                <w:rFonts w:ascii="Times New Roman" w:hAnsi="Times New Roman" w:cs="Times New Roman"/>
                <w:b/>
                <w:bCs/>
                <w:color w:val="000000"/>
              </w:rPr>
            </w:pPr>
            <w:r w:rsidRPr="00062105">
              <w:rPr>
                <w:rFonts w:ascii="Times New Roman" w:hAnsi="Times New Roman" w:cs="Times New Roman"/>
                <w:b/>
                <w:bCs/>
                <w:color w:val="000000"/>
              </w:rPr>
              <w:t>Gender</w:t>
            </w:r>
          </w:p>
        </w:tc>
        <w:tc>
          <w:tcPr>
            <w:tcW w:w="2835" w:type="dxa"/>
            <w:tcBorders>
              <w:top w:val="single" w:sz="4" w:space="0" w:color="7F7F7F"/>
              <w:bottom w:val="single" w:sz="4" w:space="0" w:color="7F7F7F"/>
            </w:tcBorders>
            <w:shd w:val="clear" w:color="auto" w:fill="auto"/>
          </w:tcPr>
          <w:p w14:paraId="37D02B17"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Male</w:t>
            </w:r>
          </w:p>
        </w:tc>
        <w:tc>
          <w:tcPr>
            <w:tcW w:w="1134" w:type="dxa"/>
            <w:tcBorders>
              <w:top w:val="single" w:sz="4" w:space="0" w:color="7F7F7F"/>
              <w:bottom w:val="single" w:sz="4" w:space="0" w:color="7F7F7F"/>
            </w:tcBorders>
            <w:shd w:val="clear" w:color="auto" w:fill="auto"/>
          </w:tcPr>
          <w:p w14:paraId="4811F10A"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46</w:t>
            </w:r>
          </w:p>
        </w:tc>
        <w:tc>
          <w:tcPr>
            <w:tcW w:w="1158" w:type="dxa"/>
            <w:tcBorders>
              <w:top w:val="single" w:sz="4" w:space="0" w:color="7F7F7F"/>
              <w:bottom w:val="single" w:sz="4" w:space="0" w:color="7F7F7F"/>
            </w:tcBorders>
            <w:shd w:val="clear" w:color="auto" w:fill="auto"/>
          </w:tcPr>
          <w:p w14:paraId="7358E4BF"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11.7</w:t>
            </w:r>
          </w:p>
        </w:tc>
      </w:tr>
      <w:tr w:rsidR="00E26B2B" w:rsidRPr="00062105" w14:paraId="27F141A9" w14:textId="77777777" w:rsidTr="00345A71">
        <w:tc>
          <w:tcPr>
            <w:tcW w:w="1843" w:type="dxa"/>
            <w:vMerge/>
            <w:shd w:val="clear" w:color="auto" w:fill="auto"/>
          </w:tcPr>
          <w:p w14:paraId="71BC5377" w14:textId="77777777" w:rsidR="00E26B2B" w:rsidRPr="00062105" w:rsidRDefault="00E26B2B" w:rsidP="00E26B2B">
            <w:pPr>
              <w:spacing w:after="0" w:line="240" w:lineRule="auto"/>
              <w:ind w:left="252"/>
              <w:rPr>
                <w:rFonts w:ascii="Times New Roman" w:hAnsi="Times New Roman" w:cs="Times New Roman"/>
                <w:b/>
                <w:bCs/>
                <w:color w:val="000000"/>
              </w:rPr>
            </w:pPr>
          </w:p>
        </w:tc>
        <w:tc>
          <w:tcPr>
            <w:tcW w:w="2835" w:type="dxa"/>
            <w:shd w:val="clear" w:color="auto" w:fill="auto"/>
          </w:tcPr>
          <w:p w14:paraId="60DAEF2B"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Female</w:t>
            </w:r>
          </w:p>
        </w:tc>
        <w:tc>
          <w:tcPr>
            <w:tcW w:w="1134" w:type="dxa"/>
            <w:shd w:val="clear" w:color="auto" w:fill="auto"/>
          </w:tcPr>
          <w:p w14:paraId="4A163709"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346</w:t>
            </w:r>
          </w:p>
        </w:tc>
        <w:tc>
          <w:tcPr>
            <w:tcW w:w="1158" w:type="dxa"/>
            <w:shd w:val="clear" w:color="auto" w:fill="auto"/>
          </w:tcPr>
          <w:p w14:paraId="514A3C1F"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88.3</w:t>
            </w:r>
          </w:p>
        </w:tc>
      </w:tr>
      <w:tr w:rsidR="00E26B2B" w:rsidRPr="00062105" w14:paraId="7C830FC0" w14:textId="77777777" w:rsidTr="00345A71">
        <w:tc>
          <w:tcPr>
            <w:tcW w:w="1843" w:type="dxa"/>
            <w:vMerge w:val="restart"/>
            <w:tcBorders>
              <w:top w:val="single" w:sz="4" w:space="0" w:color="7F7F7F"/>
              <w:bottom w:val="single" w:sz="4" w:space="0" w:color="7F7F7F"/>
            </w:tcBorders>
            <w:shd w:val="clear" w:color="auto" w:fill="auto"/>
          </w:tcPr>
          <w:p w14:paraId="6D70C669" w14:textId="77777777" w:rsidR="00E26B2B" w:rsidRPr="00062105" w:rsidRDefault="00E26B2B" w:rsidP="00E26B2B">
            <w:pPr>
              <w:spacing w:after="0" w:line="240" w:lineRule="auto"/>
              <w:rPr>
                <w:rFonts w:ascii="Times New Roman" w:hAnsi="Times New Roman" w:cs="Times New Roman"/>
                <w:b/>
                <w:bCs/>
                <w:color w:val="000000"/>
              </w:rPr>
            </w:pPr>
            <w:r w:rsidRPr="00062105">
              <w:rPr>
                <w:rFonts w:ascii="Times New Roman" w:hAnsi="Times New Roman" w:cs="Times New Roman"/>
                <w:b/>
                <w:bCs/>
                <w:color w:val="000000"/>
              </w:rPr>
              <w:t>School</w:t>
            </w:r>
          </w:p>
        </w:tc>
        <w:tc>
          <w:tcPr>
            <w:tcW w:w="2835" w:type="dxa"/>
            <w:tcBorders>
              <w:top w:val="single" w:sz="4" w:space="0" w:color="7F7F7F"/>
              <w:bottom w:val="single" w:sz="4" w:space="0" w:color="7F7F7F"/>
            </w:tcBorders>
            <w:shd w:val="clear" w:color="auto" w:fill="auto"/>
          </w:tcPr>
          <w:p w14:paraId="1A789811"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A</w:t>
            </w:r>
          </w:p>
        </w:tc>
        <w:tc>
          <w:tcPr>
            <w:tcW w:w="1134" w:type="dxa"/>
            <w:tcBorders>
              <w:top w:val="single" w:sz="4" w:space="0" w:color="7F7F7F"/>
              <w:bottom w:val="single" w:sz="4" w:space="0" w:color="7F7F7F"/>
            </w:tcBorders>
            <w:shd w:val="clear" w:color="auto" w:fill="auto"/>
          </w:tcPr>
          <w:p w14:paraId="1F6E89A3"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50</w:t>
            </w:r>
          </w:p>
        </w:tc>
        <w:tc>
          <w:tcPr>
            <w:tcW w:w="1158" w:type="dxa"/>
            <w:tcBorders>
              <w:top w:val="single" w:sz="4" w:space="0" w:color="7F7F7F"/>
              <w:bottom w:val="single" w:sz="4" w:space="0" w:color="7F7F7F"/>
            </w:tcBorders>
            <w:shd w:val="clear" w:color="auto" w:fill="auto"/>
          </w:tcPr>
          <w:p w14:paraId="6EA2F44D"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12.8</w:t>
            </w:r>
          </w:p>
        </w:tc>
      </w:tr>
      <w:tr w:rsidR="00E26B2B" w:rsidRPr="00062105" w14:paraId="000BCC3A" w14:textId="77777777" w:rsidTr="00345A71">
        <w:tc>
          <w:tcPr>
            <w:tcW w:w="1843" w:type="dxa"/>
            <w:vMerge/>
            <w:shd w:val="clear" w:color="auto" w:fill="auto"/>
          </w:tcPr>
          <w:p w14:paraId="4B003A9A" w14:textId="77777777" w:rsidR="00E26B2B" w:rsidRPr="00062105" w:rsidRDefault="00E26B2B" w:rsidP="00E26B2B">
            <w:pPr>
              <w:spacing w:after="0" w:line="240" w:lineRule="auto"/>
              <w:rPr>
                <w:rFonts w:ascii="Times New Roman" w:hAnsi="Times New Roman" w:cs="Times New Roman"/>
                <w:b/>
                <w:bCs/>
                <w:color w:val="000000"/>
              </w:rPr>
            </w:pPr>
          </w:p>
        </w:tc>
        <w:tc>
          <w:tcPr>
            <w:tcW w:w="2835" w:type="dxa"/>
            <w:shd w:val="clear" w:color="auto" w:fill="auto"/>
          </w:tcPr>
          <w:p w14:paraId="62D4F78A"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B</w:t>
            </w:r>
          </w:p>
        </w:tc>
        <w:tc>
          <w:tcPr>
            <w:tcW w:w="1134" w:type="dxa"/>
            <w:shd w:val="clear" w:color="auto" w:fill="auto"/>
          </w:tcPr>
          <w:p w14:paraId="1F2961EB" w14:textId="77777777" w:rsidR="00E26B2B" w:rsidRPr="00062105" w:rsidRDefault="00E26B2B" w:rsidP="00E26B2B">
            <w:pPr>
              <w:spacing w:after="0" w:line="240" w:lineRule="auto"/>
              <w:jc w:val="center"/>
              <w:rPr>
                <w:rFonts w:ascii="Times New Roman" w:hAnsi="Times New Roman" w:cs="Times New Roman"/>
                <w:color w:val="000000"/>
                <w:vertAlign w:val="superscript"/>
              </w:rPr>
            </w:pPr>
            <w:r w:rsidRPr="00062105">
              <w:rPr>
                <w:rFonts w:ascii="Times New Roman" w:hAnsi="Times New Roman" w:cs="Times New Roman"/>
                <w:color w:val="000000"/>
              </w:rPr>
              <w:t>52</w:t>
            </w:r>
          </w:p>
        </w:tc>
        <w:tc>
          <w:tcPr>
            <w:tcW w:w="1158" w:type="dxa"/>
            <w:shd w:val="clear" w:color="auto" w:fill="auto"/>
          </w:tcPr>
          <w:p w14:paraId="119E46B8"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13.3</w:t>
            </w:r>
          </w:p>
        </w:tc>
      </w:tr>
      <w:tr w:rsidR="00E26B2B" w:rsidRPr="00062105" w14:paraId="7FD6C42C" w14:textId="77777777" w:rsidTr="00345A71">
        <w:tc>
          <w:tcPr>
            <w:tcW w:w="1843" w:type="dxa"/>
            <w:vMerge/>
            <w:tcBorders>
              <w:top w:val="single" w:sz="4" w:space="0" w:color="7F7F7F"/>
              <w:bottom w:val="single" w:sz="4" w:space="0" w:color="7F7F7F"/>
            </w:tcBorders>
            <w:shd w:val="clear" w:color="auto" w:fill="auto"/>
          </w:tcPr>
          <w:p w14:paraId="5FA67634" w14:textId="77777777" w:rsidR="00E26B2B" w:rsidRPr="00062105" w:rsidRDefault="00E26B2B" w:rsidP="00E26B2B">
            <w:pPr>
              <w:spacing w:after="0" w:line="240" w:lineRule="auto"/>
              <w:rPr>
                <w:rFonts w:ascii="Times New Roman" w:hAnsi="Times New Roman" w:cs="Times New Roman"/>
                <w:b/>
                <w:bCs/>
                <w:color w:val="000000"/>
              </w:rPr>
            </w:pPr>
          </w:p>
        </w:tc>
        <w:tc>
          <w:tcPr>
            <w:tcW w:w="2835" w:type="dxa"/>
            <w:tcBorders>
              <w:top w:val="single" w:sz="4" w:space="0" w:color="7F7F7F"/>
              <w:bottom w:val="single" w:sz="4" w:space="0" w:color="7F7F7F"/>
            </w:tcBorders>
            <w:shd w:val="clear" w:color="auto" w:fill="auto"/>
          </w:tcPr>
          <w:p w14:paraId="10119E62"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C</w:t>
            </w:r>
          </w:p>
        </w:tc>
        <w:tc>
          <w:tcPr>
            <w:tcW w:w="1134" w:type="dxa"/>
            <w:tcBorders>
              <w:top w:val="single" w:sz="4" w:space="0" w:color="7F7F7F"/>
              <w:bottom w:val="single" w:sz="4" w:space="0" w:color="7F7F7F"/>
            </w:tcBorders>
            <w:shd w:val="clear" w:color="auto" w:fill="auto"/>
          </w:tcPr>
          <w:p w14:paraId="0EF5CF86"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35</w:t>
            </w:r>
          </w:p>
        </w:tc>
        <w:tc>
          <w:tcPr>
            <w:tcW w:w="1158" w:type="dxa"/>
            <w:tcBorders>
              <w:top w:val="single" w:sz="4" w:space="0" w:color="7F7F7F"/>
              <w:bottom w:val="single" w:sz="4" w:space="0" w:color="7F7F7F"/>
            </w:tcBorders>
            <w:shd w:val="clear" w:color="auto" w:fill="auto"/>
          </w:tcPr>
          <w:p w14:paraId="07270AD2"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8.9</w:t>
            </w:r>
          </w:p>
        </w:tc>
      </w:tr>
      <w:tr w:rsidR="00E26B2B" w:rsidRPr="00062105" w14:paraId="574A0531" w14:textId="77777777" w:rsidTr="00345A71">
        <w:tc>
          <w:tcPr>
            <w:tcW w:w="1843" w:type="dxa"/>
            <w:vMerge/>
            <w:shd w:val="clear" w:color="auto" w:fill="auto"/>
          </w:tcPr>
          <w:p w14:paraId="6D30BA6D" w14:textId="77777777" w:rsidR="00E26B2B" w:rsidRPr="00062105" w:rsidRDefault="00E26B2B" w:rsidP="00E26B2B">
            <w:pPr>
              <w:spacing w:after="0" w:line="240" w:lineRule="auto"/>
              <w:rPr>
                <w:rFonts w:ascii="Times New Roman" w:hAnsi="Times New Roman" w:cs="Times New Roman"/>
                <w:b/>
                <w:bCs/>
                <w:color w:val="000000"/>
              </w:rPr>
            </w:pPr>
          </w:p>
        </w:tc>
        <w:tc>
          <w:tcPr>
            <w:tcW w:w="2835" w:type="dxa"/>
            <w:shd w:val="clear" w:color="auto" w:fill="auto"/>
          </w:tcPr>
          <w:p w14:paraId="016CDDEA"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D</w:t>
            </w:r>
          </w:p>
        </w:tc>
        <w:tc>
          <w:tcPr>
            <w:tcW w:w="1134" w:type="dxa"/>
            <w:shd w:val="clear" w:color="auto" w:fill="auto"/>
          </w:tcPr>
          <w:p w14:paraId="488A064A"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23</w:t>
            </w:r>
          </w:p>
        </w:tc>
        <w:tc>
          <w:tcPr>
            <w:tcW w:w="1158" w:type="dxa"/>
            <w:shd w:val="clear" w:color="auto" w:fill="auto"/>
          </w:tcPr>
          <w:p w14:paraId="72202C22"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5.9</w:t>
            </w:r>
          </w:p>
        </w:tc>
      </w:tr>
      <w:tr w:rsidR="00E26B2B" w:rsidRPr="00062105" w14:paraId="2DEB5F62" w14:textId="77777777" w:rsidTr="00345A71">
        <w:tc>
          <w:tcPr>
            <w:tcW w:w="1843" w:type="dxa"/>
            <w:vMerge/>
            <w:tcBorders>
              <w:top w:val="single" w:sz="4" w:space="0" w:color="7F7F7F"/>
              <w:bottom w:val="single" w:sz="4" w:space="0" w:color="7F7F7F"/>
            </w:tcBorders>
            <w:shd w:val="clear" w:color="auto" w:fill="auto"/>
          </w:tcPr>
          <w:p w14:paraId="4DB617EB" w14:textId="77777777" w:rsidR="00E26B2B" w:rsidRPr="00062105" w:rsidRDefault="00E26B2B" w:rsidP="00E26B2B">
            <w:pPr>
              <w:spacing w:after="0" w:line="240" w:lineRule="auto"/>
              <w:rPr>
                <w:rFonts w:ascii="Times New Roman" w:hAnsi="Times New Roman" w:cs="Times New Roman"/>
                <w:b/>
                <w:bCs/>
                <w:color w:val="000000"/>
              </w:rPr>
            </w:pPr>
          </w:p>
        </w:tc>
        <w:tc>
          <w:tcPr>
            <w:tcW w:w="2835" w:type="dxa"/>
            <w:tcBorders>
              <w:top w:val="single" w:sz="4" w:space="0" w:color="7F7F7F"/>
              <w:bottom w:val="single" w:sz="4" w:space="0" w:color="7F7F7F"/>
            </w:tcBorders>
            <w:shd w:val="clear" w:color="auto" w:fill="auto"/>
          </w:tcPr>
          <w:p w14:paraId="5DC07A85"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E</w:t>
            </w:r>
          </w:p>
        </w:tc>
        <w:tc>
          <w:tcPr>
            <w:tcW w:w="1134" w:type="dxa"/>
            <w:tcBorders>
              <w:top w:val="single" w:sz="4" w:space="0" w:color="7F7F7F"/>
              <w:bottom w:val="single" w:sz="4" w:space="0" w:color="7F7F7F"/>
            </w:tcBorders>
            <w:shd w:val="clear" w:color="auto" w:fill="auto"/>
          </w:tcPr>
          <w:p w14:paraId="3C292C97"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39</w:t>
            </w:r>
          </w:p>
        </w:tc>
        <w:tc>
          <w:tcPr>
            <w:tcW w:w="1158" w:type="dxa"/>
            <w:tcBorders>
              <w:top w:val="single" w:sz="4" w:space="0" w:color="7F7F7F"/>
              <w:bottom w:val="single" w:sz="4" w:space="0" w:color="7F7F7F"/>
            </w:tcBorders>
            <w:shd w:val="clear" w:color="auto" w:fill="auto"/>
          </w:tcPr>
          <w:p w14:paraId="12A06264"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9.9</w:t>
            </w:r>
          </w:p>
        </w:tc>
      </w:tr>
      <w:tr w:rsidR="00E26B2B" w:rsidRPr="00062105" w14:paraId="1571D5C6" w14:textId="77777777" w:rsidTr="00345A71">
        <w:tc>
          <w:tcPr>
            <w:tcW w:w="1843" w:type="dxa"/>
            <w:vMerge/>
            <w:shd w:val="clear" w:color="auto" w:fill="auto"/>
          </w:tcPr>
          <w:p w14:paraId="39B71043" w14:textId="77777777" w:rsidR="00E26B2B" w:rsidRPr="00062105" w:rsidRDefault="00E26B2B" w:rsidP="00E26B2B">
            <w:pPr>
              <w:spacing w:after="0" w:line="240" w:lineRule="auto"/>
              <w:rPr>
                <w:rFonts w:ascii="Times New Roman" w:hAnsi="Times New Roman" w:cs="Times New Roman"/>
                <w:b/>
                <w:bCs/>
                <w:color w:val="000000"/>
              </w:rPr>
            </w:pPr>
          </w:p>
        </w:tc>
        <w:tc>
          <w:tcPr>
            <w:tcW w:w="2835" w:type="dxa"/>
            <w:shd w:val="clear" w:color="auto" w:fill="auto"/>
          </w:tcPr>
          <w:p w14:paraId="3EF7B621"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F</w:t>
            </w:r>
          </w:p>
        </w:tc>
        <w:tc>
          <w:tcPr>
            <w:tcW w:w="1134" w:type="dxa"/>
            <w:shd w:val="clear" w:color="auto" w:fill="auto"/>
          </w:tcPr>
          <w:p w14:paraId="4012D705"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78</w:t>
            </w:r>
          </w:p>
        </w:tc>
        <w:tc>
          <w:tcPr>
            <w:tcW w:w="1158" w:type="dxa"/>
            <w:shd w:val="clear" w:color="auto" w:fill="auto"/>
          </w:tcPr>
          <w:p w14:paraId="2DCFBC26"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19.9</w:t>
            </w:r>
          </w:p>
        </w:tc>
      </w:tr>
      <w:tr w:rsidR="00E26B2B" w:rsidRPr="00062105" w14:paraId="37473C19" w14:textId="77777777" w:rsidTr="00345A71">
        <w:tc>
          <w:tcPr>
            <w:tcW w:w="1843" w:type="dxa"/>
            <w:vMerge/>
            <w:tcBorders>
              <w:top w:val="single" w:sz="4" w:space="0" w:color="7F7F7F"/>
              <w:bottom w:val="single" w:sz="4" w:space="0" w:color="7F7F7F"/>
            </w:tcBorders>
            <w:shd w:val="clear" w:color="auto" w:fill="auto"/>
          </w:tcPr>
          <w:p w14:paraId="4B22C9D9" w14:textId="77777777" w:rsidR="00E26B2B" w:rsidRPr="00062105" w:rsidRDefault="00E26B2B" w:rsidP="00E26B2B">
            <w:pPr>
              <w:spacing w:after="0" w:line="240" w:lineRule="auto"/>
              <w:rPr>
                <w:rFonts w:ascii="Times New Roman" w:hAnsi="Times New Roman" w:cs="Times New Roman"/>
                <w:b/>
                <w:bCs/>
                <w:color w:val="000000"/>
              </w:rPr>
            </w:pPr>
          </w:p>
        </w:tc>
        <w:tc>
          <w:tcPr>
            <w:tcW w:w="2835" w:type="dxa"/>
            <w:tcBorders>
              <w:top w:val="single" w:sz="4" w:space="0" w:color="7F7F7F"/>
              <w:bottom w:val="single" w:sz="4" w:space="0" w:color="7F7F7F"/>
            </w:tcBorders>
            <w:shd w:val="clear" w:color="auto" w:fill="auto"/>
          </w:tcPr>
          <w:p w14:paraId="10A65729" w14:textId="77777777"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G</w:t>
            </w:r>
          </w:p>
        </w:tc>
        <w:tc>
          <w:tcPr>
            <w:tcW w:w="1134" w:type="dxa"/>
            <w:tcBorders>
              <w:top w:val="single" w:sz="4" w:space="0" w:color="7F7F7F"/>
              <w:bottom w:val="single" w:sz="4" w:space="0" w:color="7F7F7F"/>
            </w:tcBorders>
            <w:shd w:val="clear" w:color="auto" w:fill="auto"/>
          </w:tcPr>
          <w:p w14:paraId="586A84C1"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115</w:t>
            </w:r>
          </w:p>
        </w:tc>
        <w:tc>
          <w:tcPr>
            <w:tcW w:w="1158" w:type="dxa"/>
            <w:tcBorders>
              <w:top w:val="single" w:sz="4" w:space="0" w:color="7F7F7F"/>
              <w:bottom w:val="single" w:sz="4" w:space="0" w:color="7F7F7F"/>
            </w:tcBorders>
            <w:shd w:val="clear" w:color="auto" w:fill="auto"/>
          </w:tcPr>
          <w:p w14:paraId="0973B72F" w14:textId="77777777"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29.3</w:t>
            </w:r>
          </w:p>
        </w:tc>
      </w:tr>
    </w:tbl>
    <w:p w14:paraId="42D9637F" w14:textId="77777777" w:rsidR="00AC24DB" w:rsidRDefault="00AC24DB" w:rsidP="00AC24DB">
      <w:pPr>
        <w:spacing w:after="240"/>
        <w:jc w:val="both"/>
        <w:rPr>
          <w:rFonts w:ascii="Times New Roman" w:eastAsia="Garamond" w:hAnsi="Times New Roman" w:cs="Times New Roman"/>
          <w:sz w:val="24"/>
          <w:szCs w:val="24"/>
          <w:lang w:val="en-US"/>
        </w:rPr>
      </w:pPr>
    </w:p>
    <w:p w14:paraId="28CAE5DD" w14:textId="77777777" w:rsidR="006B7385" w:rsidRDefault="006B7385" w:rsidP="00AC24DB">
      <w:pPr>
        <w:spacing w:after="240"/>
        <w:jc w:val="both"/>
        <w:rPr>
          <w:rFonts w:ascii="Times New Roman" w:hAnsi="Times New Roman" w:cs="Times New Roman"/>
        </w:rPr>
      </w:pPr>
      <w:r w:rsidRPr="006B7385">
        <w:rPr>
          <w:rFonts w:ascii="Times New Roman" w:hAnsi="Times New Roman" w:cs="Times New Roman"/>
        </w:rPr>
        <w:t xml:space="preserve">Data on occupational self-efficacy of cooking ability was revealed with the Occupational Self-Efficacy Questionnaire on Cooking Ability, developed and adapted from the Zelenak instrument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was to develop a greater understanding of self-efficacy in music performance. I sought to (a) contribute to fundamental knowledge of self-efficacy in music performance, (b) determine whether scores from the Music Performance Self-Efficacy Scale (MPSES) were valid and reliable, and (c) provide insights for developing self-efficacy among secondary school music students. Participants (N = 290) were middle and high school students in band, chorus, and string orchestra ensembles from 10 schools in the southeast and western regions of the United States. Participants completed four online questionnaires: (a) Music Performance Self-Efficacy Scale, (b) Sources of Middle School Mathematics Self-Efficacy Scale, (c) Self-Esteem of Musical Ability, and (d) Advanced Measures of Music Audiation. Teachers provided 5-point Likert-type ratings of their student's music self-efficacy. Data from the MPSES demonstrated good fit with Bandura's proposed self-efficacy model (SRMR = .06, RMSEA = .06). The strength of the relationships between the sources and composite construct were consistent with theory and findings from other studies. Mastery experience was strongest, followed by verbal/social persuasion, physiological state, and vicarious experience. No differences in responses were found between middle and high school students, or among band, chorus, and string orchestra students. Items on the MPSES were also found to assess participants equally across grade levels. Music aptitude was found to predict self-efficacy in music performance (â = .16) and accounted for 3% of the variance in self-efficacy. This finding raises questions about the role of self-efficacy in mediating the relationship between music aptitude and music achievement. The Music Performance Self-Efficacy Scale was found to be a valid and reliable measure of self-efficacy in music performance. Evidence of validity was based on test content, response process, and internal structure, along with convergent, discriminant, and multi-method relationships. Evidence of reliability was based on test-retest correlation (r = .87) and internal consistency (á = .88). Recommendations for researchers were to link the sources of self-efficacy to performance achievement; explore self-efficacy's relationship with aptitude and achievement; and expand the investigation to other populations. Recommendations for educators focused on improving understanding of self-efficacy and interpreting MPSES results.","author":[{"dropping-particle":"","family":"Zelenak","given":"Michael","non-dropping-particle":"","parse-names":false,"suffix":""}],"id":"ITEM-1","issued":{"date-parts":[["2011","1"]]},"publisher":"University of South Florida","title":"Self-eficacy in music performance: Measuring the sources among secondary school music students","type":"thesis"},"uris":["http://www.mendeley.com/documents/?uuid=f7adb45e-0e06-4d51-a20c-1721f57ac0ee"]}],"mendeley":{"formattedCitation":"[24]","plainTextFormattedCitation":"[24]"},"properties":{"noteIndex":0},"schema":"https://github.com/citation-style-language/schema/raw/master/csl-citation.json"}</w:instrText>
      </w:r>
      <w:r>
        <w:rPr>
          <w:rFonts w:ascii="Times New Roman" w:hAnsi="Times New Roman" w:cs="Times New Roman"/>
        </w:rPr>
        <w:fldChar w:fldCharType="separate"/>
      </w:r>
      <w:r w:rsidRPr="006D7AD0">
        <w:rPr>
          <w:rFonts w:ascii="Times New Roman" w:hAnsi="Times New Roman" w:cs="Times New Roman"/>
          <w:noProof/>
        </w:rPr>
        <w:t>[24]</w:t>
      </w:r>
      <w:r>
        <w:rPr>
          <w:rFonts w:ascii="Times New Roman" w:hAnsi="Times New Roman" w:cs="Times New Roman"/>
        </w:rPr>
        <w:fldChar w:fldCharType="end"/>
      </w:r>
      <w:r>
        <w:rPr>
          <w:rFonts w:ascii="Times New Roman" w:hAnsi="Times New Roman" w:cs="Times New Roman"/>
        </w:rPr>
        <w:t>.</w:t>
      </w:r>
      <w:r w:rsidRPr="006B7385">
        <w:rPr>
          <w:rFonts w:ascii="Times New Roman" w:hAnsi="Times New Roman" w:cs="Times New Roman"/>
        </w:rPr>
        <w:t xml:space="preserve"> The self-efficacy of chef occupations for vocational students is explained through several indicators consisting of enactive experiences, model experiences, verbal or social persuasion, and emotional conditions. Furthermore, each indicator is broken down into smaller components. These components form the questions in the Occupational Self-Efficiency Questionnaire on cooking skills. This questionnaire was developed to look at the indicators of self-occupational efficacy of chefs for culinary students, which included active experiences, model experiences, verbal or social persuasion, and emotional states. This questionnaire uses a Likert scale with five alternative answers consisting of strongly agree, agree, somewhat agree, disagree, and disagree. The weight of the scoring used, which includes strongly agree = 5, agree = 4, neutral = 3, disagree = 2, strongly disagree = 1.</w:t>
      </w:r>
    </w:p>
    <w:p w14:paraId="0AE12A40" w14:textId="3F597E4B" w:rsidR="006B7385" w:rsidRDefault="006B7385" w:rsidP="00AC24DB">
      <w:pPr>
        <w:spacing w:after="240"/>
        <w:jc w:val="both"/>
        <w:rPr>
          <w:rFonts w:ascii="Times New Roman" w:eastAsia="Times New Roman" w:hAnsi="Times New Roman" w:cs="Times New Roman"/>
        </w:rPr>
      </w:pPr>
      <w:r w:rsidRPr="006B7385">
        <w:rPr>
          <w:rFonts w:ascii="Times New Roman" w:hAnsi="Times New Roman" w:cs="Times New Roman"/>
        </w:rPr>
        <w:t xml:space="preserve">The development of the questionnaire involved an expert judgment of three people. They consist of 1 expert in the field of psychometry, one expert in the field of culinary education, and one expert in the field of vocational education. Test the validity of this questionnaire using confirmatory factor analysis (CFA). Confirmatory factor analysis was carried out with the help of SPSS Amos 21 for Windows. The study of the development of this instrument uses the acceptance limit of the standardized loading factor or the parameter value of lambda (λ) above 0.5 </w:t>
      </w:r>
      <w:r w:rsidRPr="00AC24DB">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{"citationItems":[{"id":"ITEM-1","itemData":{"author":[{"dropping-particle":"","family":"Ghozali","given":"Imam","non-dropping-particle":"","parse-names":false,"suffix":""}],"edition":"Edisi 7","id":"ITEM-1","issued":{"date-parts":[["2017"]]},"publisher":"Badan Penerbit Universitas Diponegoro","publisher-place":"Semarang","title":"Structural equation models: Concepts and applications with the AMOS 24 bayesian SEM update program (Indonesian version)","type":"book"},"uris":["http://www.mendeley.com/documents/?uuid=c76302fe-9ef1-4026-9b3d-32d0fd06071d"]}],"mendeley":{"formattedCitation":"[25]","plainTextFormattedCitation":"[25]","previouslyFormattedCitation":"[25]"},"properties":{"noteIndex":0},"schema":"https://github.com/citation-style-language/schema/raw/master/csl-citation.json"}</w:instrText>
      </w:r>
      <w:r w:rsidRPr="00AC24DB">
        <w:rPr>
          <w:rFonts w:ascii="Times New Roman" w:eastAsia="Times New Roman" w:hAnsi="Times New Roman" w:cs="Times New Roman"/>
        </w:rPr>
        <w:fldChar w:fldCharType="separate"/>
      </w:r>
      <w:r w:rsidRPr="004A5439">
        <w:rPr>
          <w:rFonts w:ascii="Times New Roman" w:eastAsia="Times New Roman" w:hAnsi="Times New Roman" w:cs="Times New Roman"/>
          <w:noProof/>
        </w:rPr>
        <w:t>[25]</w:t>
      </w:r>
      <w:r w:rsidRPr="00AC24DB">
        <w:rPr>
          <w:rFonts w:ascii="Times New Roman" w:eastAsia="Times New Roman" w:hAnsi="Times New Roman" w:cs="Times New Roman"/>
        </w:rPr>
        <w:fldChar w:fldCharType="end"/>
      </w:r>
      <w:r w:rsidRPr="00AC24DB">
        <w:rPr>
          <w:rFonts w:ascii="Times New Roman" w:eastAsia="Times New Roman" w:hAnsi="Times New Roman" w:cs="Times New Roman"/>
        </w:rPr>
        <w:t>.</w:t>
      </w:r>
    </w:p>
    <w:p w14:paraId="674EDF8E" w14:textId="57E34265" w:rsidR="00AC3748" w:rsidRDefault="00AC3748" w:rsidP="00AC24DB">
      <w:pPr>
        <w:spacing w:after="240"/>
        <w:jc w:val="both"/>
        <w:rPr>
          <w:rFonts w:ascii="Times New Roman" w:eastAsia="Times New Roman" w:hAnsi="Times New Roman" w:cs="Times New Roman"/>
        </w:rPr>
      </w:pPr>
    </w:p>
    <w:p w14:paraId="4477078A" w14:textId="77777777" w:rsidR="00AC3748" w:rsidRDefault="00AC3748" w:rsidP="00AC24DB">
      <w:pPr>
        <w:spacing w:after="240"/>
        <w:jc w:val="both"/>
        <w:rPr>
          <w:rFonts w:ascii="Times New Roman" w:hAnsi="Times New Roman" w:cs="Times New Roman"/>
        </w:rPr>
      </w:pPr>
    </w:p>
    <w:p w14:paraId="7B1EA05B" w14:textId="64B87B30" w:rsidR="006C424A" w:rsidRDefault="0011787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Results and Discussion</w:t>
      </w:r>
    </w:p>
    <w:p w14:paraId="60FAAB5B" w14:textId="77777777" w:rsidR="00C54253" w:rsidRPr="00FB5FA3" w:rsidRDefault="00C54253" w:rsidP="00FB5FA3">
      <w:pPr>
        <w:spacing w:after="240"/>
        <w:jc w:val="both"/>
        <w:rPr>
          <w:rFonts w:ascii="Times New Roman" w:eastAsia="Times New Roman" w:hAnsi="Times New Roman" w:cs="Times New Roman"/>
          <w:color w:val="000000"/>
        </w:rPr>
      </w:pPr>
      <w:r w:rsidRPr="00C54253">
        <w:rPr>
          <w:rFonts w:ascii="Times New Roman" w:eastAsia="Times New Roman" w:hAnsi="Times New Roman" w:cs="Times New Roman"/>
          <w:color w:val="000000"/>
        </w:rPr>
        <w:t xml:space="preserve">The occupational self-efficacy of cooking ability in this study is an endogenous latent variable. It is formed by several observable variables (manifest variables or indicator variables), which include experiences of active mastery, model experience, verbal/social persuasion, and emotional conditions. The total items of the questionnaire </w:t>
      </w:r>
      <w:r w:rsidR="00EF22F3" w:rsidRPr="00C54253">
        <w:rPr>
          <w:rFonts w:ascii="Times New Roman" w:eastAsia="Times New Roman" w:hAnsi="Times New Roman" w:cs="Times New Roman"/>
          <w:color w:val="000000"/>
        </w:rPr>
        <w:t>totalled</w:t>
      </w:r>
      <w:r w:rsidRPr="00C54253">
        <w:rPr>
          <w:rFonts w:ascii="Times New Roman" w:eastAsia="Times New Roman" w:hAnsi="Times New Roman" w:cs="Times New Roman"/>
          <w:color w:val="000000"/>
        </w:rPr>
        <w:t xml:space="preserve"> 16 statements consisting of four items of enactive experience, four items of model experience, four items of verbal or social persuasion, and four items of emotional condition. The results of the CFA test on the occupational self-efficacy instrument of cooking ability are shown in Figure 1. The estimation results of the model measurements in Figure 1 using the Maximum Likelihood estimation on Amos show the results of the model fit are good enough.</w:t>
      </w:r>
    </w:p>
    <w:p w14:paraId="0B8CBC45" w14:textId="77777777" w:rsidR="00663822" w:rsidRDefault="00663822" w:rsidP="00663822">
      <w:pPr>
        <w:pStyle w:val="ListParagraph"/>
        <w:spacing w:line="360" w:lineRule="auto"/>
        <w:ind w:left="0"/>
        <w:rPr>
          <w:rFonts w:ascii="Times New Roman" w:hAnsi="Times New Roman" w:cs="Times New Roman"/>
          <w:b/>
        </w:rPr>
      </w:pPr>
      <w:r>
        <w:rPr>
          <w:noProof/>
          <w:lang w:val="en-US"/>
        </w:rPr>
        <w:drawing>
          <wp:inline distT="0" distB="0" distL="0" distR="0" wp14:anchorId="0478A1B8" wp14:editId="22E0C7AB">
            <wp:extent cx="2863850" cy="2316666"/>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369" r="9830" b="16760"/>
                    <a:stretch/>
                  </pic:blipFill>
                  <pic:spPr bwMode="auto">
                    <a:xfrm>
                      <a:off x="0" y="0"/>
                      <a:ext cx="2881510" cy="2330952"/>
                    </a:xfrm>
                    <a:prstGeom prst="rect">
                      <a:avLst/>
                    </a:prstGeom>
                    <a:ln>
                      <a:noFill/>
                    </a:ln>
                    <a:extLst>
                      <a:ext uri="{53640926-AAD7-44D8-BBD7-CCE9431645EC}">
                        <a14:shadowObscured xmlns:a14="http://schemas.microsoft.com/office/drawing/2010/main"/>
                      </a:ext>
                    </a:extLst>
                  </pic:spPr>
                </pic:pic>
              </a:graphicData>
            </a:graphic>
          </wp:inline>
        </w:drawing>
      </w:r>
    </w:p>
    <w:p w14:paraId="311F605C" w14:textId="77777777" w:rsidR="00EF22F3" w:rsidRPr="00CD6147" w:rsidRDefault="00EF22F3" w:rsidP="00CD6147">
      <w:pPr>
        <w:pStyle w:val="ListParagraph"/>
        <w:spacing w:line="480" w:lineRule="auto"/>
        <w:ind w:left="0"/>
        <w:rPr>
          <w:rFonts w:ascii="Times New Roman" w:hAnsi="Times New Roman" w:cs="Times New Roman"/>
        </w:rPr>
      </w:pPr>
      <w:r w:rsidRPr="00EF22F3">
        <w:rPr>
          <w:rFonts w:ascii="Times New Roman" w:hAnsi="Times New Roman" w:cs="Times New Roman"/>
        </w:rPr>
        <w:t xml:space="preserve">Figure 1. Measurement Model of the Occupational Self-Efficacy Instrument for Cooking </w:t>
      </w:r>
      <w:r>
        <w:rPr>
          <w:rFonts w:ascii="Times New Roman" w:hAnsi="Times New Roman" w:cs="Times New Roman"/>
        </w:rPr>
        <w:t>Performance</w:t>
      </w:r>
    </w:p>
    <w:p w14:paraId="1BC0733B" w14:textId="77777777" w:rsidR="00EF22F3" w:rsidRPr="00B75A2D" w:rsidRDefault="00EF22F3" w:rsidP="00B75A2D">
      <w:pPr>
        <w:spacing w:after="240" w:line="240" w:lineRule="auto"/>
        <w:jc w:val="both"/>
        <w:rPr>
          <w:rFonts w:ascii="Times New Roman" w:eastAsia="Times New Roman" w:hAnsi="Times New Roman" w:cs="Times New Roman"/>
          <w:color w:val="000000"/>
        </w:rPr>
      </w:pPr>
      <w:r w:rsidRPr="00EF22F3">
        <w:rPr>
          <w:rFonts w:ascii="Times New Roman" w:eastAsia="Times New Roman" w:hAnsi="Times New Roman" w:cs="Times New Roman"/>
          <w:color w:val="000000"/>
        </w:rPr>
        <w:t>The model fit test in Table</w:t>
      </w:r>
      <w:r>
        <w:rPr>
          <w:rFonts w:ascii="Times New Roman" w:eastAsia="Times New Roman" w:hAnsi="Times New Roman" w:cs="Times New Roman"/>
          <w:color w:val="000000"/>
        </w:rPr>
        <w:t xml:space="preserve"> 2 shows the criteria of Cmin/</w:t>
      </w:r>
      <w:r w:rsidRPr="00EF22F3">
        <w:rPr>
          <w:rFonts w:ascii="Times New Roman" w:eastAsia="Times New Roman" w:hAnsi="Times New Roman" w:cs="Times New Roman"/>
          <w:color w:val="000000"/>
        </w:rPr>
        <w:t>df, GFI, AGFI, RMSEA, RMR, TLI, CFI, and NFI, giving conformity indexes that correspond to the recommended limits. However, the Chi-square and probability level criteria indicate that the requirements are not fit because they exceed the recommended limits. In total, eight indices show the fit model. Thus, it can be concluded that the measurement model in the construct of endogenous self-efficacy variables in the profession of chef has a good fit.</w:t>
      </w:r>
    </w:p>
    <w:p w14:paraId="41114EB0" w14:textId="77777777" w:rsidR="00EF22F3" w:rsidRPr="00B75A2D" w:rsidRDefault="00EF22F3" w:rsidP="00B75A2D">
      <w:pPr>
        <w:spacing w:line="240" w:lineRule="auto"/>
        <w:rPr>
          <w:rFonts w:ascii="Times New Roman" w:hAnsi="Times New Roman" w:cs="Times New Roman"/>
        </w:rPr>
      </w:pPr>
      <w:r w:rsidRPr="00EF22F3">
        <w:rPr>
          <w:rFonts w:ascii="Times New Roman" w:hAnsi="Times New Roman" w:cs="Times New Roman"/>
        </w:rPr>
        <w:t>Table 2. Model Fit Index on Occupational Self-Efficacy Instruments for Cooking Performance</w:t>
      </w:r>
    </w:p>
    <w:tbl>
      <w:tblPr>
        <w:tblStyle w:val="PlainTable2"/>
        <w:tblW w:w="8080" w:type="dxa"/>
        <w:tblLook w:val="0420" w:firstRow="1" w:lastRow="0" w:firstColumn="0" w:lastColumn="0" w:noHBand="0" w:noVBand="1"/>
      </w:tblPr>
      <w:tblGrid>
        <w:gridCol w:w="2835"/>
        <w:gridCol w:w="1418"/>
        <w:gridCol w:w="2126"/>
        <w:gridCol w:w="1701"/>
      </w:tblGrid>
      <w:tr w:rsidR="00663822" w:rsidRPr="00CB7D3A" w14:paraId="7EBCA8BB" w14:textId="77777777" w:rsidTr="00E679FA">
        <w:trPr>
          <w:cnfStyle w:val="100000000000" w:firstRow="1" w:lastRow="0" w:firstColumn="0" w:lastColumn="0" w:oddVBand="0" w:evenVBand="0" w:oddHBand="0" w:evenHBand="0" w:firstRowFirstColumn="0" w:firstRowLastColumn="0" w:lastRowFirstColumn="0" w:lastRowLastColumn="0"/>
        </w:trPr>
        <w:tc>
          <w:tcPr>
            <w:tcW w:w="2835" w:type="dxa"/>
            <w:vAlign w:val="center"/>
          </w:tcPr>
          <w:p w14:paraId="50048EE0" w14:textId="77777777" w:rsidR="00663822" w:rsidRPr="00CB7D3A" w:rsidRDefault="00663822" w:rsidP="00B75A2D">
            <w:pPr>
              <w:jc w:val="center"/>
              <w:rPr>
                <w:rFonts w:ascii="Times New Roman" w:hAnsi="Times New Roman" w:cs="Times New Roman"/>
                <w:b w:val="0"/>
                <w:sz w:val="22"/>
                <w:szCs w:val="22"/>
              </w:rPr>
            </w:pPr>
            <w:r w:rsidRPr="00CB7D3A">
              <w:rPr>
                <w:rFonts w:ascii="Times New Roman" w:hAnsi="Times New Roman" w:cs="Times New Roman"/>
                <w:sz w:val="22"/>
                <w:szCs w:val="22"/>
              </w:rPr>
              <w:t>Goodness of Fit Measure</w:t>
            </w:r>
          </w:p>
        </w:tc>
        <w:tc>
          <w:tcPr>
            <w:tcW w:w="1418" w:type="dxa"/>
            <w:vAlign w:val="center"/>
          </w:tcPr>
          <w:p w14:paraId="59EA1884" w14:textId="77777777" w:rsidR="00663822" w:rsidRPr="00CB7D3A" w:rsidRDefault="00663822" w:rsidP="00B75A2D">
            <w:pPr>
              <w:jc w:val="center"/>
              <w:rPr>
                <w:rFonts w:ascii="Times New Roman" w:hAnsi="Times New Roman" w:cs="Times New Roman"/>
                <w:b w:val="0"/>
                <w:sz w:val="22"/>
                <w:szCs w:val="22"/>
              </w:rPr>
            </w:pPr>
            <w:r w:rsidRPr="00CB7D3A">
              <w:rPr>
                <w:rFonts w:ascii="Times New Roman" w:hAnsi="Times New Roman" w:cs="Times New Roman"/>
                <w:sz w:val="22"/>
                <w:szCs w:val="22"/>
              </w:rPr>
              <w:t>Nilai Indeks</w:t>
            </w:r>
          </w:p>
        </w:tc>
        <w:tc>
          <w:tcPr>
            <w:tcW w:w="2126" w:type="dxa"/>
            <w:vAlign w:val="center"/>
          </w:tcPr>
          <w:p w14:paraId="04BB6470" w14:textId="77777777" w:rsidR="00663822" w:rsidRPr="00CB7D3A" w:rsidRDefault="00663822" w:rsidP="00B75A2D">
            <w:pPr>
              <w:jc w:val="center"/>
              <w:rPr>
                <w:rFonts w:ascii="Times New Roman" w:hAnsi="Times New Roman" w:cs="Times New Roman"/>
                <w:b w:val="0"/>
                <w:sz w:val="22"/>
                <w:szCs w:val="22"/>
              </w:rPr>
            </w:pPr>
            <w:r w:rsidRPr="00CB7D3A">
              <w:rPr>
                <w:rFonts w:ascii="Times New Roman" w:hAnsi="Times New Roman" w:cs="Times New Roman"/>
                <w:sz w:val="22"/>
                <w:szCs w:val="22"/>
              </w:rPr>
              <w:t>Cut off-value</w:t>
            </w:r>
          </w:p>
        </w:tc>
        <w:tc>
          <w:tcPr>
            <w:tcW w:w="1701" w:type="dxa"/>
            <w:vAlign w:val="center"/>
          </w:tcPr>
          <w:p w14:paraId="2408C00E" w14:textId="77777777" w:rsidR="00663822" w:rsidRPr="00CB7D3A" w:rsidRDefault="00ED2DBE" w:rsidP="00B75A2D">
            <w:pPr>
              <w:jc w:val="center"/>
              <w:rPr>
                <w:rFonts w:ascii="Times New Roman" w:hAnsi="Times New Roman" w:cs="Times New Roman"/>
                <w:b w:val="0"/>
                <w:sz w:val="22"/>
                <w:szCs w:val="22"/>
              </w:rPr>
            </w:pPr>
            <w:r>
              <w:rPr>
                <w:rFonts w:ascii="Times New Roman" w:hAnsi="Times New Roman" w:cs="Times New Roman"/>
                <w:sz w:val="22"/>
                <w:szCs w:val="22"/>
              </w:rPr>
              <w:t>Note</w:t>
            </w:r>
          </w:p>
        </w:tc>
      </w:tr>
      <w:tr w:rsidR="00663822" w:rsidRPr="00CB7D3A" w14:paraId="1FCEBB8C" w14:textId="77777777" w:rsidTr="00E679FA">
        <w:trPr>
          <w:cnfStyle w:val="000000100000" w:firstRow="0" w:lastRow="0" w:firstColumn="0" w:lastColumn="0" w:oddVBand="0" w:evenVBand="0" w:oddHBand="1" w:evenHBand="0" w:firstRowFirstColumn="0" w:firstRowLastColumn="0" w:lastRowFirstColumn="0" w:lastRowLastColumn="0"/>
        </w:trPr>
        <w:tc>
          <w:tcPr>
            <w:tcW w:w="2835" w:type="dxa"/>
          </w:tcPr>
          <w:p w14:paraId="26A2115C"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df</w:t>
            </w:r>
          </w:p>
        </w:tc>
        <w:tc>
          <w:tcPr>
            <w:tcW w:w="1418" w:type="dxa"/>
          </w:tcPr>
          <w:p w14:paraId="3280C0FA"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98</w:t>
            </w:r>
          </w:p>
        </w:tc>
        <w:tc>
          <w:tcPr>
            <w:tcW w:w="2126" w:type="dxa"/>
          </w:tcPr>
          <w:p w14:paraId="10780666" w14:textId="77777777" w:rsidR="00663822" w:rsidRPr="00CB7D3A" w:rsidRDefault="00663822" w:rsidP="00B75A2D">
            <w:pPr>
              <w:rPr>
                <w:rFonts w:ascii="Times New Roman" w:hAnsi="Times New Roman" w:cs="Times New Roman"/>
                <w:sz w:val="22"/>
                <w:szCs w:val="22"/>
              </w:rPr>
            </w:pPr>
          </w:p>
        </w:tc>
        <w:tc>
          <w:tcPr>
            <w:tcW w:w="1701" w:type="dxa"/>
          </w:tcPr>
          <w:p w14:paraId="679A26C8" w14:textId="77777777" w:rsidR="00663822" w:rsidRPr="00CB7D3A" w:rsidRDefault="00663822" w:rsidP="00B75A2D">
            <w:pPr>
              <w:rPr>
                <w:rFonts w:ascii="Times New Roman" w:hAnsi="Times New Roman" w:cs="Times New Roman"/>
                <w:sz w:val="22"/>
                <w:szCs w:val="22"/>
              </w:rPr>
            </w:pPr>
          </w:p>
        </w:tc>
      </w:tr>
      <w:tr w:rsidR="00663822" w:rsidRPr="00CB7D3A" w14:paraId="7B0A27CD" w14:textId="77777777" w:rsidTr="00E679FA">
        <w:tc>
          <w:tcPr>
            <w:tcW w:w="2835" w:type="dxa"/>
          </w:tcPr>
          <w:p w14:paraId="58FDAB1F"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Chi-square of estimate model</w:t>
            </w:r>
          </w:p>
        </w:tc>
        <w:tc>
          <w:tcPr>
            <w:tcW w:w="1418" w:type="dxa"/>
          </w:tcPr>
          <w:p w14:paraId="169AA61F"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314.281</w:t>
            </w:r>
          </w:p>
        </w:tc>
        <w:tc>
          <w:tcPr>
            <w:tcW w:w="2126" w:type="dxa"/>
          </w:tcPr>
          <w:p w14:paraId="45E3AF47"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&lt; 2 df</w:t>
            </w:r>
          </w:p>
        </w:tc>
        <w:tc>
          <w:tcPr>
            <w:tcW w:w="1701" w:type="dxa"/>
          </w:tcPr>
          <w:p w14:paraId="4AC82397" w14:textId="77777777" w:rsidR="00663822" w:rsidRPr="00CB7D3A" w:rsidRDefault="00ED2DBE" w:rsidP="00B75A2D">
            <w:pPr>
              <w:rPr>
                <w:rFonts w:ascii="Times New Roman" w:hAnsi="Times New Roman" w:cs="Times New Roman"/>
                <w:sz w:val="22"/>
                <w:szCs w:val="22"/>
              </w:rPr>
            </w:pPr>
            <w:r w:rsidRPr="00ED2DBE">
              <w:rPr>
                <w:rFonts w:ascii="Times New Roman" w:hAnsi="Times New Roman" w:cs="Times New Roman"/>
                <w:sz w:val="22"/>
                <w:szCs w:val="22"/>
              </w:rPr>
              <w:t>Model not fit</w:t>
            </w:r>
          </w:p>
        </w:tc>
      </w:tr>
      <w:tr w:rsidR="00663822" w:rsidRPr="00CB7D3A" w14:paraId="6D24CF8C" w14:textId="77777777" w:rsidTr="00E679FA">
        <w:trPr>
          <w:cnfStyle w:val="000000100000" w:firstRow="0" w:lastRow="0" w:firstColumn="0" w:lastColumn="0" w:oddVBand="0" w:evenVBand="0" w:oddHBand="1" w:evenHBand="0" w:firstRowFirstColumn="0" w:firstRowLastColumn="0" w:lastRowFirstColumn="0" w:lastRowLastColumn="0"/>
        </w:trPr>
        <w:tc>
          <w:tcPr>
            <w:tcW w:w="2835" w:type="dxa"/>
          </w:tcPr>
          <w:p w14:paraId="4FA5DC68"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Probability level</w:t>
            </w:r>
          </w:p>
        </w:tc>
        <w:tc>
          <w:tcPr>
            <w:tcW w:w="1418" w:type="dxa"/>
          </w:tcPr>
          <w:p w14:paraId="29056237"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0.000</w:t>
            </w:r>
          </w:p>
        </w:tc>
        <w:tc>
          <w:tcPr>
            <w:tcW w:w="2126" w:type="dxa"/>
          </w:tcPr>
          <w:p w14:paraId="4E95A90D"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xml:space="preserve">&gt; 0.05 </w:t>
            </w:r>
          </w:p>
        </w:tc>
        <w:tc>
          <w:tcPr>
            <w:tcW w:w="1701" w:type="dxa"/>
          </w:tcPr>
          <w:p w14:paraId="5E834617" w14:textId="77777777" w:rsidR="00663822" w:rsidRPr="00CB7D3A" w:rsidRDefault="00ED2DBE" w:rsidP="00B75A2D">
            <w:pPr>
              <w:rPr>
                <w:rFonts w:ascii="Times New Roman" w:hAnsi="Times New Roman" w:cs="Times New Roman"/>
                <w:sz w:val="22"/>
                <w:szCs w:val="22"/>
              </w:rPr>
            </w:pPr>
            <w:r w:rsidRPr="00ED2DBE">
              <w:rPr>
                <w:rFonts w:ascii="Times New Roman" w:hAnsi="Times New Roman" w:cs="Times New Roman"/>
                <w:sz w:val="22"/>
                <w:szCs w:val="22"/>
              </w:rPr>
              <w:t>Model not fit</w:t>
            </w:r>
          </w:p>
        </w:tc>
      </w:tr>
      <w:tr w:rsidR="00663822" w:rsidRPr="00CB7D3A" w14:paraId="3E39D9D5" w14:textId="77777777" w:rsidTr="00E679FA">
        <w:tc>
          <w:tcPr>
            <w:tcW w:w="2835" w:type="dxa"/>
          </w:tcPr>
          <w:p w14:paraId="383B1CFB"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Cmin/df</w:t>
            </w:r>
          </w:p>
        </w:tc>
        <w:tc>
          <w:tcPr>
            <w:tcW w:w="1418" w:type="dxa"/>
          </w:tcPr>
          <w:p w14:paraId="4ED38B0C"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3.207</w:t>
            </w:r>
          </w:p>
        </w:tc>
        <w:tc>
          <w:tcPr>
            <w:tcW w:w="2126" w:type="dxa"/>
          </w:tcPr>
          <w:p w14:paraId="248A183D"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5</w:t>
            </w:r>
          </w:p>
        </w:tc>
        <w:tc>
          <w:tcPr>
            <w:tcW w:w="1701" w:type="dxa"/>
          </w:tcPr>
          <w:p w14:paraId="60D09D92"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14:paraId="05A81BE5" w14:textId="77777777" w:rsidTr="00E679FA">
        <w:trPr>
          <w:cnfStyle w:val="000000100000" w:firstRow="0" w:lastRow="0" w:firstColumn="0" w:lastColumn="0" w:oddVBand="0" w:evenVBand="0" w:oddHBand="1" w:evenHBand="0" w:firstRowFirstColumn="0" w:firstRowLastColumn="0" w:lastRowFirstColumn="0" w:lastRowLastColumn="0"/>
        </w:trPr>
        <w:tc>
          <w:tcPr>
            <w:tcW w:w="2835" w:type="dxa"/>
          </w:tcPr>
          <w:p w14:paraId="4C669A84"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Goodness of Index (GFI)</w:t>
            </w:r>
          </w:p>
        </w:tc>
        <w:tc>
          <w:tcPr>
            <w:tcW w:w="1418" w:type="dxa"/>
          </w:tcPr>
          <w:p w14:paraId="1742A780"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0.909</w:t>
            </w:r>
          </w:p>
        </w:tc>
        <w:tc>
          <w:tcPr>
            <w:tcW w:w="2126" w:type="dxa"/>
          </w:tcPr>
          <w:p w14:paraId="7320A267"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GFI ≥ 0.9 = good fit; 0.8 ≤ GFI &lt; 0.9 = marginal fit</w:t>
            </w:r>
          </w:p>
        </w:tc>
        <w:tc>
          <w:tcPr>
            <w:tcW w:w="1701" w:type="dxa"/>
          </w:tcPr>
          <w:p w14:paraId="46033F81"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14:paraId="39A013EC" w14:textId="77777777" w:rsidTr="00E679FA">
        <w:tc>
          <w:tcPr>
            <w:tcW w:w="2835" w:type="dxa"/>
          </w:tcPr>
          <w:p w14:paraId="1D42E67A"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Adjusted Goodness of Index (AGFI)</w:t>
            </w:r>
          </w:p>
        </w:tc>
        <w:tc>
          <w:tcPr>
            <w:tcW w:w="1418" w:type="dxa"/>
          </w:tcPr>
          <w:p w14:paraId="2A909855"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0.873</w:t>
            </w:r>
          </w:p>
        </w:tc>
        <w:tc>
          <w:tcPr>
            <w:tcW w:w="2126" w:type="dxa"/>
          </w:tcPr>
          <w:p w14:paraId="0830CFB2"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AGFI ≥ 0.9 = good fit; 0.8 ≤ AGFI &lt; 0.9 = marginal fit</w:t>
            </w:r>
          </w:p>
        </w:tc>
        <w:tc>
          <w:tcPr>
            <w:tcW w:w="1701" w:type="dxa"/>
          </w:tcPr>
          <w:p w14:paraId="539C98D5"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Marginal fit</w:t>
            </w:r>
          </w:p>
        </w:tc>
      </w:tr>
      <w:tr w:rsidR="00663822" w:rsidRPr="00CB7D3A" w14:paraId="3987B280" w14:textId="77777777" w:rsidTr="00E679FA">
        <w:trPr>
          <w:cnfStyle w:val="000000100000" w:firstRow="0" w:lastRow="0" w:firstColumn="0" w:lastColumn="0" w:oddVBand="0" w:evenVBand="0" w:oddHBand="1" w:evenHBand="0" w:firstRowFirstColumn="0" w:firstRowLastColumn="0" w:lastRowFirstColumn="0" w:lastRowLastColumn="0"/>
        </w:trPr>
        <w:tc>
          <w:tcPr>
            <w:tcW w:w="2835" w:type="dxa"/>
          </w:tcPr>
          <w:p w14:paraId="4D2917D4"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RMSEA</w:t>
            </w:r>
          </w:p>
        </w:tc>
        <w:tc>
          <w:tcPr>
            <w:tcW w:w="1418" w:type="dxa"/>
          </w:tcPr>
          <w:p w14:paraId="3C840AB7"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0.075</w:t>
            </w:r>
          </w:p>
        </w:tc>
        <w:tc>
          <w:tcPr>
            <w:tcW w:w="2126" w:type="dxa"/>
          </w:tcPr>
          <w:p w14:paraId="309BDB22"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0.08</w:t>
            </w:r>
          </w:p>
        </w:tc>
        <w:tc>
          <w:tcPr>
            <w:tcW w:w="1701" w:type="dxa"/>
          </w:tcPr>
          <w:p w14:paraId="66327A38"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14:paraId="23A4A7AB" w14:textId="77777777" w:rsidTr="00E679FA">
        <w:tc>
          <w:tcPr>
            <w:tcW w:w="2835" w:type="dxa"/>
          </w:tcPr>
          <w:p w14:paraId="25D7B184"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lastRenderedPageBreak/>
              <w:t>RMR</w:t>
            </w:r>
          </w:p>
        </w:tc>
        <w:tc>
          <w:tcPr>
            <w:tcW w:w="1418" w:type="dxa"/>
          </w:tcPr>
          <w:p w14:paraId="5EC1E6B3"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0.037</w:t>
            </w:r>
          </w:p>
        </w:tc>
        <w:tc>
          <w:tcPr>
            <w:tcW w:w="2126" w:type="dxa"/>
          </w:tcPr>
          <w:p w14:paraId="4FBC4162"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&lt; 0.05</w:t>
            </w:r>
          </w:p>
        </w:tc>
        <w:tc>
          <w:tcPr>
            <w:tcW w:w="1701" w:type="dxa"/>
          </w:tcPr>
          <w:p w14:paraId="04253D13"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14:paraId="566C1BB5" w14:textId="77777777" w:rsidTr="00E679FA">
        <w:trPr>
          <w:cnfStyle w:val="000000100000" w:firstRow="0" w:lastRow="0" w:firstColumn="0" w:lastColumn="0" w:oddVBand="0" w:evenVBand="0" w:oddHBand="1" w:evenHBand="0" w:firstRowFirstColumn="0" w:firstRowLastColumn="0" w:lastRowFirstColumn="0" w:lastRowLastColumn="0"/>
          <w:trHeight w:val="1222"/>
        </w:trPr>
        <w:tc>
          <w:tcPr>
            <w:tcW w:w="2835" w:type="dxa"/>
          </w:tcPr>
          <w:p w14:paraId="7EC11393"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Tucker-Lewis Index (TLI)</w:t>
            </w:r>
          </w:p>
        </w:tc>
        <w:tc>
          <w:tcPr>
            <w:tcW w:w="1418" w:type="dxa"/>
          </w:tcPr>
          <w:p w14:paraId="5018E10B"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0.905</w:t>
            </w:r>
          </w:p>
        </w:tc>
        <w:tc>
          <w:tcPr>
            <w:tcW w:w="2126" w:type="dxa"/>
          </w:tcPr>
          <w:p w14:paraId="657E3989"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TLI ≥ 0.9 = good fit; 0.8 ≤ TLI &lt; 0.9 = marginal fit</w:t>
            </w:r>
          </w:p>
        </w:tc>
        <w:tc>
          <w:tcPr>
            <w:tcW w:w="1701" w:type="dxa"/>
          </w:tcPr>
          <w:p w14:paraId="3672351B"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14:paraId="6C5F7C57" w14:textId="77777777" w:rsidTr="00E679FA">
        <w:tc>
          <w:tcPr>
            <w:tcW w:w="2835" w:type="dxa"/>
          </w:tcPr>
          <w:p w14:paraId="0C6FD2DD"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Comparative Fit Index (CFI)</w:t>
            </w:r>
          </w:p>
        </w:tc>
        <w:tc>
          <w:tcPr>
            <w:tcW w:w="1418" w:type="dxa"/>
          </w:tcPr>
          <w:p w14:paraId="38F90F2C"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0.923</w:t>
            </w:r>
          </w:p>
        </w:tc>
        <w:tc>
          <w:tcPr>
            <w:tcW w:w="2126" w:type="dxa"/>
          </w:tcPr>
          <w:p w14:paraId="45C7EF3D"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CFI ≥ 0.9 = good fit; 0.8 ≤ CFI &lt; 0.9 = marginal fit</w:t>
            </w:r>
          </w:p>
        </w:tc>
        <w:tc>
          <w:tcPr>
            <w:tcW w:w="1701" w:type="dxa"/>
          </w:tcPr>
          <w:p w14:paraId="2231D25A"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14:paraId="3C4803F8" w14:textId="77777777" w:rsidTr="00E679FA">
        <w:trPr>
          <w:cnfStyle w:val="000000100000" w:firstRow="0" w:lastRow="0" w:firstColumn="0" w:lastColumn="0" w:oddVBand="0" w:evenVBand="0" w:oddHBand="1" w:evenHBand="0" w:firstRowFirstColumn="0" w:firstRowLastColumn="0" w:lastRowFirstColumn="0" w:lastRowLastColumn="0"/>
        </w:trPr>
        <w:tc>
          <w:tcPr>
            <w:tcW w:w="2835" w:type="dxa"/>
          </w:tcPr>
          <w:p w14:paraId="263217E8"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Normo Fit Index (NFI)</w:t>
            </w:r>
          </w:p>
        </w:tc>
        <w:tc>
          <w:tcPr>
            <w:tcW w:w="1418" w:type="dxa"/>
          </w:tcPr>
          <w:p w14:paraId="6ACBF453"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0.892</w:t>
            </w:r>
          </w:p>
        </w:tc>
        <w:tc>
          <w:tcPr>
            <w:tcW w:w="2126" w:type="dxa"/>
          </w:tcPr>
          <w:p w14:paraId="2D68F436"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NFI ≥ 0.9 = good fit; 0.8 ≤ NFI &lt; 0.9 = marginal fit</w:t>
            </w:r>
          </w:p>
        </w:tc>
        <w:tc>
          <w:tcPr>
            <w:tcW w:w="1701" w:type="dxa"/>
          </w:tcPr>
          <w:p w14:paraId="2E6D905D" w14:textId="77777777"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Marginal fit</w:t>
            </w:r>
          </w:p>
        </w:tc>
      </w:tr>
    </w:tbl>
    <w:p w14:paraId="31CD262C" w14:textId="77777777" w:rsidR="00E60EB7" w:rsidRDefault="00E60EB7" w:rsidP="00E60EB7">
      <w:pPr>
        <w:spacing w:after="0" w:line="240" w:lineRule="auto"/>
        <w:jc w:val="both"/>
        <w:rPr>
          <w:rFonts w:eastAsiaTheme="minorEastAsia"/>
        </w:rPr>
      </w:pPr>
    </w:p>
    <w:p w14:paraId="263E4119" w14:textId="77777777" w:rsidR="004076F6" w:rsidRPr="004076F6" w:rsidRDefault="00F91082" w:rsidP="00F91082">
      <w:pPr>
        <w:spacing w:after="240" w:line="240" w:lineRule="auto"/>
        <w:jc w:val="both"/>
        <w:rPr>
          <w:rFonts w:ascii="Times New Roman" w:eastAsiaTheme="minorEastAsia" w:hAnsi="Times New Roman" w:cs="Times New Roman"/>
        </w:rPr>
      </w:pPr>
      <w:r w:rsidRPr="00F91082">
        <w:rPr>
          <w:rFonts w:ascii="Times New Roman" w:eastAsiaTheme="minorEastAsia" w:hAnsi="Times New Roman" w:cs="Times New Roman"/>
        </w:rPr>
        <w:t>Meanwhile, the results of the standardized loading factor value points for each indicator are shown in Table 3. The statement items for each occupational self-efficacy measurement indicator have a parameter value of λ (lambda) above 0.5. This result means that overall, 16 items are declared valid to measure students' culinary perceptions of occupational self-efficacy on their cooking performance. Besides, these results indicate that occupational self-efficacy on cooking performance can be explained significantly together by indicators of enactive experience, model experience, social persuasion, and emotional states.</w:t>
      </w:r>
    </w:p>
    <w:p w14:paraId="3D543120" w14:textId="77777777" w:rsidR="00F91082" w:rsidRPr="004076F6" w:rsidRDefault="00F91082" w:rsidP="00F91082">
      <w:pPr>
        <w:spacing w:line="240" w:lineRule="auto"/>
        <w:rPr>
          <w:rFonts w:ascii="Times New Roman" w:eastAsia="Times New Roman" w:hAnsi="Times New Roman" w:cs="Times New Roman"/>
          <w:bCs/>
        </w:rPr>
      </w:pPr>
      <w:r w:rsidRPr="00F91082">
        <w:rPr>
          <w:rFonts w:ascii="Times New Roman" w:eastAsia="Times New Roman" w:hAnsi="Times New Roman" w:cs="Times New Roman"/>
          <w:bCs/>
        </w:rPr>
        <w:t>Table 3. Standardized Regression Weights on Occupational Self-Efficacy Instruments on Cooking Performance</w:t>
      </w:r>
    </w:p>
    <w:tbl>
      <w:tblPr>
        <w:tblStyle w:val="PlainTable2"/>
        <w:tblW w:w="8224" w:type="dxa"/>
        <w:tblLook w:val="0420" w:firstRow="1" w:lastRow="0" w:firstColumn="0" w:lastColumn="0" w:noHBand="0" w:noVBand="1"/>
      </w:tblPr>
      <w:tblGrid>
        <w:gridCol w:w="2268"/>
        <w:gridCol w:w="708"/>
        <w:gridCol w:w="2411"/>
        <w:gridCol w:w="1560"/>
        <w:gridCol w:w="1277"/>
      </w:tblGrid>
      <w:tr w:rsidR="00663822" w:rsidRPr="0012659A" w14:paraId="3F1070C1" w14:textId="77777777" w:rsidTr="00E679FA">
        <w:trPr>
          <w:cnfStyle w:val="100000000000" w:firstRow="1" w:lastRow="0" w:firstColumn="0" w:lastColumn="0" w:oddVBand="0" w:evenVBand="0" w:oddHBand="0" w:evenHBand="0" w:firstRowFirstColumn="0" w:firstRowLastColumn="0" w:lastRowFirstColumn="0" w:lastRowLastColumn="0"/>
          <w:tblHeader/>
        </w:trPr>
        <w:tc>
          <w:tcPr>
            <w:tcW w:w="5387" w:type="dxa"/>
            <w:gridSpan w:val="3"/>
            <w:vAlign w:val="center"/>
          </w:tcPr>
          <w:p w14:paraId="61ED78AE" w14:textId="77777777" w:rsidR="00663822" w:rsidRPr="0012659A" w:rsidRDefault="00F91082" w:rsidP="004076F6">
            <w:pPr>
              <w:jc w:val="center"/>
              <w:rPr>
                <w:rFonts w:ascii="Times New Roman" w:eastAsiaTheme="minorEastAsia" w:hAnsi="Times New Roman" w:cs="Times New Roman"/>
                <w:sz w:val="22"/>
              </w:rPr>
            </w:pPr>
            <w:r>
              <w:rPr>
                <w:rFonts w:ascii="Times New Roman" w:eastAsiaTheme="minorEastAsia" w:hAnsi="Times New Roman" w:cs="Times New Roman"/>
                <w:sz w:val="22"/>
              </w:rPr>
              <w:t>Path</w:t>
            </w:r>
          </w:p>
        </w:tc>
        <w:tc>
          <w:tcPr>
            <w:tcW w:w="1560" w:type="dxa"/>
            <w:vAlign w:val="center"/>
          </w:tcPr>
          <w:p w14:paraId="6E3BA62A"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Estimate</w:t>
            </w:r>
          </w:p>
        </w:tc>
        <w:tc>
          <w:tcPr>
            <w:tcW w:w="1277" w:type="dxa"/>
            <w:vAlign w:val="center"/>
          </w:tcPr>
          <w:p w14:paraId="01629C3D"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P-value</w:t>
            </w:r>
          </w:p>
        </w:tc>
      </w:tr>
      <w:tr w:rsidR="00663822" w:rsidRPr="0012659A" w14:paraId="5B5F841A" w14:textId="77777777" w:rsidTr="00E679FA">
        <w:trPr>
          <w:cnfStyle w:val="000000100000" w:firstRow="0" w:lastRow="0" w:firstColumn="0" w:lastColumn="0" w:oddVBand="0" w:evenVBand="0" w:oddHBand="1" w:evenHBand="0" w:firstRowFirstColumn="0" w:firstRowLastColumn="0" w:lastRowFirstColumn="0" w:lastRowLastColumn="0"/>
        </w:trPr>
        <w:tc>
          <w:tcPr>
            <w:tcW w:w="2268" w:type="dxa"/>
          </w:tcPr>
          <w:p w14:paraId="74C2767A" w14:textId="77777777"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EE1 – EE4</w:t>
            </w:r>
          </w:p>
        </w:tc>
        <w:tc>
          <w:tcPr>
            <w:tcW w:w="708" w:type="dxa"/>
          </w:tcPr>
          <w:p w14:paraId="63480DDF" w14:textId="77777777"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14:paraId="5E48FF0C" w14:textId="77777777" w:rsidR="00663822" w:rsidRPr="0012659A" w:rsidRDefault="00F91082" w:rsidP="004076F6">
            <w:pPr>
              <w:rPr>
                <w:rFonts w:ascii="Times New Roman" w:eastAsiaTheme="minorEastAsia" w:hAnsi="Times New Roman" w:cs="Times New Roman"/>
                <w:sz w:val="22"/>
              </w:rPr>
            </w:pPr>
            <w:r>
              <w:rPr>
                <w:rFonts w:ascii="Times New Roman" w:eastAsiaTheme="minorEastAsia" w:hAnsi="Times New Roman" w:cs="Times New Roman"/>
              </w:rPr>
              <w:t>E</w:t>
            </w:r>
            <w:r w:rsidRPr="00F91082">
              <w:rPr>
                <w:rFonts w:ascii="Times New Roman" w:eastAsiaTheme="minorEastAsia" w:hAnsi="Times New Roman" w:cs="Times New Roman"/>
              </w:rPr>
              <w:t>nactive experience</w:t>
            </w:r>
          </w:p>
        </w:tc>
        <w:tc>
          <w:tcPr>
            <w:tcW w:w="1560" w:type="dxa"/>
          </w:tcPr>
          <w:p w14:paraId="316D63CD"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0.575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0.749</w:t>
            </w:r>
          </w:p>
        </w:tc>
        <w:tc>
          <w:tcPr>
            <w:tcW w:w="1277" w:type="dxa"/>
          </w:tcPr>
          <w:p w14:paraId="4C9A6D4A"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r w:rsidR="00663822" w:rsidRPr="0012659A" w14:paraId="28B4DFE0" w14:textId="77777777" w:rsidTr="00E679FA">
        <w:tc>
          <w:tcPr>
            <w:tcW w:w="2268" w:type="dxa"/>
          </w:tcPr>
          <w:p w14:paraId="7A5BB993" w14:textId="77777777"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ME1 – ME4</w:t>
            </w:r>
          </w:p>
        </w:tc>
        <w:tc>
          <w:tcPr>
            <w:tcW w:w="708" w:type="dxa"/>
          </w:tcPr>
          <w:p w14:paraId="2BEB3E54" w14:textId="77777777"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14:paraId="7AC2F527" w14:textId="77777777" w:rsidR="00663822" w:rsidRPr="0012659A" w:rsidRDefault="00F91082" w:rsidP="004076F6">
            <w:pPr>
              <w:rPr>
                <w:rFonts w:ascii="Times New Roman" w:eastAsiaTheme="minorEastAsia" w:hAnsi="Times New Roman" w:cs="Times New Roman"/>
                <w:sz w:val="22"/>
              </w:rPr>
            </w:pPr>
            <w:r>
              <w:rPr>
                <w:rFonts w:ascii="Times New Roman" w:eastAsiaTheme="minorEastAsia" w:hAnsi="Times New Roman" w:cs="Times New Roman"/>
              </w:rPr>
              <w:t>M</w:t>
            </w:r>
            <w:r w:rsidRPr="00F91082">
              <w:rPr>
                <w:rFonts w:ascii="Times New Roman" w:eastAsiaTheme="minorEastAsia" w:hAnsi="Times New Roman" w:cs="Times New Roman"/>
              </w:rPr>
              <w:t>odel experience</w:t>
            </w:r>
          </w:p>
        </w:tc>
        <w:tc>
          <w:tcPr>
            <w:tcW w:w="1560" w:type="dxa"/>
          </w:tcPr>
          <w:p w14:paraId="2443D4CD"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0.527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0.741</w:t>
            </w:r>
          </w:p>
        </w:tc>
        <w:tc>
          <w:tcPr>
            <w:tcW w:w="1277" w:type="dxa"/>
          </w:tcPr>
          <w:p w14:paraId="59478B39"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r w:rsidR="00663822" w:rsidRPr="0012659A" w14:paraId="5727F917" w14:textId="77777777" w:rsidTr="00E679FA">
        <w:trPr>
          <w:cnfStyle w:val="000000100000" w:firstRow="0" w:lastRow="0" w:firstColumn="0" w:lastColumn="0" w:oddVBand="0" w:evenVBand="0" w:oddHBand="1" w:evenHBand="0" w:firstRowFirstColumn="0" w:firstRowLastColumn="0" w:lastRowFirstColumn="0" w:lastRowLastColumn="0"/>
        </w:trPr>
        <w:tc>
          <w:tcPr>
            <w:tcW w:w="2268" w:type="dxa"/>
          </w:tcPr>
          <w:p w14:paraId="3DFD69DE" w14:textId="77777777"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SP1 – SP4</w:t>
            </w:r>
          </w:p>
        </w:tc>
        <w:tc>
          <w:tcPr>
            <w:tcW w:w="708" w:type="dxa"/>
          </w:tcPr>
          <w:p w14:paraId="3DD34D27" w14:textId="77777777"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14:paraId="6E43B365" w14:textId="77777777" w:rsidR="00663822" w:rsidRPr="0012659A" w:rsidRDefault="00F91082" w:rsidP="004076F6">
            <w:pPr>
              <w:rPr>
                <w:rFonts w:ascii="Times New Roman" w:eastAsiaTheme="minorEastAsia" w:hAnsi="Times New Roman" w:cs="Times New Roman"/>
                <w:sz w:val="22"/>
              </w:rPr>
            </w:pPr>
            <w:r>
              <w:rPr>
                <w:rFonts w:ascii="Times New Roman" w:eastAsiaTheme="minorEastAsia" w:hAnsi="Times New Roman" w:cs="Times New Roman"/>
              </w:rPr>
              <w:t>S</w:t>
            </w:r>
            <w:r w:rsidRPr="00F91082">
              <w:rPr>
                <w:rFonts w:ascii="Times New Roman" w:eastAsiaTheme="minorEastAsia" w:hAnsi="Times New Roman" w:cs="Times New Roman"/>
              </w:rPr>
              <w:t>ocial persuasion</w:t>
            </w:r>
          </w:p>
        </w:tc>
        <w:tc>
          <w:tcPr>
            <w:tcW w:w="1560" w:type="dxa"/>
          </w:tcPr>
          <w:p w14:paraId="36462EEA"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0.752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0.844</w:t>
            </w:r>
          </w:p>
        </w:tc>
        <w:tc>
          <w:tcPr>
            <w:tcW w:w="1277" w:type="dxa"/>
          </w:tcPr>
          <w:p w14:paraId="3D829F59"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r w:rsidR="00663822" w:rsidRPr="0012659A" w14:paraId="0590D3C0" w14:textId="77777777" w:rsidTr="00E679FA">
        <w:tc>
          <w:tcPr>
            <w:tcW w:w="2268" w:type="dxa"/>
          </w:tcPr>
          <w:p w14:paraId="338BC671" w14:textId="77777777"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EC1 – EC4</w:t>
            </w:r>
          </w:p>
        </w:tc>
        <w:tc>
          <w:tcPr>
            <w:tcW w:w="708" w:type="dxa"/>
          </w:tcPr>
          <w:p w14:paraId="1448A3C9" w14:textId="77777777"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14:paraId="41C01B7A" w14:textId="77777777" w:rsidR="00663822" w:rsidRPr="0012659A" w:rsidRDefault="00F91082" w:rsidP="004076F6">
            <w:pPr>
              <w:rPr>
                <w:rFonts w:ascii="Times New Roman" w:hAnsi="Times New Roman" w:cs="Times New Roman"/>
                <w:sz w:val="22"/>
              </w:rPr>
            </w:pPr>
            <w:r>
              <w:rPr>
                <w:rFonts w:ascii="Times New Roman" w:eastAsiaTheme="minorEastAsia" w:hAnsi="Times New Roman" w:cs="Times New Roman"/>
              </w:rPr>
              <w:t>Emotional condition</w:t>
            </w:r>
          </w:p>
        </w:tc>
        <w:tc>
          <w:tcPr>
            <w:tcW w:w="1560" w:type="dxa"/>
          </w:tcPr>
          <w:p w14:paraId="01EAFFC6"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0.610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0.805</w:t>
            </w:r>
          </w:p>
        </w:tc>
        <w:tc>
          <w:tcPr>
            <w:tcW w:w="1277" w:type="dxa"/>
          </w:tcPr>
          <w:p w14:paraId="2F630A59" w14:textId="77777777"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bl>
    <w:p w14:paraId="201827F2" w14:textId="77777777" w:rsidR="00F91082" w:rsidRPr="00C8211A" w:rsidRDefault="00663822" w:rsidP="00C8211A">
      <w:pPr>
        <w:spacing w:line="240" w:lineRule="auto"/>
        <w:rPr>
          <w:rFonts w:ascii="Times New Roman" w:eastAsiaTheme="minorEastAsia" w:hAnsi="Times New Roman" w:cs="Times New Roman"/>
        </w:rPr>
      </w:pPr>
      <w:r w:rsidRPr="00B62C70">
        <w:rPr>
          <w:rFonts w:ascii="Times New Roman" w:eastAsiaTheme="minorEastAsia" w:hAnsi="Times New Roman" w:cs="Times New Roman"/>
        </w:rPr>
        <w:t xml:space="preserve">*** </w:t>
      </w:r>
      <w:r w:rsidR="00F91082" w:rsidRPr="00F91082">
        <w:rPr>
          <w:rFonts w:ascii="Times New Roman" w:eastAsiaTheme="minorEastAsia" w:hAnsi="Times New Roman" w:cs="Times New Roman"/>
        </w:rPr>
        <w:t>The p-value is very small (less than 0.001)</w:t>
      </w:r>
    </w:p>
    <w:p w14:paraId="59C1356C" w14:textId="145AD46E" w:rsidR="006C424A" w:rsidRDefault="00087A1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w:t>
      </w:r>
      <w:r w:rsidR="00117879">
        <w:rPr>
          <w:rFonts w:ascii="Times New Roman" w:eastAsia="Times New Roman" w:hAnsi="Times New Roman" w:cs="Times New Roman"/>
          <w:b/>
          <w:color w:val="000000"/>
        </w:rPr>
        <w:t>c</w:t>
      </w:r>
      <w:r>
        <w:rPr>
          <w:rFonts w:ascii="Times New Roman" w:eastAsia="Times New Roman" w:hAnsi="Times New Roman" w:cs="Times New Roman"/>
          <w:b/>
          <w:color w:val="000000"/>
        </w:rPr>
        <w:t>lusion</w:t>
      </w:r>
    </w:p>
    <w:p w14:paraId="642B4726" w14:textId="77777777" w:rsidR="00087A1A" w:rsidRPr="00CB7D3A" w:rsidRDefault="00087A1A">
      <w:pPr>
        <w:spacing w:after="0"/>
        <w:jc w:val="both"/>
        <w:rPr>
          <w:rFonts w:ascii="Times New Roman" w:eastAsiaTheme="minorEastAsia" w:hAnsi="Times New Roman" w:cs="Times New Roman"/>
        </w:rPr>
      </w:pPr>
      <w:r w:rsidRPr="00087A1A">
        <w:rPr>
          <w:rFonts w:ascii="Times New Roman" w:eastAsiaTheme="minorEastAsia" w:hAnsi="Times New Roman" w:cs="Times New Roman"/>
        </w:rPr>
        <w:t>The results of this study indicate that occupational self-efficacy on cooking ability can be explained significantly together by indicators of active mastery experience, model experience, social persuasion, and emotional states. CFA analysis revealed that 16 items of occupational self-efficacy questionnaire cooking abilities were declared valid. The occupational self-efficacy questionnaire of cooking ability consisted of four items of enactive experience, four items of model experience, four items of verbal or social persuasion, and four items of emotional condition. The results of this study have implications for hospitality industry practitioners to measure the cooking abilities of chefs. Besides, this questionnaire can be used to evaluate the achievements of the culinary students' cooking competencies.</w:t>
      </w:r>
    </w:p>
    <w:p w14:paraId="6B55719E" w14:textId="77777777" w:rsidR="006C424A" w:rsidRDefault="006C424A">
      <w:pPr>
        <w:spacing w:after="0"/>
        <w:rPr>
          <w:rFonts w:ascii="Times New Roman" w:eastAsia="Times New Roman" w:hAnsi="Times New Roman" w:cs="Times New Roman"/>
          <w:color w:val="000000"/>
        </w:rPr>
      </w:pPr>
    </w:p>
    <w:p w14:paraId="47F49B0E" w14:textId="77777777" w:rsidR="006C424A" w:rsidRDefault="002B0102" w:rsidP="008327F8">
      <w:pPr>
        <w:spacing w:after="240" w:line="240" w:lineRule="auto"/>
        <w:rPr>
          <w:rFonts w:ascii="Times New Roman" w:eastAsia="Times New Roman" w:hAnsi="Times New Roman" w:cs="Times New Roman"/>
          <w:b/>
        </w:rPr>
      </w:pPr>
      <w:r>
        <w:rPr>
          <w:rFonts w:ascii="Times New Roman" w:eastAsia="Times New Roman" w:hAnsi="Times New Roman" w:cs="Times New Roman"/>
          <w:b/>
        </w:rPr>
        <w:t>Acknowledgments</w:t>
      </w:r>
    </w:p>
    <w:p w14:paraId="0DED4E37" w14:textId="23C9EBB9" w:rsidR="00317707" w:rsidRDefault="008327F8" w:rsidP="008327F8">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sidRPr="008327F8">
        <w:rPr>
          <w:rFonts w:ascii="Times New Roman" w:eastAsia="Times New Roman" w:hAnsi="Times New Roman" w:cs="Times New Roman"/>
          <w:color w:val="000000"/>
        </w:rPr>
        <w:t>We thank the Ministry of Education and Culture of the Republic of Indonesia for supporting this research funding. Also, we appreciate all the Culinary Art State Vocational School in the Yogyakarta Special Region who have been involved as respondents in this study.</w:t>
      </w:r>
    </w:p>
    <w:p w14:paraId="1464E0F7" w14:textId="77777777" w:rsidR="00487430" w:rsidRDefault="00487430" w:rsidP="008327F8">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bookmarkStart w:id="1" w:name="_GoBack"/>
      <w:bookmarkEnd w:id="1"/>
    </w:p>
    <w:p w14:paraId="63DE5D8F" w14:textId="77777777" w:rsidR="006C424A" w:rsidRDefault="002B010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References </w:t>
      </w:r>
    </w:p>
    <w:p w14:paraId="64B81F06" w14:textId="77777777" w:rsidR="006D7AD0" w:rsidRPr="006D7AD0" w:rsidRDefault="004A5439"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4A5439">
        <w:rPr>
          <w:rFonts w:ascii="Times New Roman" w:eastAsia="Times New Roman" w:hAnsi="Times New Roman" w:cs="Times New Roman"/>
          <w:color w:val="000000"/>
          <w:szCs w:val="24"/>
        </w:rPr>
        <w:fldChar w:fldCharType="begin" w:fldLock="1"/>
      </w:r>
      <w:r w:rsidRPr="004A5439">
        <w:rPr>
          <w:rFonts w:ascii="Times New Roman" w:eastAsia="Times New Roman" w:hAnsi="Times New Roman" w:cs="Times New Roman"/>
          <w:color w:val="000000"/>
          <w:szCs w:val="24"/>
        </w:rPr>
        <w:instrText xml:space="preserve">ADDIN Mendeley Bibliography CSL_BIBLIOGRAPHY </w:instrText>
      </w:r>
      <w:r w:rsidRPr="004A5439">
        <w:rPr>
          <w:rFonts w:ascii="Times New Roman" w:eastAsia="Times New Roman" w:hAnsi="Times New Roman" w:cs="Times New Roman"/>
          <w:color w:val="000000"/>
          <w:szCs w:val="24"/>
        </w:rPr>
        <w:fldChar w:fldCharType="separate"/>
      </w:r>
      <w:r w:rsidR="006D7AD0" w:rsidRPr="006D7AD0">
        <w:rPr>
          <w:rFonts w:ascii="Times New Roman" w:hAnsi="Times New Roman" w:cs="Times New Roman"/>
          <w:noProof/>
          <w:szCs w:val="24"/>
        </w:rPr>
        <w:t>[1]</w:t>
      </w:r>
      <w:r w:rsidR="006D7AD0" w:rsidRPr="006D7AD0">
        <w:rPr>
          <w:rFonts w:ascii="Times New Roman" w:hAnsi="Times New Roman" w:cs="Times New Roman"/>
          <w:noProof/>
          <w:szCs w:val="24"/>
        </w:rPr>
        <w:tab/>
        <w:t>Luthans F, Luthans KW, Luthans BC. Positive psychological capital: Beyond human and social capital. Business Horizons. 2004; 47:45–50.</w:t>
      </w:r>
    </w:p>
    <w:p w14:paraId="068B0E7D"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w:t>
      </w:r>
      <w:r w:rsidRPr="006D7AD0">
        <w:rPr>
          <w:rFonts w:ascii="Times New Roman" w:hAnsi="Times New Roman" w:cs="Times New Roman"/>
          <w:noProof/>
          <w:szCs w:val="24"/>
        </w:rPr>
        <w:tab/>
        <w:t>Bandura A. Self-efficacy : Toward a Unifying Theory of Behavioral Change. Psychological Review. 1977; 84(2):191–215.</w:t>
      </w:r>
    </w:p>
    <w:p w14:paraId="1FB774B4"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[3]</w:t>
      </w:r>
      <w:r w:rsidRPr="006D7AD0">
        <w:rPr>
          <w:rFonts w:ascii="Times New Roman" w:hAnsi="Times New Roman" w:cs="Times New Roman"/>
          <w:noProof/>
          <w:szCs w:val="24"/>
        </w:rPr>
        <w:tab/>
        <w:t>Bandura A. Social foundations of thought and action. Englewood Cliffs, NJ: Prentice Hall; 1986;</w:t>
      </w:r>
    </w:p>
    <w:p w14:paraId="5C04E612"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[4]</w:t>
      </w:r>
      <w:r w:rsidRPr="006D7AD0">
        <w:rPr>
          <w:rFonts w:ascii="Times New Roman" w:hAnsi="Times New Roman" w:cs="Times New Roman"/>
          <w:noProof/>
          <w:szCs w:val="24"/>
        </w:rPr>
        <w:tab/>
        <w:t>Seifert T. Understanding student motivation. Educational Research. 2010; 46(2):137–49. doi:10.1080/0013188042000222421.</w:t>
      </w:r>
    </w:p>
    <w:p w14:paraId="42FB21B9"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[5]</w:t>
      </w:r>
      <w:r w:rsidRPr="006D7AD0">
        <w:rPr>
          <w:rFonts w:ascii="Times New Roman" w:hAnsi="Times New Roman" w:cs="Times New Roman"/>
          <w:noProof/>
          <w:szCs w:val="24"/>
        </w:rPr>
        <w:tab/>
        <w:t>Yusuf M. The Impact of Self-Efficacy, Achievement Motivation, and Self-Regulated Learning Strategies on Students’ Academic Achievement. Procedia -Social Behav. Sci., vol. 15, Elsevier Ltd; 2011;, p. 2623–6. doi:10.1016/j.sbspro.2011.04.158.</w:t>
      </w:r>
    </w:p>
    <w:p w14:paraId="3749803D"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[6]</w:t>
      </w:r>
      <w:r w:rsidRPr="006D7AD0">
        <w:rPr>
          <w:rFonts w:ascii="Times New Roman" w:hAnsi="Times New Roman" w:cs="Times New Roman"/>
          <w:noProof/>
          <w:szCs w:val="24"/>
        </w:rPr>
        <w:tab/>
        <w:t>Çavuş M, Kapusuz A. Psychological capital: Definition, components and effects. British Journal of Education, Society &amp; Behavioural Science. 2015; 5:244–55.</w:t>
      </w:r>
    </w:p>
    <w:p w14:paraId="19C96952"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[7]</w:t>
      </w:r>
      <w:r w:rsidRPr="006D7AD0">
        <w:rPr>
          <w:rFonts w:ascii="Times New Roman" w:hAnsi="Times New Roman" w:cs="Times New Roman"/>
          <w:noProof/>
          <w:szCs w:val="24"/>
        </w:rPr>
        <w:tab/>
        <w:t>Bandura A, Pastorelli C, Barbaranelli C, Caprara GV. Self-Efficacy Pathways to Childhood Depression. Journal of Personality and Social Psychology. 1999; 76(2):258–69.</w:t>
      </w:r>
    </w:p>
    <w:p w14:paraId="5EDA3B5D"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[8]</w:t>
      </w:r>
      <w:r w:rsidRPr="006D7AD0">
        <w:rPr>
          <w:rFonts w:ascii="Times New Roman" w:hAnsi="Times New Roman" w:cs="Times New Roman"/>
          <w:noProof/>
          <w:szCs w:val="24"/>
        </w:rPr>
        <w:tab/>
        <w:t>Stajkovic AD, Luthans F. Social cognitive theory and self efficacy: Going beyond traditional motivational and behavioral approaches. Organizational Dynamics. 1998; 26(4):62–74.</w:t>
      </w:r>
    </w:p>
    <w:p w14:paraId="7524510C"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[9]</w:t>
      </w:r>
      <w:r w:rsidRPr="006D7AD0">
        <w:rPr>
          <w:rFonts w:ascii="Times New Roman" w:hAnsi="Times New Roman" w:cs="Times New Roman"/>
          <w:noProof/>
          <w:szCs w:val="24"/>
        </w:rPr>
        <w:tab/>
        <w:t>Bandura A. Self-efficacy: The exercise of control. New York: Freeman; 1997;</w:t>
      </w:r>
    </w:p>
    <w:p w14:paraId="0D4639A4"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[10]</w:t>
      </w:r>
      <w:r w:rsidRPr="006D7AD0">
        <w:rPr>
          <w:rFonts w:ascii="Times New Roman" w:hAnsi="Times New Roman" w:cs="Times New Roman"/>
          <w:noProof/>
          <w:szCs w:val="24"/>
        </w:rPr>
        <w:tab/>
        <w:t>Md. Yunus AS, Wan Ali WZ. Metacognition and Motivation in Mathematical Problem Solving. The International Journal of Learning. 2009; 15(3):121–32.</w:t>
      </w:r>
    </w:p>
    <w:p w14:paraId="5A1DFADB"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[11]</w:t>
      </w:r>
      <w:r w:rsidRPr="006D7AD0">
        <w:rPr>
          <w:rFonts w:ascii="Times New Roman" w:hAnsi="Times New Roman" w:cs="Times New Roman"/>
          <w:noProof/>
          <w:szCs w:val="24"/>
        </w:rPr>
        <w:tab/>
        <w:t>Rigotti T, Schyns B, Mohr G. A Short Version of the Occupational Self-Efficacy Scale: Structural and Construct Validity Across Five Countries. Journal of Career Assessment. 2008; 16(2):238–55. doi:10.1177/1069072707305763.</w:t>
      </w:r>
    </w:p>
    <w:p w14:paraId="4B2D78D4"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[12]</w:t>
      </w:r>
      <w:r w:rsidRPr="006D7AD0">
        <w:rPr>
          <w:rFonts w:ascii="Times New Roman" w:hAnsi="Times New Roman" w:cs="Times New Roman"/>
          <w:noProof/>
          <w:szCs w:val="24"/>
        </w:rPr>
        <w:tab/>
        <w:t>Çetin F, Aşkun D. The effect of occupational self-efficacy on work performance through intrinsic work motivation. Management Research Review. 2018; 41(2):186–201. doi:10.1108/MRR-03-2017-0062.</w:t>
      </w:r>
    </w:p>
    <w:p w14:paraId="2A812B9E"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[13]</w:t>
      </w:r>
      <w:r w:rsidRPr="006D7AD0">
        <w:rPr>
          <w:rFonts w:ascii="Times New Roman" w:hAnsi="Times New Roman" w:cs="Times New Roman"/>
          <w:noProof/>
          <w:szCs w:val="24"/>
        </w:rPr>
        <w:tab/>
        <w:t>Líbano MD, Llorens S, Salanoval M, Schaufeli WB. About the dark and bright sides of self-efficacy: workaholism and work engagement. The Spanish Journal of Psychology. 2012; 15(2):688–701. doi:doi:10.5209/rev_ SJOP.2012.v15.n2.38883.</w:t>
      </w:r>
    </w:p>
    <w:p w14:paraId="387314A1"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[14]</w:t>
      </w:r>
      <w:r w:rsidRPr="006D7AD0">
        <w:rPr>
          <w:rFonts w:ascii="Times New Roman" w:hAnsi="Times New Roman" w:cs="Times New Roman"/>
          <w:noProof/>
          <w:szCs w:val="24"/>
        </w:rPr>
        <w:tab/>
        <w:t>Salanova M, Llorens S, Schaufeli WB. “Yes, I can, I feel good, and I just do it!” On gain cycles and spirals of efficacy beliefs, affect, and engagement. Applied Psychology. 2011; 60(2):255–85. doi:10.1111/j.1464-0597.2010.00435.x.</w:t>
      </w:r>
    </w:p>
    <w:p w14:paraId="31EB423A"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[15]</w:t>
      </w:r>
      <w:r w:rsidRPr="006D7AD0">
        <w:rPr>
          <w:rFonts w:ascii="Times New Roman" w:hAnsi="Times New Roman" w:cs="Times New Roman"/>
          <w:noProof/>
          <w:szCs w:val="24"/>
        </w:rPr>
        <w:tab/>
        <w:t>Brotheridge CM, Grandey AA. Emotional labor and burnout: Comparing two perspectives of “people work”. Journal of Vocational Behavior. 2002; 60(1):17–39. doi:10.1006/jvbe.2001.1815.</w:t>
      </w:r>
    </w:p>
    <w:p w14:paraId="29586777"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[16]</w:t>
      </w:r>
      <w:r w:rsidRPr="006D7AD0">
        <w:rPr>
          <w:rFonts w:ascii="Times New Roman" w:hAnsi="Times New Roman" w:cs="Times New Roman"/>
          <w:noProof/>
          <w:szCs w:val="24"/>
        </w:rPr>
        <w:tab/>
        <w:t>Guglielmi D, Simbula S, Schaufeli WB, Depolo M. Self-efficacy and workaholism as initiators of the job demands-resources model. The Career Development International. 2012; 17(4):375–89. doi:10.1108/13620431211255842.</w:t>
      </w:r>
    </w:p>
    <w:p w14:paraId="3F860324"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[17]</w:t>
      </w:r>
      <w:r w:rsidRPr="006D7AD0">
        <w:rPr>
          <w:rFonts w:ascii="Times New Roman" w:hAnsi="Times New Roman" w:cs="Times New Roman"/>
          <w:noProof/>
          <w:szCs w:val="24"/>
        </w:rPr>
        <w:tab/>
        <w:t>Kafetsios K, Zampetakis LA. Emotional intelligence and job satisfaction: Testing the mediatory role of positive and negative affect at work. Personality and Individual Differences. 2008; 44(3):712–22. doi:10.1016/j.paid.2007.10.004.</w:t>
      </w:r>
    </w:p>
    <w:p w14:paraId="13335DCA"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[18]</w:t>
      </w:r>
      <w:r w:rsidRPr="006D7AD0">
        <w:rPr>
          <w:rFonts w:ascii="Times New Roman" w:hAnsi="Times New Roman" w:cs="Times New Roman"/>
          <w:noProof/>
          <w:szCs w:val="24"/>
        </w:rPr>
        <w:tab/>
        <w:t>Usher EL, Pajares F. Sources of Self-Efficacy in Mathematics : A Validation Study. Contemporary Educational Psychology. 2009; 34:89–101. doi:10.1016/j.cedpsych.2008.09.002.</w:t>
      </w:r>
    </w:p>
    <w:p w14:paraId="34A1BC77"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[19]</w:t>
      </w:r>
      <w:r w:rsidRPr="006D7AD0">
        <w:rPr>
          <w:rFonts w:ascii="Times New Roman" w:hAnsi="Times New Roman" w:cs="Times New Roman"/>
          <w:noProof/>
          <w:szCs w:val="24"/>
        </w:rPr>
        <w:tab/>
        <w:t>Schunk DH, Usher EL. Social cognitive theory and motivation. Oxford Handb. Hum. Motiv., New York: Oxford University Press; 2012;, p. 13–27.</w:t>
      </w:r>
    </w:p>
    <w:p w14:paraId="3BC7EFE8"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[20]</w:t>
      </w:r>
      <w:r w:rsidRPr="006D7AD0">
        <w:rPr>
          <w:rFonts w:ascii="Times New Roman" w:hAnsi="Times New Roman" w:cs="Times New Roman"/>
          <w:noProof/>
          <w:szCs w:val="24"/>
        </w:rPr>
        <w:tab/>
        <w:t>Hendricks KS. The sources of self-efficacy: Educational research and implications for music. National Association for Music Education. 2016; 35(1):32–8. doi:10.1177/8755123315576535.</w:t>
      </w:r>
    </w:p>
    <w:p w14:paraId="004B667C"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[21]</w:t>
      </w:r>
      <w:r w:rsidRPr="006D7AD0">
        <w:rPr>
          <w:rFonts w:ascii="Times New Roman" w:hAnsi="Times New Roman" w:cs="Times New Roman"/>
          <w:noProof/>
          <w:szCs w:val="24"/>
        </w:rPr>
        <w:tab/>
        <w:t xml:space="preserve">Dweck CS. Self-theories: Their role in motivation, personality, and development. Philadelphia, </w:t>
      </w:r>
      <w:r w:rsidRPr="006D7AD0">
        <w:rPr>
          <w:rFonts w:ascii="Times New Roman" w:hAnsi="Times New Roman" w:cs="Times New Roman"/>
          <w:noProof/>
          <w:szCs w:val="24"/>
        </w:rPr>
        <w:lastRenderedPageBreak/>
        <w:t>PA: Psychology Press; 2000;</w:t>
      </w:r>
    </w:p>
    <w:p w14:paraId="67A7564C"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[22]</w:t>
      </w:r>
      <w:r w:rsidRPr="006D7AD0">
        <w:rPr>
          <w:rFonts w:ascii="Times New Roman" w:hAnsi="Times New Roman" w:cs="Times New Roman"/>
          <w:noProof/>
          <w:szCs w:val="24"/>
        </w:rPr>
        <w:tab/>
        <w:t>Pitts SE, Davidson JW, McPherson GE. Models of success and failure in instrumental learning: Case studies of young players in the first 20 months of learning. Bulletin of the Council for Research in Music Education. 2000;(146):51–69.</w:t>
      </w:r>
    </w:p>
    <w:p w14:paraId="19A684BE"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[23]</w:t>
      </w:r>
      <w:r w:rsidRPr="006D7AD0">
        <w:rPr>
          <w:rFonts w:ascii="Times New Roman" w:hAnsi="Times New Roman" w:cs="Times New Roman"/>
          <w:noProof/>
          <w:szCs w:val="24"/>
        </w:rPr>
        <w:tab/>
        <w:t>Cioffi D. Sensory awareness versus sensory impression: Affect and attention interact to produce somatic meaning. Cognition and Emotion. 1991; 5(4):275–94. doi:10.1080/02699939108411041.</w:t>
      </w:r>
    </w:p>
    <w:p w14:paraId="243F3ACD"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[24]</w:t>
      </w:r>
      <w:r w:rsidRPr="006D7AD0">
        <w:rPr>
          <w:rFonts w:ascii="Times New Roman" w:hAnsi="Times New Roman" w:cs="Times New Roman"/>
          <w:noProof/>
          <w:szCs w:val="24"/>
        </w:rPr>
        <w:tab/>
        <w:t>Zelenak M. Self-eficacy in music performance: Measuring the sources among secondary school music students. University of South Florida, 2011;</w:t>
      </w:r>
    </w:p>
    <w:p w14:paraId="28BF92C8" w14:textId="77777777"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rPr>
      </w:pPr>
      <w:r w:rsidRPr="006D7AD0">
        <w:rPr>
          <w:rFonts w:ascii="Times New Roman" w:hAnsi="Times New Roman" w:cs="Times New Roman"/>
          <w:noProof/>
          <w:szCs w:val="24"/>
        </w:rPr>
        <w:t>[25]</w:t>
      </w:r>
      <w:r w:rsidRPr="006D7AD0">
        <w:rPr>
          <w:rFonts w:ascii="Times New Roman" w:hAnsi="Times New Roman" w:cs="Times New Roman"/>
          <w:noProof/>
          <w:szCs w:val="24"/>
        </w:rPr>
        <w:tab/>
        <w:t>Ghozali I. Structural equation models: Concepts and applications with the AMOS 24 bayesian SEM update program (Indonesian version). Edisi 7. Semarang: Badan Penerbit Universitas Diponegoro; 2017;</w:t>
      </w:r>
    </w:p>
    <w:p w14:paraId="586EC0FF" w14:textId="77777777" w:rsidR="006C424A" w:rsidRDefault="004A5439" w:rsidP="004A5439">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sz w:val="24"/>
          <w:szCs w:val="24"/>
        </w:rPr>
      </w:pPr>
      <w:r w:rsidRPr="004A5439">
        <w:rPr>
          <w:rFonts w:ascii="Times New Roman" w:eastAsia="Times New Roman" w:hAnsi="Times New Roman" w:cs="Times New Roman"/>
          <w:color w:val="000000"/>
          <w:szCs w:val="24"/>
        </w:rPr>
        <w:fldChar w:fldCharType="end"/>
      </w:r>
    </w:p>
    <w:p w14:paraId="2BEED546" w14:textId="77777777" w:rsidR="006C424A" w:rsidRDefault="006C424A">
      <w:pPr>
        <w:spacing w:after="240"/>
        <w:rPr>
          <w:rFonts w:ascii="Times New Roman" w:eastAsia="Times New Roman" w:hAnsi="Times New Roman" w:cs="Times New Roman"/>
          <w:b/>
        </w:rPr>
      </w:pPr>
    </w:p>
    <w:sectPr w:rsidR="006C424A">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71978" w14:textId="77777777" w:rsidR="00ED51AB" w:rsidRDefault="00ED51AB" w:rsidP="00517DC7">
      <w:pPr>
        <w:spacing w:after="0" w:line="240" w:lineRule="auto"/>
      </w:pPr>
      <w:r>
        <w:separator/>
      </w:r>
    </w:p>
  </w:endnote>
  <w:endnote w:type="continuationSeparator" w:id="0">
    <w:p w14:paraId="004A2D85" w14:textId="77777777" w:rsidR="00ED51AB" w:rsidRDefault="00ED51AB" w:rsidP="0051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E17E" w14:textId="77777777" w:rsidR="00ED51AB" w:rsidRDefault="00ED51AB" w:rsidP="00517DC7">
      <w:pPr>
        <w:spacing w:after="0" w:line="240" w:lineRule="auto"/>
      </w:pPr>
      <w:r>
        <w:separator/>
      </w:r>
    </w:p>
  </w:footnote>
  <w:footnote w:type="continuationSeparator" w:id="0">
    <w:p w14:paraId="025C8B35" w14:textId="77777777" w:rsidR="00ED51AB" w:rsidRDefault="00ED51AB" w:rsidP="00517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5CA"/>
    <w:multiLevelType w:val="multilevel"/>
    <w:tmpl w:val="74AECE0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B02BD6"/>
    <w:multiLevelType w:val="multilevel"/>
    <w:tmpl w:val="EC226E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yNTExMDe2MDGwtDRS0lEKTi0uzszPAykwqgUAe9HTYywAAAA="/>
  </w:docVars>
  <w:rsids>
    <w:rsidRoot w:val="006C424A"/>
    <w:rsid w:val="00062105"/>
    <w:rsid w:val="00087A1A"/>
    <w:rsid w:val="00091DD4"/>
    <w:rsid w:val="000B32F4"/>
    <w:rsid w:val="00117879"/>
    <w:rsid w:val="001237CA"/>
    <w:rsid w:val="0012659A"/>
    <w:rsid w:val="001D71C0"/>
    <w:rsid w:val="00275E7D"/>
    <w:rsid w:val="002B0102"/>
    <w:rsid w:val="0031023F"/>
    <w:rsid w:val="00317707"/>
    <w:rsid w:val="00345A71"/>
    <w:rsid w:val="0035016B"/>
    <w:rsid w:val="003B5849"/>
    <w:rsid w:val="004076F6"/>
    <w:rsid w:val="00421967"/>
    <w:rsid w:val="00487430"/>
    <w:rsid w:val="004A0A7B"/>
    <w:rsid w:val="004A5439"/>
    <w:rsid w:val="00517DC7"/>
    <w:rsid w:val="005A55A2"/>
    <w:rsid w:val="005F0BBD"/>
    <w:rsid w:val="005F506C"/>
    <w:rsid w:val="00606E56"/>
    <w:rsid w:val="00663822"/>
    <w:rsid w:val="006B7385"/>
    <w:rsid w:val="006C424A"/>
    <w:rsid w:val="006D7AD0"/>
    <w:rsid w:val="006F4C22"/>
    <w:rsid w:val="00704D09"/>
    <w:rsid w:val="00792CFC"/>
    <w:rsid w:val="007F6A49"/>
    <w:rsid w:val="0080602F"/>
    <w:rsid w:val="008327F8"/>
    <w:rsid w:val="008601E2"/>
    <w:rsid w:val="00893868"/>
    <w:rsid w:val="008E44BE"/>
    <w:rsid w:val="00906B4E"/>
    <w:rsid w:val="009C2F9F"/>
    <w:rsid w:val="009C6CE3"/>
    <w:rsid w:val="009D031B"/>
    <w:rsid w:val="009E6380"/>
    <w:rsid w:val="00A6237B"/>
    <w:rsid w:val="00AB398B"/>
    <w:rsid w:val="00AC24DB"/>
    <w:rsid w:val="00AC3748"/>
    <w:rsid w:val="00B62C70"/>
    <w:rsid w:val="00B75A2D"/>
    <w:rsid w:val="00C54253"/>
    <w:rsid w:val="00C56659"/>
    <w:rsid w:val="00C77997"/>
    <w:rsid w:val="00C8211A"/>
    <w:rsid w:val="00C968FA"/>
    <w:rsid w:val="00CA3BBA"/>
    <w:rsid w:val="00CA7F19"/>
    <w:rsid w:val="00CB59C0"/>
    <w:rsid w:val="00CB7D3A"/>
    <w:rsid w:val="00CD6147"/>
    <w:rsid w:val="00E26B2B"/>
    <w:rsid w:val="00E60EB7"/>
    <w:rsid w:val="00E85766"/>
    <w:rsid w:val="00EB4E5D"/>
    <w:rsid w:val="00ED2DBE"/>
    <w:rsid w:val="00ED51AB"/>
    <w:rsid w:val="00EF22F3"/>
    <w:rsid w:val="00F32EAF"/>
    <w:rsid w:val="00F91082"/>
    <w:rsid w:val="00FB5FA3"/>
    <w:rsid w:val="00FC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4A86"/>
  <w15:docId w15:val="{D957FC4E-A098-42DF-B198-675592C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TitleOfPaperCover">
    <w:name w:val="TitleOfPaper_Cover"/>
    <w:basedOn w:val="Normal"/>
    <w:rsid w:val="00792CFC"/>
    <w:pPr>
      <w:keepNext/>
      <w:keepLines/>
      <w:tabs>
        <w:tab w:val="right" w:pos="8640"/>
      </w:tabs>
      <w:spacing w:after="0" w:line="480" w:lineRule="auto"/>
      <w:jc w:val="center"/>
    </w:pPr>
    <w:rPr>
      <w:rFonts w:ascii="Times New Roman" w:eastAsia="Times New Roman" w:hAnsi="Times New Roman" w:cs="Times New Roman"/>
      <w:sz w:val="24"/>
      <w:lang w:val="en-US"/>
    </w:rPr>
  </w:style>
  <w:style w:type="paragraph" w:customStyle="1" w:styleId="AuthorInfo">
    <w:name w:val="Author Info"/>
    <w:basedOn w:val="Normal"/>
    <w:rsid w:val="005F0BBD"/>
    <w:pPr>
      <w:tabs>
        <w:tab w:val="right" w:pos="8640"/>
      </w:tabs>
      <w:spacing w:after="0" w:line="480" w:lineRule="auto"/>
      <w:jc w:val="center"/>
    </w:pPr>
    <w:rPr>
      <w:rFonts w:ascii="Times New Roman" w:eastAsia="Times New Roman" w:hAnsi="Times New Roman" w:cs="Times New Roman"/>
      <w:sz w:val="24"/>
      <w:szCs w:val="24"/>
      <w:lang w:val="en-US"/>
    </w:rPr>
  </w:style>
  <w:style w:type="paragraph" w:styleId="BodyText">
    <w:name w:val="Body Text"/>
    <w:basedOn w:val="Normal"/>
    <w:link w:val="BodyTextChar"/>
    <w:rsid w:val="00C77997"/>
    <w:pPr>
      <w:tabs>
        <w:tab w:val="right" w:pos="8640"/>
      </w:tabs>
      <w:spacing w:after="0"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77997"/>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AC24DB"/>
  </w:style>
  <w:style w:type="table" w:styleId="PlainTable2">
    <w:name w:val="Plain Table 2"/>
    <w:basedOn w:val="TableNormal"/>
    <w:uiPriority w:val="42"/>
    <w:rsid w:val="00663822"/>
    <w:pPr>
      <w:spacing w:after="0" w:line="240" w:lineRule="auto"/>
    </w:pPr>
    <w:rPr>
      <w:rFonts w:asciiTheme="minorHAnsi" w:eastAsiaTheme="minorHAnsi" w:hAnsiTheme="minorHAnsi" w:cstheme="minorBidi"/>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1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DC7"/>
  </w:style>
  <w:style w:type="paragraph" w:styleId="Footer">
    <w:name w:val="footer"/>
    <w:basedOn w:val="Normal"/>
    <w:link w:val="FooterChar"/>
    <w:uiPriority w:val="99"/>
    <w:unhideWhenUsed/>
    <w:rsid w:val="0051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DB9771-F1D3-4ECA-A5C9-BC82A786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9051</Words>
  <Characters>51591</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X1 User</cp:lastModifiedBy>
  <cp:revision>21</cp:revision>
  <dcterms:created xsi:type="dcterms:W3CDTF">2020-07-15T07:34:00Z</dcterms:created>
  <dcterms:modified xsi:type="dcterms:W3CDTF">2020-10-04T07:49:00Z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http://csl.mendeley.com/styles/490583211/elsevier-vancouver</vt:lpwstr>
  </property>
  <property fmtid="{D5CDD505-2E9C-101B-9397-08002B2CF9AE}" pid="4" name="Mendeley Unique User Id_1">
    <vt:lpwstr>5ea83f9c-4068-3315-8d43-9d82629cb1e1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https://csl.mendeley.com/styles/490583211/apa</vt:lpwstr>
  </property>
  <property fmtid="{D5CDD505-2E9C-101B-9397-08002B2CF9AE}" pid="8" name="Mendeley Recent Style Name 1_1">
    <vt:lpwstr>American Psychological Association 6th edition - Tuatul Mahfud, M.Pd</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http://csl.mendeley.com/styles/490583211/elsevier-vancouver</vt:lpwstr>
  </property>
  <property fmtid="{D5CDD505-2E9C-101B-9397-08002B2CF9AE}" pid="18" name="Mendeley Recent Style Name 6_1">
    <vt:lpwstr>Elsevier - Vancouver - Tuatul Mahfud, M.Pd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