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935DC3" w14:textId="27057E52" w:rsidR="00EA3F4B" w:rsidRPr="00E66383" w:rsidRDefault="000F6F3B" w:rsidP="000E1719">
      <w:pPr>
        <w:pStyle w:val="StyleTitleLeft005cm"/>
        <w:spacing w:line="276" w:lineRule="auto"/>
        <w:jc w:val="both"/>
        <w:rPr>
          <w:rFonts w:ascii="Times New Roman" w:hAnsi="Times New Roman"/>
          <w:lang w:val="id-ID"/>
        </w:rPr>
      </w:pPr>
      <w:bookmarkStart w:id="0" w:name="_Hlk52554222"/>
      <w:r w:rsidRPr="00E66383">
        <w:rPr>
          <w:rFonts w:ascii="Times New Roman" w:hAnsi="Times New Roman"/>
          <w:lang w:val="id-ID"/>
        </w:rPr>
        <w:t xml:space="preserve">Transesterification of </w:t>
      </w:r>
      <w:r w:rsidRPr="00E66383">
        <w:rPr>
          <w:rFonts w:ascii="Times New Roman" w:hAnsi="Times New Roman"/>
          <w:i/>
          <w:iCs/>
          <w:lang w:val="id-ID"/>
        </w:rPr>
        <w:t>J</w:t>
      </w:r>
      <w:r w:rsidR="000A1930" w:rsidRPr="00E66383">
        <w:rPr>
          <w:rFonts w:ascii="Times New Roman" w:hAnsi="Times New Roman"/>
          <w:i/>
          <w:iCs/>
          <w:lang w:val="id-ID"/>
        </w:rPr>
        <w:t>atropha curcas</w:t>
      </w:r>
      <w:r w:rsidR="000A1930" w:rsidRPr="00E66383">
        <w:rPr>
          <w:rFonts w:ascii="Times New Roman" w:hAnsi="Times New Roman"/>
          <w:lang w:val="id-ID"/>
        </w:rPr>
        <w:t xml:space="preserve"> </w:t>
      </w:r>
      <w:r w:rsidR="000156D2" w:rsidRPr="00E66383">
        <w:rPr>
          <w:rFonts w:ascii="Times New Roman" w:hAnsi="Times New Roman"/>
          <w:lang w:val="id-ID"/>
        </w:rPr>
        <w:t>O</w:t>
      </w:r>
      <w:r w:rsidR="000A1930" w:rsidRPr="00E66383">
        <w:rPr>
          <w:rFonts w:ascii="Times New Roman" w:hAnsi="Times New Roman"/>
          <w:lang w:val="id-ID"/>
        </w:rPr>
        <w:t xml:space="preserve">il </w:t>
      </w:r>
      <w:r w:rsidRPr="00E66383">
        <w:rPr>
          <w:rFonts w:ascii="Times New Roman" w:hAnsi="Times New Roman"/>
          <w:lang w:val="id-ID"/>
        </w:rPr>
        <w:t>for</w:t>
      </w:r>
      <w:r w:rsidR="000156D2" w:rsidRPr="00E66383">
        <w:rPr>
          <w:rFonts w:ascii="Times New Roman" w:hAnsi="Times New Roman"/>
          <w:lang w:val="id-ID"/>
        </w:rPr>
        <w:t xml:space="preserve"> B</w:t>
      </w:r>
      <w:r w:rsidR="00F341DC" w:rsidRPr="00E66383">
        <w:rPr>
          <w:rFonts w:ascii="Times New Roman" w:hAnsi="Times New Roman"/>
          <w:lang w:val="id-ID"/>
        </w:rPr>
        <w:t>iodiese</w:t>
      </w:r>
      <w:r w:rsidR="0030243D" w:rsidRPr="00E66383">
        <w:rPr>
          <w:rFonts w:ascii="Times New Roman" w:hAnsi="Times New Roman"/>
          <w:lang w:val="id-ID"/>
        </w:rPr>
        <w:t>l</w:t>
      </w:r>
      <w:r w:rsidR="00F148EE" w:rsidRPr="00E66383">
        <w:rPr>
          <w:rFonts w:ascii="Times New Roman" w:hAnsi="Times New Roman"/>
        </w:rPr>
        <w:t xml:space="preserve"> </w:t>
      </w:r>
      <w:r w:rsidR="000156D2" w:rsidRPr="00E66383">
        <w:rPr>
          <w:rFonts w:ascii="Times New Roman" w:hAnsi="Times New Roman"/>
          <w:lang w:val="id-ID"/>
        </w:rPr>
        <w:t>P</w:t>
      </w:r>
      <w:r w:rsidRPr="00E66383">
        <w:rPr>
          <w:rFonts w:ascii="Times New Roman" w:hAnsi="Times New Roman"/>
          <w:lang w:val="id-ID"/>
        </w:rPr>
        <w:t>roduction</w:t>
      </w:r>
      <w:r w:rsidR="00F0444B" w:rsidRPr="00E66383">
        <w:rPr>
          <w:rFonts w:ascii="Times New Roman" w:hAnsi="Times New Roman"/>
          <w:lang w:val="id-ID"/>
        </w:rPr>
        <w:t xml:space="preserve"> </w:t>
      </w:r>
      <w:r w:rsidR="000156D2" w:rsidRPr="00E66383">
        <w:rPr>
          <w:rFonts w:ascii="Times New Roman" w:hAnsi="Times New Roman"/>
          <w:lang w:val="id-ID"/>
        </w:rPr>
        <w:t>O</w:t>
      </w:r>
      <w:r w:rsidR="00CD7A96" w:rsidRPr="00E66383">
        <w:rPr>
          <w:rFonts w:ascii="Times New Roman" w:hAnsi="Times New Roman"/>
          <w:lang w:val="id-ID"/>
        </w:rPr>
        <w:t xml:space="preserve">ver </w:t>
      </w:r>
      <w:r w:rsidR="0030243D" w:rsidRPr="00E66383">
        <w:rPr>
          <w:rFonts w:ascii="Times New Roman" w:hAnsi="Times New Roman"/>
          <w:lang w:val="id-ID"/>
        </w:rPr>
        <w:t>NiO</w:t>
      </w:r>
      <w:r w:rsidR="00CD7A96" w:rsidRPr="00E66383">
        <w:rPr>
          <w:rFonts w:ascii="Times New Roman" w:hAnsi="Times New Roman"/>
          <w:lang w:val="id-ID"/>
        </w:rPr>
        <w:t xml:space="preserve"> </w:t>
      </w:r>
      <w:r w:rsidR="000156D2" w:rsidRPr="00E66383">
        <w:rPr>
          <w:rFonts w:ascii="Times New Roman" w:hAnsi="Times New Roman"/>
          <w:lang w:val="id-ID"/>
        </w:rPr>
        <w:t>C</w:t>
      </w:r>
      <w:r w:rsidR="00CD7A96" w:rsidRPr="00E66383">
        <w:rPr>
          <w:rFonts w:ascii="Times New Roman" w:hAnsi="Times New Roman"/>
          <w:lang w:val="id-ID"/>
        </w:rPr>
        <w:t>atalyst</w:t>
      </w:r>
      <w:bookmarkEnd w:id="0"/>
    </w:p>
    <w:p w14:paraId="5B80C101" w14:textId="214FEF52" w:rsidR="0071195A" w:rsidRPr="00E66383" w:rsidRDefault="00641B94" w:rsidP="002C4B30">
      <w:pPr>
        <w:pStyle w:val="Abstract"/>
        <w:spacing w:after="100" w:afterAutospacing="1" w:line="276" w:lineRule="auto"/>
        <w:rPr>
          <w:rFonts w:ascii="Times New Roman" w:hAnsi="Times New Roman"/>
          <w:b/>
          <w:color w:val="auto"/>
          <w:sz w:val="22"/>
          <w:szCs w:val="22"/>
          <w:vertAlign w:val="superscript"/>
          <w:lang w:val="id-ID"/>
        </w:rPr>
      </w:pPr>
      <w:r w:rsidRPr="00E66383">
        <w:rPr>
          <w:rFonts w:ascii="Times New Roman" w:hAnsi="Times New Roman"/>
          <w:b/>
          <w:color w:val="auto"/>
          <w:sz w:val="22"/>
          <w:szCs w:val="22"/>
        </w:rPr>
        <w:t>Y W</w:t>
      </w:r>
      <w:r w:rsidR="0071195A" w:rsidRPr="00E66383">
        <w:rPr>
          <w:rFonts w:ascii="Times New Roman" w:hAnsi="Times New Roman"/>
          <w:b/>
          <w:color w:val="auto"/>
          <w:sz w:val="22"/>
          <w:szCs w:val="22"/>
        </w:rPr>
        <w:t xml:space="preserve"> </w:t>
      </w:r>
      <w:proofErr w:type="spellStart"/>
      <w:r w:rsidR="0071195A" w:rsidRPr="00E66383">
        <w:rPr>
          <w:rFonts w:ascii="Times New Roman" w:hAnsi="Times New Roman"/>
          <w:b/>
          <w:color w:val="auto"/>
          <w:sz w:val="22"/>
          <w:szCs w:val="22"/>
        </w:rPr>
        <w:t>Mirzayanti</w:t>
      </w:r>
      <w:proofErr w:type="spellEnd"/>
      <w:r w:rsidR="00934309" w:rsidRPr="00E66383">
        <w:rPr>
          <w:rFonts w:ascii="Times New Roman" w:hAnsi="Times New Roman"/>
          <w:b/>
          <w:color w:val="auto"/>
          <w:sz w:val="22"/>
          <w:szCs w:val="22"/>
          <w:vertAlign w:val="superscript"/>
          <w:lang w:val="id-ID"/>
        </w:rPr>
        <w:t>1</w:t>
      </w:r>
      <w:r w:rsidR="00BB04B5" w:rsidRPr="00E66383">
        <w:rPr>
          <w:rFonts w:ascii="Times New Roman" w:hAnsi="Times New Roman"/>
          <w:b/>
          <w:color w:val="auto"/>
          <w:sz w:val="22"/>
          <w:szCs w:val="22"/>
          <w:vertAlign w:val="superscript"/>
          <w:lang w:val="id-ID"/>
        </w:rPr>
        <w:t>*</w:t>
      </w:r>
      <w:r w:rsidRPr="00E66383">
        <w:rPr>
          <w:rFonts w:ascii="Times New Roman" w:hAnsi="Times New Roman"/>
          <w:b/>
          <w:color w:val="auto"/>
          <w:sz w:val="22"/>
          <w:szCs w:val="22"/>
        </w:rPr>
        <w:t xml:space="preserve">, </w:t>
      </w:r>
      <w:r w:rsidR="00BE020F" w:rsidRPr="00E66383">
        <w:rPr>
          <w:rFonts w:ascii="Times New Roman" w:hAnsi="Times New Roman"/>
          <w:b/>
          <w:color w:val="auto"/>
          <w:sz w:val="22"/>
          <w:szCs w:val="22"/>
          <w:lang w:val="id-ID"/>
        </w:rPr>
        <w:t>N P Asri</w:t>
      </w:r>
      <w:r w:rsidR="00BE020F" w:rsidRPr="00E66383">
        <w:rPr>
          <w:rFonts w:ascii="Times New Roman" w:hAnsi="Times New Roman"/>
          <w:b/>
          <w:color w:val="auto"/>
          <w:sz w:val="22"/>
          <w:szCs w:val="22"/>
          <w:vertAlign w:val="superscript"/>
          <w:lang w:val="id-ID"/>
        </w:rPr>
        <w:t>2</w:t>
      </w:r>
      <w:r w:rsidR="00BE020F" w:rsidRPr="00E66383">
        <w:rPr>
          <w:rFonts w:ascii="Times New Roman" w:hAnsi="Times New Roman"/>
          <w:b/>
          <w:color w:val="auto"/>
          <w:sz w:val="22"/>
          <w:szCs w:val="22"/>
          <w:lang w:val="id-ID"/>
        </w:rPr>
        <w:t xml:space="preserve">, </w:t>
      </w:r>
      <w:r w:rsidR="00F0444B" w:rsidRPr="00E66383">
        <w:rPr>
          <w:rFonts w:ascii="Times New Roman" w:hAnsi="Times New Roman"/>
          <w:b/>
          <w:color w:val="auto"/>
          <w:sz w:val="22"/>
          <w:szCs w:val="22"/>
          <w:lang w:val="id-ID"/>
        </w:rPr>
        <w:t>L Marlinda</w:t>
      </w:r>
      <w:r w:rsidR="00BE020F" w:rsidRPr="00E66383">
        <w:rPr>
          <w:rFonts w:ascii="Times New Roman" w:hAnsi="Times New Roman"/>
          <w:b/>
          <w:color w:val="auto"/>
          <w:sz w:val="22"/>
          <w:szCs w:val="22"/>
          <w:vertAlign w:val="superscript"/>
          <w:lang w:val="id-ID"/>
        </w:rPr>
        <w:t>3</w:t>
      </w:r>
      <w:r w:rsidR="00F0444B" w:rsidRPr="00E66383">
        <w:rPr>
          <w:rFonts w:ascii="Times New Roman" w:hAnsi="Times New Roman"/>
          <w:b/>
          <w:color w:val="auto"/>
          <w:sz w:val="22"/>
          <w:szCs w:val="22"/>
          <w:lang w:val="id-ID"/>
        </w:rPr>
        <w:t xml:space="preserve">, </w:t>
      </w:r>
      <w:r w:rsidR="002A0C1A" w:rsidRPr="00E66383">
        <w:rPr>
          <w:rFonts w:ascii="Times New Roman" w:hAnsi="Times New Roman"/>
          <w:b/>
          <w:color w:val="auto"/>
          <w:sz w:val="22"/>
          <w:szCs w:val="22"/>
          <w:lang w:val="id-ID"/>
        </w:rPr>
        <w:t xml:space="preserve">M </w:t>
      </w:r>
      <w:r w:rsidR="00F0444B" w:rsidRPr="00E66383">
        <w:rPr>
          <w:rFonts w:ascii="Times New Roman" w:hAnsi="Times New Roman"/>
          <w:b/>
          <w:color w:val="auto"/>
          <w:sz w:val="22"/>
          <w:szCs w:val="22"/>
          <w:lang w:val="id-ID"/>
        </w:rPr>
        <w:t>Al Muttaqii</w:t>
      </w:r>
      <w:r w:rsidR="00BE020F" w:rsidRPr="00E66383">
        <w:rPr>
          <w:rFonts w:ascii="Times New Roman" w:hAnsi="Times New Roman"/>
          <w:b/>
          <w:color w:val="auto"/>
          <w:sz w:val="22"/>
          <w:szCs w:val="22"/>
          <w:vertAlign w:val="superscript"/>
          <w:lang w:val="id-ID"/>
        </w:rPr>
        <w:t>4</w:t>
      </w:r>
      <w:r w:rsidR="00934309" w:rsidRPr="00E66383">
        <w:rPr>
          <w:rFonts w:ascii="Times New Roman" w:hAnsi="Times New Roman"/>
          <w:b/>
          <w:color w:val="auto"/>
          <w:sz w:val="22"/>
          <w:szCs w:val="22"/>
          <w:lang w:val="id-ID"/>
        </w:rPr>
        <w:t xml:space="preserve"> </w:t>
      </w:r>
    </w:p>
    <w:p w14:paraId="757921EB" w14:textId="623C5AAA" w:rsidR="0071195A" w:rsidRPr="00E66383" w:rsidRDefault="00934309" w:rsidP="002C4B30">
      <w:pPr>
        <w:pStyle w:val="Abstract"/>
        <w:spacing w:after="0" w:line="276" w:lineRule="auto"/>
        <w:rPr>
          <w:rFonts w:ascii="Times New Roman" w:hAnsi="Times New Roman"/>
          <w:color w:val="auto"/>
        </w:rPr>
      </w:pPr>
      <w:r w:rsidRPr="00E66383">
        <w:rPr>
          <w:rFonts w:ascii="Times New Roman" w:hAnsi="Times New Roman"/>
          <w:color w:val="auto"/>
          <w:vertAlign w:val="superscript"/>
          <w:lang w:val="id-ID"/>
        </w:rPr>
        <w:t>1</w:t>
      </w:r>
      <w:r w:rsidR="00A95225" w:rsidRPr="00E66383">
        <w:rPr>
          <w:rFonts w:ascii="Times New Roman" w:hAnsi="Times New Roman"/>
          <w:color w:val="auto"/>
          <w:lang w:val="id-ID"/>
        </w:rPr>
        <w:t xml:space="preserve">Department of </w:t>
      </w:r>
      <w:r w:rsidR="00071469" w:rsidRPr="00E66383">
        <w:rPr>
          <w:rFonts w:ascii="Times New Roman" w:hAnsi="Times New Roman"/>
          <w:color w:val="auto"/>
        </w:rPr>
        <w:t>C</w:t>
      </w:r>
      <w:r w:rsidR="00946C0D" w:rsidRPr="00E66383">
        <w:rPr>
          <w:rFonts w:ascii="Times New Roman" w:hAnsi="Times New Roman"/>
          <w:color w:val="auto"/>
        </w:rPr>
        <w:t xml:space="preserve">hemical Engineering, Faculty of </w:t>
      </w:r>
      <w:r w:rsidR="00071469" w:rsidRPr="00E66383">
        <w:rPr>
          <w:rFonts w:ascii="Times New Roman" w:hAnsi="Times New Roman"/>
          <w:color w:val="auto"/>
        </w:rPr>
        <w:t>Industrial Technology, I</w:t>
      </w:r>
      <w:r w:rsidR="0071195A" w:rsidRPr="00E66383">
        <w:rPr>
          <w:rFonts w:ascii="Times New Roman" w:hAnsi="Times New Roman"/>
          <w:color w:val="auto"/>
        </w:rPr>
        <w:t>nstitut</w:t>
      </w:r>
      <w:r w:rsidR="00071469" w:rsidRPr="00E66383">
        <w:rPr>
          <w:rFonts w:ascii="Times New Roman" w:hAnsi="Times New Roman"/>
          <w:color w:val="auto"/>
        </w:rPr>
        <w:t xml:space="preserve">e </w:t>
      </w:r>
      <w:r w:rsidR="0071195A" w:rsidRPr="00E66383">
        <w:rPr>
          <w:rFonts w:ascii="Times New Roman" w:hAnsi="Times New Roman"/>
          <w:color w:val="auto"/>
        </w:rPr>
        <w:t>T</w:t>
      </w:r>
      <w:r w:rsidR="00071469" w:rsidRPr="00E66383">
        <w:rPr>
          <w:rFonts w:ascii="Times New Roman" w:hAnsi="Times New Roman"/>
          <w:color w:val="auto"/>
        </w:rPr>
        <w:t xml:space="preserve">echnology of Adhi </w:t>
      </w:r>
      <w:proofErr w:type="spellStart"/>
      <w:r w:rsidR="00071469" w:rsidRPr="00E66383">
        <w:rPr>
          <w:rFonts w:ascii="Times New Roman" w:hAnsi="Times New Roman"/>
          <w:color w:val="auto"/>
        </w:rPr>
        <w:t>T</w:t>
      </w:r>
      <w:r w:rsidR="0071195A" w:rsidRPr="00E66383">
        <w:rPr>
          <w:rFonts w:ascii="Times New Roman" w:hAnsi="Times New Roman"/>
          <w:color w:val="auto"/>
        </w:rPr>
        <w:t>ama</w:t>
      </w:r>
      <w:proofErr w:type="spellEnd"/>
      <w:r w:rsidR="0071195A" w:rsidRPr="00E66383">
        <w:rPr>
          <w:rFonts w:ascii="Times New Roman" w:hAnsi="Times New Roman"/>
          <w:color w:val="auto"/>
        </w:rPr>
        <w:t xml:space="preserve"> Surabaya</w:t>
      </w:r>
      <w:r w:rsidR="00071469" w:rsidRPr="00E66383">
        <w:rPr>
          <w:rFonts w:ascii="Times New Roman" w:hAnsi="Times New Roman"/>
          <w:color w:val="auto"/>
        </w:rPr>
        <w:t xml:space="preserve">, </w:t>
      </w:r>
      <w:r w:rsidR="00A95225" w:rsidRPr="00E66383">
        <w:rPr>
          <w:rFonts w:ascii="Times New Roman" w:hAnsi="Times New Roman"/>
          <w:color w:val="auto"/>
          <w:lang w:val="id-ID"/>
        </w:rPr>
        <w:t xml:space="preserve">Jl. Arief Rahman Hakim No. 100 Surabaya, </w:t>
      </w:r>
      <w:r w:rsidR="00071469" w:rsidRPr="00E66383">
        <w:rPr>
          <w:rFonts w:ascii="Times New Roman" w:hAnsi="Times New Roman"/>
          <w:color w:val="auto"/>
        </w:rPr>
        <w:t>Indonesia.</w:t>
      </w:r>
    </w:p>
    <w:p w14:paraId="23EF2146" w14:textId="6ADDC691" w:rsidR="00934309" w:rsidRPr="00E66383" w:rsidRDefault="00934309" w:rsidP="002C4B30">
      <w:pPr>
        <w:pStyle w:val="Abstract"/>
        <w:spacing w:after="0" w:line="276" w:lineRule="auto"/>
        <w:rPr>
          <w:rFonts w:ascii="Times New Roman" w:hAnsi="Times New Roman"/>
          <w:color w:val="auto"/>
        </w:rPr>
      </w:pPr>
      <w:r w:rsidRPr="00E66383">
        <w:rPr>
          <w:rFonts w:ascii="Times New Roman" w:hAnsi="Times New Roman"/>
          <w:color w:val="auto"/>
          <w:vertAlign w:val="superscript"/>
          <w:lang w:val="id-ID"/>
        </w:rPr>
        <w:t>2</w:t>
      </w:r>
      <w:r w:rsidR="00385242" w:rsidRPr="00E66383">
        <w:rPr>
          <w:rFonts w:ascii="Times New Roman" w:hAnsi="Times New Roman"/>
          <w:color w:val="auto"/>
          <w:lang w:val="id-ID"/>
        </w:rPr>
        <w:t xml:space="preserve">Department of Chemical Engineering, </w:t>
      </w:r>
      <w:r w:rsidR="00385242" w:rsidRPr="00E66383">
        <w:rPr>
          <w:rFonts w:ascii="Times New Roman" w:hAnsi="Times New Roman"/>
          <w:color w:val="auto"/>
        </w:rPr>
        <w:t>Faculty of Industrial Technology</w:t>
      </w:r>
      <w:r w:rsidR="00385242" w:rsidRPr="00E66383">
        <w:rPr>
          <w:rFonts w:ascii="Times New Roman" w:hAnsi="Times New Roman"/>
          <w:color w:val="auto"/>
          <w:shd w:val="clear" w:color="auto" w:fill="FFFFFF"/>
          <w:lang w:val="id-ID"/>
        </w:rPr>
        <w:t xml:space="preserve">, </w:t>
      </w:r>
      <w:r w:rsidR="00F85919" w:rsidRPr="00E66383">
        <w:rPr>
          <w:rFonts w:ascii="Times New Roman" w:hAnsi="Times New Roman"/>
          <w:color w:val="auto"/>
          <w:shd w:val="clear" w:color="auto" w:fill="FFFFFF"/>
          <w:lang w:val="id-ID"/>
        </w:rPr>
        <w:t xml:space="preserve">University of WR. Supratman, </w:t>
      </w:r>
      <w:r w:rsidR="00385242" w:rsidRPr="00E66383">
        <w:rPr>
          <w:rFonts w:ascii="Times New Roman" w:hAnsi="Times New Roman"/>
          <w:color w:val="auto"/>
          <w:shd w:val="clear" w:color="auto" w:fill="FFFFFF"/>
        </w:rPr>
        <w:t>Jl.</w:t>
      </w:r>
      <w:r w:rsidR="00385242" w:rsidRPr="00E66383">
        <w:rPr>
          <w:rFonts w:ascii="Times New Roman" w:hAnsi="Times New Roman"/>
          <w:color w:val="auto"/>
          <w:shd w:val="clear" w:color="auto" w:fill="FFFFFF"/>
          <w:lang w:val="id-ID"/>
        </w:rPr>
        <w:t xml:space="preserve"> </w:t>
      </w:r>
      <w:proofErr w:type="spellStart"/>
      <w:r w:rsidR="00385242" w:rsidRPr="00E66383">
        <w:rPr>
          <w:rFonts w:ascii="Times New Roman" w:hAnsi="Times New Roman"/>
          <w:color w:val="auto"/>
          <w:shd w:val="clear" w:color="auto" w:fill="FFFFFF"/>
        </w:rPr>
        <w:t>Arief</w:t>
      </w:r>
      <w:proofErr w:type="spellEnd"/>
      <w:r w:rsidR="00385242" w:rsidRPr="00E66383">
        <w:rPr>
          <w:rFonts w:ascii="Times New Roman" w:hAnsi="Times New Roman"/>
          <w:color w:val="auto"/>
          <w:shd w:val="clear" w:color="auto" w:fill="FFFFFF"/>
        </w:rPr>
        <w:t xml:space="preserve"> Rahman Hakim No.14, </w:t>
      </w:r>
      <w:r w:rsidR="00F85919" w:rsidRPr="00E66383">
        <w:rPr>
          <w:rFonts w:ascii="Times New Roman" w:hAnsi="Times New Roman"/>
          <w:color w:val="auto"/>
          <w:shd w:val="clear" w:color="auto" w:fill="FFFFFF"/>
          <w:lang w:val="id-ID"/>
        </w:rPr>
        <w:t>Surabaya</w:t>
      </w:r>
      <w:r w:rsidR="00385242" w:rsidRPr="00E66383">
        <w:rPr>
          <w:rFonts w:ascii="Times New Roman" w:hAnsi="Times New Roman"/>
          <w:color w:val="auto"/>
          <w:shd w:val="clear" w:color="auto" w:fill="FFFFFF"/>
        </w:rPr>
        <w:t xml:space="preserve">, </w:t>
      </w:r>
      <w:r w:rsidRPr="00E66383">
        <w:rPr>
          <w:rFonts w:ascii="Times New Roman" w:hAnsi="Times New Roman"/>
          <w:color w:val="auto"/>
        </w:rPr>
        <w:t>Indonesia.</w:t>
      </w:r>
    </w:p>
    <w:p w14:paraId="52DD8E59" w14:textId="2DBFB676" w:rsidR="00A95225" w:rsidRPr="00E66383" w:rsidRDefault="00934309" w:rsidP="00A95225">
      <w:pPr>
        <w:pStyle w:val="Abstract"/>
        <w:spacing w:after="0"/>
        <w:rPr>
          <w:rFonts w:ascii="Times New Roman" w:hAnsi="Times New Roman"/>
          <w:color w:val="auto"/>
        </w:rPr>
      </w:pPr>
      <w:r w:rsidRPr="00E66383">
        <w:rPr>
          <w:rFonts w:ascii="Times New Roman" w:hAnsi="Times New Roman"/>
          <w:color w:val="auto"/>
          <w:vertAlign w:val="superscript"/>
          <w:lang w:val="id-ID"/>
        </w:rPr>
        <w:t>3</w:t>
      </w:r>
      <w:r w:rsidR="00A95225" w:rsidRPr="00E66383">
        <w:rPr>
          <w:rFonts w:ascii="Times New Roman" w:hAnsi="Times New Roman"/>
          <w:color w:val="auto"/>
        </w:rPr>
        <w:t>Department of Chemistry, Faculty of Science and Technology</w:t>
      </w:r>
      <w:r w:rsidR="00A95225" w:rsidRPr="00E66383">
        <w:rPr>
          <w:rFonts w:ascii="Times New Roman" w:hAnsi="Times New Roman"/>
          <w:color w:val="auto"/>
          <w:lang w:val="id-ID"/>
        </w:rPr>
        <w:t xml:space="preserve">, </w:t>
      </w:r>
      <w:r w:rsidR="00A95225" w:rsidRPr="00E66383">
        <w:rPr>
          <w:rFonts w:ascii="Times New Roman" w:hAnsi="Times New Roman"/>
          <w:color w:val="auto"/>
        </w:rPr>
        <w:t>University of Jambi</w:t>
      </w:r>
      <w:r w:rsidRPr="00E66383">
        <w:rPr>
          <w:rFonts w:ascii="Times New Roman" w:hAnsi="Times New Roman"/>
          <w:color w:val="auto"/>
        </w:rPr>
        <w:t>,</w:t>
      </w:r>
      <w:r w:rsidR="00A95225" w:rsidRPr="00E66383">
        <w:rPr>
          <w:rFonts w:ascii="Times New Roman" w:hAnsi="Times New Roman"/>
          <w:color w:val="auto"/>
          <w:lang w:val="id-ID"/>
        </w:rPr>
        <w:t xml:space="preserve"> Jl. Raya Jambi-Muara Bulian KM 15 Mendalo Indah Muara Jambi-Jambi, </w:t>
      </w:r>
      <w:r w:rsidRPr="00E66383">
        <w:rPr>
          <w:rFonts w:ascii="Times New Roman" w:hAnsi="Times New Roman"/>
          <w:color w:val="auto"/>
        </w:rPr>
        <w:t>Indonesia.</w:t>
      </w:r>
    </w:p>
    <w:p w14:paraId="3709D62C" w14:textId="3850584F" w:rsidR="002C4B30" w:rsidRPr="00E66383" w:rsidRDefault="00934309" w:rsidP="00BF79A2">
      <w:pPr>
        <w:pStyle w:val="Abstract"/>
        <w:spacing w:after="0" w:line="276" w:lineRule="auto"/>
        <w:rPr>
          <w:rFonts w:ascii="Times New Roman" w:hAnsi="Times New Roman"/>
          <w:color w:val="auto"/>
        </w:rPr>
      </w:pPr>
      <w:r w:rsidRPr="00E66383">
        <w:rPr>
          <w:rFonts w:ascii="Times New Roman" w:hAnsi="Times New Roman"/>
          <w:color w:val="auto"/>
          <w:vertAlign w:val="superscript"/>
          <w:lang w:val="id-ID"/>
        </w:rPr>
        <w:t>4</w:t>
      </w:r>
      <w:r w:rsidR="00A95225" w:rsidRPr="00E66383">
        <w:rPr>
          <w:rFonts w:ascii="Times New Roman" w:hAnsi="Times New Roman"/>
          <w:color w:val="auto"/>
        </w:rPr>
        <w:t xml:space="preserve">Research Unit for Mineral Technology, Indonesian Institute of Sciences, Jl. Ir. </w:t>
      </w:r>
      <w:proofErr w:type="spellStart"/>
      <w:r w:rsidR="00A95225" w:rsidRPr="00E66383">
        <w:rPr>
          <w:rFonts w:ascii="Times New Roman" w:hAnsi="Times New Roman"/>
          <w:color w:val="auto"/>
        </w:rPr>
        <w:t>Sutami</w:t>
      </w:r>
      <w:proofErr w:type="spellEnd"/>
      <w:r w:rsidR="00A95225" w:rsidRPr="00E66383">
        <w:rPr>
          <w:rFonts w:ascii="Times New Roman" w:hAnsi="Times New Roman"/>
          <w:color w:val="auto"/>
        </w:rPr>
        <w:t xml:space="preserve"> Km. 15, </w:t>
      </w:r>
      <w:proofErr w:type="spellStart"/>
      <w:r w:rsidR="00A95225" w:rsidRPr="00E66383">
        <w:rPr>
          <w:rFonts w:ascii="Times New Roman" w:hAnsi="Times New Roman"/>
          <w:color w:val="auto"/>
        </w:rPr>
        <w:t>Tanjung</w:t>
      </w:r>
      <w:proofErr w:type="spellEnd"/>
      <w:r w:rsidR="00A95225" w:rsidRPr="00E66383">
        <w:rPr>
          <w:rFonts w:ascii="Times New Roman" w:hAnsi="Times New Roman"/>
          <w:color w:val="auto"/>
        </w:rPr>
        <w:t xml:space="preserve"> </w:t>
      </w:r>
      <w:proofErr w:type="spellStart"/>
      <w:r w:rsidR="00A95225" w:rsidRPr="00E66383">
        <w:rPr>
          <w:rFonts w:ascii="Times New Roman" w:hAnsi="Times New Roman"/>
          <w:color w:val="auto"/>
        </w:rPr>
        <w:t>bintang</w:t>
      </w:r>
      <w:proofErr w:type="spellEnd"/>
      <w:r w:rsidR="00A95225" w:rsidRPr="00E66383">
        <w:rPr>
          <w:rFonts w:ascii="Times New Roman" w:hAnsi="Times New Roman"/>
          <w:color w:val="auto"/>
        </w:rPr>
        <w:t>, South Lampung, Indonesia, 35361</w:t>
      </w:r>
      <w:r w:rsidRPr="00E66383">
        <w:rPr>
          <w:rFonts w:ascii="Times New Roman" w:hAnsi="Times New Roman"/>
          <w:color w:val="auto"/>
        </w:rPr>
        <w:t>.</w:t>
      </w:r>
    </w:p>
    <w:p w14:paraId="7D58A7DC" w14:textId="77777777" w:rsidR="00BF79A2" w:rsidRPr="00E66383" w:rsidRDefault="00BF79A2" w:rsidP="00BF79A2">
      <w:pPr>
        <w:pStyle w:val="Abstract"/>
        <w:spacing w:after="0" w:line="276" w:lineRule="auto"/>
        <w:rPr>
          <w:rFonts w:ascii="Times New Roman" w:hAnsi="Times New Roman"/>
          <w:color w:val="auto"/>
        </w:rPr>
      </w:pPr>
    </w:p>
    <w:p w14:paraId="50184C22" w14:textId="1E1DD9E3" w:rsidR="00071469" w:rsidRPr="00E66383" w:rsidRDefault="005E5E6C" w:rsidP="00BF79A2">
      <w:pPr>
        <w:pStyle w:val="Abstract"/>
        <w:spacing w:after="568" w:line="276" w:lineRule="auto"/>
        <w:rPr>
          <w:rFonts w:ascii="Times New Roman" w:hAnsi="Times New Roman"/>
          <w:color w:val="auto"/>
        </w:rPr>
      </w:pPr>
      <w:r w:rsidRPr="00E66383">
        <w:rPr>
          <w:rFonts w:ascii="Times New Roman" w:hAnsi="Times New Roman"/>
          <w:color w:val="auto"/>
          <w:sz w:val="22"/>
          <w:szCs w:val="22"/>
        </w:rPr>
        <w:t>*</w:t>
      </w:r>
      <w:r w:rsidR="007C5D61" w:rsidRPr="00E66383">
        <w:rPr>
          <w:rFonts w:ascii="Times New Roman" w:hAnsi="Times New Roman"/>
          <w:color w:val="auto"/>
          <w:sz w:val="22"/>
          <w:szCs w:val="22"/>
        </w:rPr>
        <w:t xml:space="preserve">corresponding author: </w:t>
      </w:r>
      <w:hyperlink r:id="rId8" w:history="1">
        <w:r w:rsidR="00BB04B5" w:rsidRPr="00E66383">
          <w:rPr>
            <w:rStyle w:val="Hyperlink"/>
            <w:rFonts w:ascii="Times New Roman" w:hAnsi="Times New Roman"/>
            <w:color w:val="auto"/>
            <w:sz w:val="22"/>
            <w:szCs w:val="22"/>
            <w:u w:val="none"/>
            <w:lang w:val="id-ID"/>
          </w:rPr>
          <w:t>yustiawulandari_che@itats.</w:t>
        </w:r>
      </w:hyperlink>
      <w:r w:rsidR="00BB04B5" w:rsidRPr="00E66383">
        <w:rPr>
          <w:rStyle w:val="Hyperlink"/>
          <w:rFonts w:ascii="Times New Roman" w:hAnsi="Times New Roman"/>
          <w:color w:val="auto"/>
          <w:sz w:val="22"/>
          <w:szCs w:val="22"/>
          <w:u w:val="none"/>
          <w:lang w:val="id-ID"/>
        </w:rPr>
        <w:t>ac.id</w:t>
      </w:r>
    </w:p>
    <w:p w14:paraId="43173D6A" w14:textId="3928716D" w:rsidR="00EA3F4B" w:rsidRPr="00E66383" w:rsidRDefault="00EA3F4B" w:rsidP="00BF79A2">
      <w:pPr>
        <w:pStyle w:val="Abstract"/>
        <w:spacing w:after="568" w:line="23" w:lineRule="atLeast"/>
        <w:rPr>
          <w:rFonts w:ascii="Times New Roman" w:hAnsi="Times New Roman"/>
          <w:color w:val="auto"/>
          <w:lang w:val="id-ID"/>
        </w:rPr>
      </w:pPr>
      <w:r w:rsidRPr="00AE51D3">
        <w:rPr>
          <w:rFonts w:ascii="Times New Roman" w:hAnsi="Times New Roman"/>
          <w:b/>
          <w:color w:val="auto"/>
        </w:rPr>
        <w:t>Abstract.</w:t>
      </w:r>
      <w:r w:rsidR="00F0444B" w:rsidRPr="00AE51D3">
        <w:rPr>
          <w:rFonts w:ascii="Times New Roman" w:hAnsi="Times New Roman"/>
          <w:b/>
          <w:color w:val="auto"/>
          <w:lang w:val="id-ID"/>
        </w:rPr>
        <w:t xml:space="preserve"> </w:t>
      </w:r>
      <w:r w:rsidR="00064735" w:rsidRPr="00AE51D3">
        <w:rPr>
          <w:color w:val="auto"/>
        </w:rPr>
        <w:t>The research paper deals with </w:t>
      </w:r>
      <w:r w:rsidR="00064735" w:rsidRPr="00AE51D3">
        <w:rPr>
          <w:rStyle w:val="Emphasis"/>
          <w:color w:val="auto"/>
        </w:rPr>
        <w:t xml:space="preserve">Jatropha </w:t>
      </w:r>
      <w:proofErr w:type="spellStart"/>
      <w:r w:rsidR="00064735" w:rsidRPr="00AE51D3">
        <w:rPr>
          <w:rStyle w:val="Emphasis"/>
          <w:color w:val="auto"/>
        </w:rPr>
        <w:t>curcas</w:t>
      </w:r>
      <w:proofErr w:type="spellEnd"/>
      <w:r w:rsidR="00064735" w:rsidRPr="00AE51D3">
        <w:rPr>
          <w:color w:val="auto"/>
        </w:rPr>
        <w:t xml:space="preserve"> oil's transesterification process using the </w:t>
      </w:r>
      <w:proofErr w:type="spellStart"/>
      <w:r w:rsidR="00064735" w:rsidRPr="00AE51D3">
        <w:rPr>
          <w:color w:val="auto"/>
        </w:rPr>
        <w:t>NiO</w:t>
      </w:r>
      <w:proofErr w:type="spellEnd"/>
      <w:r w:rsidR="00064735" w:rsidRPr="00AE51D3">
        <w:rPr>
          <w:color w:val="auto"/>
        </w:rPr>
        <w:t xml:space="preserve"> catalyst as a heterogeneous catalyst to produce Biodiesel. The batch reactor in this process. Excess methanol is needed to shift the equilibrium towards the product and enlarge Biodiesel. The research study about the effect mole ratio of methanol: </w:t>
      </w:r>
      <w:r w:rsidR="00064735" w:rsidRPr="00AE51D3">
        <w:rPr>
          <w:rStyle w:val="Emphasis"/>
          <w:color w:val="auto"/>
        </w:rPr>
        <w:t xml:space="preserve">Jatropha </w:t>
      </w:r>
      <w:proofErr w:type="spellStart"/>
      <w:r w:rsidR="00064735" w:rsidRPr="00AE51D3">
        <w:rPr>
          <w:rStyle w:val="Emphasis"/>
          <w:color w:val="auto"/>
        </w:rPr>
        <w:t>curcas</w:t>
      </w:r>
      <w:proofErr w:type="spellEnd"/>
      <w:r w:rsidR="00064735" w:rsidRPr="00AE51D3">
        <w:rPr>
          <w:color w:val="auto"/>
        </w:rPr>
        <w:t> oil. The ratios are 12:1, 15:1, 18:1, and temperature of the reaction of 60, 65, 70</w:t>
      </w:r>
      <w:r w:rsidR="00064735" w:rsidRPr="00AE51D3">
        <w:rPr>
          <w:color w:val="auto"/>
          <w:vertAlign w:val="superscript"/>
          <w:lang w:val="id-ID"/>
        </w:rPr>
        <w:t>o</w:t>
      </w:r>
      <w:r w:rsidR="00064735" w:rsidRPr="00AE51D3">
        <w:rPr>
          <w:color w:val="auto"/>
        </w:rPr>
        <w:t>C. Experiment verification of the predicted yield and characterization of Biodiesel produced. The analysis biodiesel product by Chemical characterization using Gas Chromatography (G-C) analysis and ASTM 6751</w:t>
      </w:r>
      <w:r w:rsidR="00AE51D3" w:rsidRPr="00AE51D3">
        <w:rPr>
          <w:color w:val="auto"/>
          <w:lang w:val="id-ID"/>
        </w:rPr>
        <w:t xml:space="preserve"> </w:t>
      </w:r>
      <w:r w:rsidR="00064735" w:rsidRPr="00AE51D3">
        <w:rPr>
          <w:color w:val="auto"/>
        </w:rPr>
        <w:t>standard used for the physicochemical properties. The maximum process conditions for the biodiesel yield by transesterification of </w:t>
      </w:r>
      <w:r w:rsidR="00064735" w:rsidRPr="00AE51D3">
        <w:rPr>
          <w:rStyle w:val="Emphasis"/>
          <w:color w:val="auto"/>
        </w:rPr>
        <w:t xml:space="preserve">Jatropha </w:t>
      </w:r>
      <w:proofErr w:type="spellStart"/>
      <w:r w:rsidR="00064735" w:rsidRPr="00AE51D3">
        <w:rPr>
          <w:rStyle w:val="Emphasis"/>
          <w:color w:val="auto"/>
        </w:rPr>
        <w:t>curcas</w:t>
      </w:r>
      <w:proofErr w:type="spellEnd"/>
      <w:r w:rsidR="00064735" w:rsidRPr="00AE51D3">
        <w:rPr>
          <w:color w:val="auto"/>
        </w:rPr>
        <w:t xml:space="preserve"> oil over </w:t>
      </w:r>
      <w:proofErr w:type="spellStart"/>
      <w:r w:rsidR="00064735" w:rsidRPr="00AE51D3">
        <w:rPr>
          <w:color w:val="auto"/>
        </w:rPr>
        <w:t>NiO</w:t>
      </w:r>
      <w:proofErr w:type="spellEnd"/>
      <w:r w:rsidR="00064735" w:rsidRPr="00AE51D3">
        <w:rPr>
          <w:color w:val="auto"/>
        </w:rPr>
        <w:t xml:space="preserve"> catalyst 59.8% and the mole ratio of 15:1 methanol: </w:t>
      </w:r>
      <w:r w:rsidR="00064735" w:rsidRPr="00AE51D3">
        <w:rPr>
          <w:rStyle w:val="Emphasis"/>
          <w:color w:val="auto"/>
        </w:rPr>
        <w:t xml:space="preserve">Jatropha </w:t>
      </w:r>
      <w:proofErr w:type="spellStart"/>
      <w:r w:rsidR="00064735" w:rsidRPr="00AE51D3">
        <w:rPr>
          <w:rStyle w:val="Emphasis"/>
          <w:color w:val="auto"/>
        </w:rPr>
        <w:t>curcas</w:t>
      </w:r>
      <w:proofErr w:type="spellEnd"/>
      <w:r w:rsidR="00064735" w:rsidRPr="00AE51D3">
        <w:rPr>
          <w:color w:val="auto"/>
        </w:rPr>
        <w:t> oil. The 65</w:t>
      </w:r>
      <w:r w:rsidR="00064735" w:rsidRPr="00AE51D3">
        <w:rPr>
          <w:color w:val="auto"/>
          <w:vertAlign w:val="superscript"/>
          <w:lang w:val="id-ID"/>
        </w:rPr>
        <w:t>o</w:t>
      </w:r>
      <w:r w:rsidR="00064735" w:rsidRPr="00AE51D3">
        <w:rPr>
          <w:color w:val="auto"/>
        </w:rPr>
        <w:t>C reaction temperature used in this process enhances the transesterification reaction by observing 5 hours with a high yield of Biodiesel</w:t>
      </w:r>
      <w:r w:rsidR="0010496A" w:rsidRPr="00AE51D3">
        <w:rPr>
          <w:rFonts w:ascii="Times New Roman" w:hAnsi="Times New Roman"/>
          <w:color w:val="auto"/>
        </w:rPr>
        <w:t>.</w:t>
      </w:r>
      <w:r w:rsidR="000314EF" w:rsidRPr="00E66383">
        <w:rPr>
          <w:rFonts w:ascii="Times New Roman" w:hAnsi="Times New Roman"/>
          <w:color w:val="auto"/>
          <w:lang w:val="id-ID"/>
        </w:rPr>
        <w:t xml:space="preserve"> </w:t>
      </w:r>
    </w:p>
    <w:p w14:paraId="6D9BEDE3" w14:textId="4F244254" w:rsidR="00EA3F4B" w:rsidRPr="00E66383" w:rsidRDefault="00EA3F4B" w:rsidP="00BF79A2">
      <w:pPr>
        <w:pStyle w:val="section"/>
        <w:rPr>
          <w:color w:val="auto"/>
        </w:rPr>
      </w:pPr>
      <w:r w:rsidRPr="00E66383">
        <w:rPr>
          <w:color w:val="auto"/>
        </w:rPr>
        <w:t>Introduction</w:t>
      </w:r>
    </w:p>
    <w:p w14:paraId="4D050989" w14:textId="73497030" w:rsidR="00A01EAA" w:rsidRPr="00AE51D3" w:rsidRDefault="00DA4ADD" w:rsidP="007C7BAB">
      <w:pPr>
        <w:pStyle w:val="BodyChar"/>
        <w:rPr>
          <w:rFonts w:ascii="Times New Roman" w:hAnsi="Times New Roman"/>
          <w:color w:val="auto"/>
          <w:lang w:val="id-ID"/>
        </w:rPr>
      </w:pPr>
      <w:r w:rsidRPr="00E66383">
        <w:rPr>
          <w:rFonts w:ascii="Times New Roman" w:hAnsi="Times New Roman"/>
          <w:color w:val="auto"/>
        </w:rPr>
        <w:t>Biodiesel is a fuel that is processed from the esterification of fatty acids</w:t>
      </w:r>
      <w:r w:rsidRPr="00E66383">
        <w:rPr>
          <w:rFonts w:ascii="Times New Roman" w:hAnsi="Times New Roman"/>
          <w:color w:val="auto"/>
          <w:lang w:val="id-ID"/>
        </w:rPr>
        <w:t xml:space="preserve"> </w:t>
      </w:r>
      <w:r w:rsidRPr="00E66383">
        <w:rPr>
          <w:rFonts w:ascii="Times New Roman" w:hAnsi="Times New Roman"/>
          <w:color w:val="auto"/>
        </w:rPr>
        <w:t>free or naturally available triglyceride transesterification is contained in</w:t>
      </w:r>
      <w:r w:rsidRPr="00E66383">
        <w:rPr>
          <w:rFonts w:ascii="Times New Roman" w:hAnsi="Times New Roman"/>
          <w:color w:val="auto"/>
          <w:lang w:val="id-ID"/>
        </w:rPr>
        <w:t xml:space="preserve"> </w:t>
      </w:r>
      <w:r w:rsidRPr="00E66383">
        <w:rPr>
          <w:rFonts w:ascii="Times New Roman" w:hAnsi="Times New Roman"/>
          <w:color w:val="auto"/>
        </w:rPr>
        <w:t>renewable natural resources such as plant oils and fats</w:t>
      </w:r>
      <w:r w:rsidR="00D166EB" w:rsidRPr="00E66383">
        <w:rPr>
          <w:rFonts w:ascii="Times New Roman" w:hAnsi="Times New Roman"/>
          <w:color w:val="auto"/>
          <w:lang w:val="id-ID"/>
        </w:rPr>
        <w:t>.</w:t>
      </w:r>
      <w:r w:rsidRPr="00E66383">
        <w:rPr>
          <w:rFonts w:ascii="Times New Roman" w:hAnsi="Times New Roman"/>
          <w:color w:val="auto"/>
          <w:lang w:val="id-ID"/>
        </w:rPr>
        <w:t xml:space="preserve"> </w:t>
      </w:r>
      <w:r w:rsidR="00756C25" w:rsidRPr="00E66383">
        <w:rPr>
          <w:rFonts w:ascii="Times New Roman" w:hAnsi="Times New Roman"/>
          <w:color w:val="auto"/>
        </w:rPr>
        <w:t>B</w:t>
      </w:r>
      <w:r w:rsidRPr="00E66383">
        <w:rPr>
          <w:rFonts w:ascii="Times New Roman" w:hAnsi="Times New Roman"/>
          <w:color w:val="auto"/>
        </w:rPr>
        <w:t>iodiesel has attracted many researchers to study its synthesis</w:t>
      </w:r>
      <w:r w:rsidRPr="00E66383">
        <w:rPr>
          <w:rFonts w:ascii="Times New Roman" w:hAnsi="Times New Roman"/>
          <w:color w:val="auto"/>
          <w:lang w:val="id-ID"/>
        </w:rPr>
        <w:t xml:space="preserve"> </w:t>
      </w:r>
      <w:r w:rsidRPr="00E66383">
        <w:rPr>
          <w:rFonts w:ascii="Times New Roman" w:hAnsi="Times New Roman"/>
          <w:color w:val="auto"/>
        </w:rPr>
        <w:t>with a wide variety of feedstock sources. Several types of oil that work</w:t>
      </w:r>
      <w:r w:rsidRPr="00E66383">
        <w:rPr>
          <w:rFonts w:ascii="Times New Roman" w:hAnsi="Times New Roman"/>
          <w:color w:val="auto"/>
          <w:lang w:val="id-ID"/>
        </w:rPr>
        <w:t xml:space="preserve"> </w:t>
      </w:r>
      <w:r w:rsidRPr="00E66383">
        <w:rPr>
          <w:rFonts w:ascii="Times New Roman" w:hAnsi="Times New Roman"/>
          <w:color w:val="auto"/>
        </w:rPr>
        <w:t xml:space="preserve">converted into </w:t>
      </w:r>
      <w:r w:rsidR="00D166EB" w:rsidRPr="00E66383">
        <w:rPr>
          <w:rFonts w:ascii="Times New Roman" w:hAnsi="Times New Roman"/>
          <w:color w:val="auto"/>
          <w:lang w:val="id-ID"/>
        </w:rPr>
        <w:t>b</w:t>
      </w:r>
      <w:proofErr w:type="spellStart"/>
      <w:r w:rsidRPr="00E66383">
        <w:rPr>
          <w:rFonts w:ascii="Times New Roman" w:hAnsi="Times New Roman"/>
          <w:color w:val="auto"/>
        </w:rPr>
        <w:t>iodiesel</w:t>
      </w:r>
      <w:proofErr w:type="spellEnd"/>
      <w:r w:rsidR="0010496A" w:rsidRPr="00E66383">
        <w:rPr>
          <w:rFonts w:ascii="Times New Roman" w:hAnsi="Times New Roman"/>
          <w:color w:val="auto"/>
        </w:rPr>
        <w:t>,</w:t>
      </w:r>
      <w:r w:rsidRPr="00E66383">
        <w:rPr>
          <w:rFonts w:ascii="Times New Roman" w:hAnsi="Times New Roman"/>
          <w:color w:val="auto"/>
        </w:rPr>
        <w:t xml:space="preserve"> including soybean seeds, rapeseed, sunflower seeds,</w:t>
      </w:r>
      <w:r w:rsidRPr="00E66383">
        <w:rPr>
          <w:rFonts w:ascii="Times New Roman" w:hAnsi="Times New Roman"/>
          <w:color w:val="auto"/>
          <w:lang w:val="id-ID"/>
        </w:rPr>
        <w:t xml:space="preserve"> </w:t>
      </w:r>
      <w:r w:rsidRPr="00E66383">
        <w:rPr>
          <w:rFonts w:ascii="Times New Roman" w:hAnsi="Times New Roman"/>
          <w:color w:val="auto"/>
        </w:rPr>
        <w:t>oil palm, nuts, camelina, canola, cotton, pumpkin, castor seeds, and fat</w:t>
      </w:r>
      <w:r w:rsidRPr="00E66383">
        <w:rPr>
          <w:rFonts w:ascii="Times New Roman" w:hAnsi="Times New Roman"/>
          <w:color w:val="auto"/>
          <w:lang w:val="id-ID"/>
        </w:rPr>
        <w:t xml:space="preserve"> </w:t>
      </w:r>
      <w:r w:rsidR="00756C25" w:rsidRPr="00E66383">
        <w:rPr>
          <w:rFonts w:ascii="Times New Roman" w:hAnsi="Times New Roman"/>
          <w:color w:val="auto"/>
          <w:lang w:val="id-ID"/>
        </w:rPr>
        <w:fldChar w:fldCharType="begin"/>
      </w:r>
      <w:r w:rsidR="00756C25" w:rsidRPr="00E66383">
        <w:rPr>
          <w:rFonts w:ascii="Times New Roman" w:hAnsi="Times New Roman"/>
          <w:color w:val="auto"/>
          <w:lang w:val="id-ID"/>
        </w:rPr>
        <w:instrText xml:space="preserve"> REF _Ref48456214 \r \h </w:instrText>
      </w:r>
      <w:r w:rsidR="00756C25" w:rsidRPr="00E66383">
        <w:rPr>
          <w:rFonts w:ascii="Times New Roman" w:hAnsi="Times New Roman"/>
          <w:color w:val="auto"/>
          <w:lang w:val="id-ID"/>
        </w:rPr>
      </w:r>
      <w:r w:rsidR="00756C25" w:rsidRPr="00E66383">
        <w:rPr>
          <w:rFonts w:ascii="Times New Roman" w:hAnsi="Times New Roman"/>
          <w:color w:val="auto"/>
          <w:lang w:val="id-ID"/>
        </w:rPr>
        <w:fldChar w:fldCharType="separate"/>
      </w:r>
      <w:r w:rsidR="00756C25" w:rsidRPr="00E66383">
        <w:rPr>
          <w:rFonts w:ascii="Times New Roman" w:hAnsi="Times New Roman"/>
          <w:color w:val="auto"/>
          <w:lang w:val="id-ID"/>
        </w:rPr>
        <w:t>[1]</w:t>
      </w:r>
      <w:r w:rsidR="00756C25" w:rsidRPr="00E66383">
        <w:rPr>
          <w:rFonts w:ascii="Times New Roman" w:hAnsi="Times New Roman"/>
          <w:color w:val="auto"/>
          <w:lang w:val="id-ID"/>
        </w:rPr>
        <w:fldChar w:fldCharType="end"/>
      </w:r>
      <w:r w:rsidRPr="00E66383">
        <w:rPr>
          <w:rFonts w:ascii="Times New Roman" w:hAnsi="Times New Roman"/>
          <w:color w:val="auto"/>
          <w:lang w:val="id-ID"/>
        </w:rPr>
        <w:t xml:space="preserve">. </w:t>
      </w:r>
      <w:r w:rsidR="006928BB" w:rsidRPr="00E66383">
        <w:rPr>
          <w:rFonts w:ascii="Times New Roman" w:hAnsi="Times New Roman"/>
          <w:color w:val="auto"/>
          <w:lang w:val="id-ID"/>
        </w:rPr>
        <w:t xml:space="preserve"> </w:t>
      </w:r>
      <w:r w:rsidR="007549B5" w:rsidRPr="00E66383">
        <w:rPr>
          <w:rFonts w:ascii="Times New Roman" w:hAnsi="Times New Roman"/>
          <w:color w:val="auto"/>
          <w:lang w:val="id-ID"/>
        </w:rPr>
        <w:t>Search for petroleum-based renewable fuel alternatives in concern with sustainable energy and clean environment develops different alternative technologies like fuel cell, electric power, hydrogen</w:t>
      </w:r>
      <w:r w:rsidR="00756C25" w:rsidRPr="00E66383">
        <w:rPr>
          <w:rFonts w:ascii="Times New Roman" w:hAnsi="Times New Roman"/>
          <w:color w:val="auto"/>
          <w:lang w:val="id-ID"/>
        </w:rPr>
        <w:t>,</w:t>
      </w:r>
      <w:r w:rsidR="007549B5" w:rsidRPr="00E66383">
        <w:rPr>
          <w:rFonts w:ascii="Times New Roman" w:hAnsi="Times New Roman"/>
          <w:color w:val="auto"/>
          <w:lang w:val="id-ID"/>
        </w:rPr>
        <w:t xml:space="preserve"> and biomass</w:t>
      </w:r>
      <w:r w:rsidR="00756C25" w:rsidRPr="00E66383">
        <w:rPr>
          <w:rFonts w:ascii="Times New Roman" w:hAnsi="Times New Roman"/>
          <w:color w:val="auto"/>
          <w:lang w:val="id-ID"/>
        </w:rPr>
        <w:t>-</w:t>
      </w:r>
      <w:r w:rsidR="007549B5" w:rsidRPr="00E66383">
        <w:rPr>
          <w:rFonts w:ascii="Times New Roman" w:hAnsi="Times New Roman"/>
          <w:color w:val="auto"/>
          <w:lang w:val="id-ID"/>
        </w:rPr>
        <w:t xml:space="preserve">based fuels. Focus </w:t>
      </w:r>
      <w:r w:rsidR="00756C25" w:rsidRPr="00E66383">
        <w:rPr>
          <w:rFonts w:ascii="Times New Roman" w:hAnsi="Times New Roman"/>
          <w:color w:val="auto"/>
          <w:lang w:val="id-ID"/>
        </w:rPr>
        <w:t>on</w:t>
      </w:r>
      <w:r w:rsidR="007549B5" w:rsidRPr="00E66383">
        <w:rPr>
          <w:rFonts w:ascii="Times New Roman" w:hAnsi="Times New Roman"/>
          <w:color w:val="auto"/>
          <w:lang w:val="id-ID"/>
        </w:rPr>
        <w:t xml:space="preserve"> renewable </w:t>
      </w:r>
      <w:r w:rsidR="00756C25" w:rsidRPr="00E66383">
        <w:rPr>
          <w:rFonts w:ascii="Times New Roman" w:hAnsi="Times New Roman"/>
          <w:color w:val="auto"/>
          <w:lang w:val="id-ID"/>
        </w:rPr>
        <w:t>F</w:t>
      </w:r>
      <w:r w:rsidR="007549B5" w:rsidRPr="00E66383">
        <w:rPr>
          <w:rFonts w:ascii="Times New Roman" w:hAnsi="Times New Roman"/>
          <w:color w:val="auto"/>
          <w:lang w:val="id-ID"/>
        </w:rPr>
        <w:t xml:space="preserve">uel begins with the direct use of vegetable oils as an alternative to petroleum diesel in the diesel engine. Using vegetable oil as a fuel for diesel engines is </w:t>
      </w:r>
      <w:r w:rsidR="007549B5" w:rsidRPr="00E66383">
        <w:rPr>
          <w:rFonts w:ascii="Times New Roman" w:hAnsi="Times New Roman"/>
          <w:color w:val="auto"/>
          <w:lang w:val="id-ID"/>
        </w:rPr>
        <w:lastRenderedPageBreak/>
        <w:t xml:space="preserve">an existing technique from the engine development era </w:t>
      </w:r>
      <w:r w:rsidR="007549B5" w:rsidRPr="00E66383">
        <w:rPr>
          <w:rFonts w:ascii="Times New Roman" w:hAnsi="Times New Roman"/>
          <w:color w:val="auto"/>
          <w:lang w:val="id-ID"/>
        </w:rPr>
        <w:fldChar w:fldCharType="begin"/>
      </w:r>
      <w:r w:rsidR="007549B5" w:rsidRPr="00E66383">
        <w:rPr>
          <w:rFonts w:ascii="Times New Roman" w:hAnsi="Times New Roman"/>
          <w:color w:val="auto"/>
          <w:lang w:val="id-ID"/>
        </w:rPr>
        <w:instrText xml:space="preserve"> REF _Ref48456035 \r \h </w:instrText>
      </w:r>
      <w:r w:rsidR="007549B5" w:rsidRPr="00E66383">
        <w:rPr>
          <w:rFonts w:ascii="Times New Roman" w:hAnsi="Times New Roman"/>
          <w:color w:val="auto"/>
          <w:lang w:val="id-ID"/>
        </w:rPr>
      </w:r>
      <w:r w:rsidR="007549B5" w:rsidRPr="00E66383">
        <w:rPr>
          <w:rFonts w:ascii="Times New Roman" w:hAnsi="Times New Roman"/>
          <w:color w:val="auto"/>
          <w:lang w:val="id-ID"/>
        </w:rPr>
        <w:fldChar w:fldCharType="separate"/>
      </w:r>
      <w:r w:rsidR="007549B5" w:rsidRPr="00E66383">
        <w:rPr>
          <w:rFonts w:ascii="Times New Roman" w:hAnsi="Times New Roman"/>
          <w:color w:val="auto"/>
          <w:lang w:val="id-ID"/>
        </w:rPr>
        <w:t>[2]</w:t>
      </w:r>
      <w:r w:rsidR="007549B5" w:rsidRPr="00E66383">
        <w:rPr>
          <w:rFonts w:ascii="Times New Roman" w:hAnsi="Times New Roman"/>
          <w:color w:val="auto"/>
          <w:lang w:val="id-ID"/>
        </w:rPr>
        <w:fldChar w:fldCharType="end"/>
      </w:r>
      <w:r w:rsidR="007549B5" w:rsidRPr="00E66383">
        <w:rPr>
          <w:rFonts w:ascii="Times New Roman" w:hAnsi="Times New Roman"/>
          <w:color w:val="auto"/>
          <w:lang w:val="id-ID"/>
        </w:rPr>
        <w:t xml:space="preserve">. </w:t>
      </w:r>
      <w:r w:rsidR="00D70C87" w:rsidRPr="00E66383">
        <w:rPr>
          <w:rFonts w:ascii="Times New Roman" w:hAnsi="Times New Roman"/>
          <w:color w:val="auto"/>
        </w:rPr>
        <w:t>Generally, plant oil or animal fat is an ester of saturated and unsaturated monocarboxylic acids with trihydr</w:t>
      </w:r>
      <w:r w:rsidR="0010496A" w:rsidRPr="00E66383">
        <w:rPr>
          <w:rFonts w:ascii="Times New Roman" w:hAnsi="Times New Roman"/>
          <w:color w:val="auto"/>
        </w:rPr>
        <w:t>ic</w:t>
      </w:r>
      <w:r w:rsidR="00D70C87" w:rsidRPr="00E66383">
        <w:rPr>
          <w:rFonts w:ascii="Times New Roman" w:hAnsi="Times New Roman"/>
          <w:color w:val="auto"/>
        </w:rPr>
        <w:t xml:space="preserve"> alcohol glycerides. These esters are called triglycerides, which can react with alcohol in the presence of a catalyst, a process known as transesterification</w:t>
      </w:r>
      <w:r w:rsidR="00AE51D3">
        <w:rPr>
          <w:rFonts w:ascii="Times New Roman" w:hAnsi="Times New Roman"/>
          <w:color w:val="auto"/>
          <w:lang w:val="id-ID"/>
        </w:rPr>
        <w:t>.</w:t>
      </w:r>
    </w:p>
    <w:p w14:paraId="179D7C23" w14:textId="2185C9A9" w:rsidR="00EA3F4B" w:rsidRPr="00E66383" w:rsidRDefault="00A01EAA" w:rsidP="00A01EAA">
      <w:pPr>
        <w:pStyle w:val="BodyChar"/>
        <w:tabs>
          <w:tab w:val="left" w:pos="284"/>
        </w:tabs>
        <w:rPr>
          <w:rFonts w:ascii="Times New Roman" w:hAnsi="Times New Roman"/>
          <w:color w:val="auto"/>
        </w:rPr>
      </w:pPr>
      <w:r w:rsidRPr="00E66383">
        <w:rPr>
          <w:rFonts w:ascii="Times New Roman" w:hAnsi="Times New Roman"/>
          <w:color w:val="auto"/>
        </w:rPr>
        <w:tab/>
      </w:r>
      <w:r w:rsidR="00D70C87" w:rsidRPr="00E66383">
        <w:rPr>
          <w:rFonts w:ascii="Times New Roman" w:hAnsi="Times New Roman"/>
          <w:color w:val="auto"/>
        </w:rPr>
        <w:t xml:space="preserve">In general, catalysts can be divided into </w:t>
      </w:r>
      <w:r w:rsidR="00756C25" w:rsidRPr="00E66383">
        <w:rPr>
          <w:rFonts w:ascii="Times New Roman" w:hAnsi="Times New Roman"/>
          <w:color w:val="auto"/>
        </w:rPr>
        <w:t>two</w:t>
      </w:r>
      <w:r w:rsidR="00D70C87" w:rsidRPr="00E66383">
        <w:rPr>
          <w:rFonts w:ascii="Times New Roman" w:hAnsi="Times New Roman"/>
          <w:color w:val="auto"/>
        </w:rPr>
        <w:t xml:space="preserve"> types, namely homogeneous catalysts and heterogeneous catalysts. Homogeneous catalysts are catalysts that have the same phase as the reactants, including transition metal compounds and acid-base catalysts. Homogeneous catalysts generally react with one or more reactants to form a chemical intermediate which then reacts to form the final product of the reaction, in a process that restores the catalyst</w:t>
      </w:r>
      <w:r w:rsidR="006C30BE" w:rsidRPr="00E66383">
        <w:rPr>
          <w:rFonts w:ascii="Times New Roman" w:hAnsi="Times New Roman"/>
          <w:color w:val="auto"/>
          <w:lang w:val="id-ID"/>
        </w:rPr>
        <w:t xml:space="preserve"> </w:t>
      </w:r>
      <w:r w:rsidR="006C30BE" w:rsidRPr="00E66383">
        <w:rPr>
          <w:rFonts w:ascii="Times New Roman" w:hAnsi="Times New Roman"/>
          <w:color w:val="auto"/>
          <w:lang w:val="id-ID"/>
        </w:rPr>
        <w:fldChar w:fldCharType="begin"/>
      </w:r>
      <w:r w:rsidR="006C30BE" w:rsidRPr="00E66383">
        <w:rPr>
          <w:rFonts w:ascii="Times New Roman" w:hAnsi="Times New Roman"/>
          <w:color w:val="auto"/>
          <w:lang w:val="id-ID"/>
        </w:rPr>
        <w:instrText xml:space="preserve"> REF _Ref48458237 \r \h </w:instrText>
      </w:r>
      <w:r w:rsidR="006C30BE" w:rsidRPr="00E66383">
        <w:rPr>
          <w:rFonts w:ascii="Times New Roman" w:hAnsi="Times New Roman"/>
          <w:color w:val="auto"/>
          <w:lang w:val="id-ID"/>
        </w:rPr>
      </w:r>
      <w:r w:rsidR="006C30BE" w:rsidRPr="00E66383">
        <w:rPr>
          <w:rFonts w:ascii="Times New Roman" w:hAnsi="Times New Roman"/>
          <w:color w:val="auto"/>
          <w:lang w:val="id-ID"/>
        </w:rPr>
        <w:fldChar w:fldCharType="separate"/>
      </w:r>
      <w:r w:rsidR="006C30BE" w:rsidRPr="00E66383">
        <w:rPr>
          <w:rFonts w:ascii="Times New Roman" w:hAnsi="Times New Roman"/>
          <w:color w:val="auto"/>
          <w:lang w:val="id-ID"/>
        </w:rPr>
        <w:t>[</w:t>
      </w:r>
      <w:r w:rsidR="00AE51D3">
        <w:rPr>
          <w:rFonts w:ascii="Times New Roman" w:hAnsi="Times New Roman"/>
          <w:color w:val="auto"/>
          <w:lang w:val="id-ID"/>
        </w:rPr>
        <w:t>3</w:t>
      </w:r>
      <w:r w:rsidR="006C30BE" w:rsidRPr="00E66383">
        <w:rPr>
          <w:rFonts w:ascii="Times New Roman" w:hAnsi="Times New Roman"/>
          <w:color w:val="auto"/>
          <w:lang w:val="id-ID"/>
        </w:rPr>
        <w:t>]</w:t>
      </w:r>
      <w:r w:rsidR="006C30BE" w:rsidRPr="00E66383">
        <w:rPr>
          <w:rFonts w:ascii="Times New Roman" w:hAnsi="Times New Roman"/>
          <w:color w:val="auto"/>
          <w:lang w:val="id-ID"/>
        </w:rPr>
        <w:fldChar w:fldCharType="end"/>
      </w:r>
      <w:r w:rsidR="006C30BE" w:rsidRPr="00E66383">
        <w:rPr>
          <w:rFonts w:ascii="Times New Roman" w:hAnsi="Times New Roman"/>
          <w:color w:val="auto"/>
          <w:lang w:val="id-ID"/>
        </w:rPr>
        <w:fldChar w:fldCharType="begin"/>
      </w:r>
      <w:r w:rsidR="006C30BE" w:rsidRPr="00E66383">
        <w:rPr>
          <w:rFonts w:ascii="Times New Roman" w:hAnsi="Times New Roman"/>
          <w:color w:val="auto"/>
          <w:lang w:val="id-ID"/>
        </w:rPr>
        <w:instrText xml:space="preserve"> REF _Ref48458192 \r \h </w:instrText>
      </w:r>
      <w:r w:rsidR="006C30BE" w:rsidRPr="00E66383">
        <w:rPr>
          <w:rFonts w:ascii="Times New Roman" w:hAnsi="Times New Roman"/>
          <w:color w:val="auto"/>
          <w:lang w:val="id-ID"/>
        </w:rPr>
      </w:r>
      <w:r w:rsidR="006C30BE" w:rsidRPr="00E66383">
        <w:rPr>
          <w:rFonts w:ascii="Times New Roman" w:hAnsi="Times New Roman"/>
          <w:color w:val="auto"/>
          <w:lang w:val="id-ID"/>
        </w:rPr>
        <w:fldChar w:fldCharType="separate"/>
      </w:r>
      <w:r w:rsidR="006C30BE" w:rsidRPr="00E66383">
        <w:rPr>
          <w:rFonts w:ascii="Times New Roman" w:hAnsi="Times New Roman"/>
          <w:color w:val="auto"/>
          <w:lang w:val="id-ID"/>
        </w:rPr>
        <w:t>[</w:t>
      </w:r>
      <w:r w:rsidR="00AE51D3">
        <w:rPr>
          <w:rFonts w:ascii="Times New Roman" w:hAnsi="Times New Roman"/>
          <w:color w:val="auto"/>
          <w:lang w:val="id-ID"/>
        </w:rPr>
        <w:t>4</w:t>
      </w:r>
      <w:r w:rsidR="006C30BE" w:rsidRPr="00E66383">
        <w:rPr>
          <w:rFonts w:ascii="Times New Roman" w:hAnsi="Times New Roman"/>
          <w:color w:val="auto"/>
          <w:lang w:val="id-ID"/>
        </w:rPr>
        <w:t>]</w:t>
      </w:r>
      <w:r w:rsidR="006C30BE" w:rsidRPr="00E66383">
        <w:rPr>
          <w:rFonts w:ascii="Times New Roman" w:hAnsi="Times New Roman"/>
          <w:color w:val="auto"/>
          <w:lang w:val="id-ID"/>
        </w:rPr>
        <w:fldChar w:fldCharType="end"/>
      </w:r>
      <w:r w:rsidR="00D70C87" w:rsidRPr="00E66383">
        <w:rPr>
          <w:rFonts w:ascii="Times New Roman" w:hAnsi="Times New Roman"/>
          <w:color w:val="auto"/>
        </w:rPr>
        <w:t xml:space="preserve">. </w:t>
      </w:r>
      <w:r w:rsidR="00270FCF" w:rsidRPr="00E66383">
        <w:rPr>
          <w:rFonts w:ascii="Times New Roman" w:hAnsi="Times New Roman"/>
          <w:color w:val="auto"/>
        </w:rPr>
        <w:t>The weakness of this homogeneous catalyst is the difficulty of separating from the product so that the equipment needed for the separation process is more and more costly</w:t>
      </w:r>
      <w:r w:rsidR="00270FCF" w:rsidRPr="00E66383">
        <w:rPr>
          <w:rFonts w:ascii="Times New Roman" w:hAnsi="Times New Roman"/>
          <w:color w:val="auto"/>
          <w:lang w:val="id-ID"/>
        </w:rPr>
        <w:t xml:space="preserve"> production will be higher. The process carried out with this catalyst is not environmentally friendly because of the large amount of waste from the separation process and is corrosive. Soap formation through a saponification reaction occurs with a </w:t>
      </w:r>
      <w:r w:rsidR="00D166EB" w:rsidRPr="00E66383">
        <w:rPr>
          <w:rFonts w:ascii="Times New Roman" w:hAnsi="Times New Roman"/>
          <w:color w:val="auto"/>
          <w:lang w:val="id-ID"/>
        </w:rPr>
        <w:t>primary</w:t>
      </w:r>
      <w:r w:rsidR="00270FCF" w:rsidRPr="00E66383">
        <w:rPr>
          <w:rFonts w:ascii="Times New Roman" w:hAnsi="Times New Roman"/>
          <w:color w:val="auto"/>
          <w:lang w:val="id-ID"/>
        </w:rPr>
        <w:t xml:space="preserve"> homogeneous catalyst. Heterogeneous catalysts are a more profitable alternative for methyl ester synthesis reactions because heterogeneous catalysts are in phase with the reactants and product compounds so that they are eas</w:t>
      </w:r>
      <w:r w:rsidR="00D166EB" w:rsidRPr="00E66383">
        <w:rPr>
          <w:rFonts w:ascii="Times New Roman" w:hAnsi="Times New Roman"/>
          <w:color w:val="auto"/>
          <w:lang w:val="id-ID"/>
        </w:rPr>
        <w:t>y</w:t>
      </w:r>
      <w:r w:rsidR="00270FCF" w:rsidRPr="00E66383">
        <w:rPr>
          <w:rFonts w:ascii="Times New Roman" w:hAnsi="Times New Roman"/>
          <w:color w:val="auto"/>
          <w:lang w:val="id-ID"/>
        </w:rPr>
        <w:t xml:space="preserve"> separated from products, can be reused, and non-toxic and environmentally friendly </w:t>
      </w:r>
      <w:r w:rsidR="006C30BE" w:rsidRPr="00E66383">
        <w:rPr>
          <w:rFonts w:ascii="Times New Roman" w:hAnsi="Times New Roman"/>
          <w:color w:val="auto"/>
          <w:lang w:val="id-ID"/>
        </w:rPr>
        <w:fldChar w:fldCharType="begin"/>
      </w:r>
      <w:r w:rsidR="006C30BE" w:rsidRPr="00E66383">
        <w:rPr>
          <w:rFonts w:ascii="Times New Roman" w:hAnsi="Times New Roman"/>
          <w:color w:val="auto"/>
          <w:lang w:val="id-ID"/>
        </w:rPr>
        <w:instrText xml:space="preserve"> REF _Ref48461354 \r \h </w:instrText>
      </w:r>
      <w:r w:rsidR="006C30BE" w:rsidRPr="00E66383">
        <w:rPr>
          <w:rFonts w:ascii="Times New Roman" w:hAnsi="Times New Roman"/>
          <w:color w:val="auto"/>
          <w:lang w:val="id-ID"/>
        </w:rPr>
      </w:r>
      <w:r w:rsidR="006C30BE" w:rsidRPr="00E66383">
        <w:rPr>
          <w:rFonts w:ascii="Times New Roman" w:hAnsi="Times New Roman"/>
          <w:color w:val="auto"/>
          <w:lang w:val="id-ID"/>
        </w:rPr>
        <w:fldChar w:fldCharType="separate"/>
      </w:r>
      <w:r w:rsidR="006C30BE" w:rsidRPr="00E66383">
        <w:rPr>
          <w:rFonts w:ascii="Times New Roman" w:hAnsi="Times New Roman"/>
          <w:color w:val="auto"/>
          <w:lang w:val="id-ID"/>
        </w:rPr>
        <w:t>[</w:t>
      </w:r>
      <w:r w:rsidR="00AE51D3">
        <w:rPr>
          <w:rFonts w:ascii="Times New Roman" w:hAnsi="Times New Roman"/>
          <w:color w:val="auto"/>
          <w:lang w:val="id-ID"/>
        </w:rPr>
        <w:t>5</w:t>
      </w:r>
      <w:r w:rsidR="006C30BE" w:rsidRPr="00E66383">
        <w:rPr>
          <w:rFonts w:ascii="Times New Roman" w:hAnsi="Times New Roman"/>
          <w:color w:val="auto"/>
          <w:lang w:val="id-ID"/>
        </w:rPr>
        <w:t>]</w:t>
      </w:r>
      <w:r w:rsidR="006C30BE" w:rsidRPr="00E66383">
        <w:rPr>
          <w:rFonts w:ascii="Times New Roman" w:hAnsi="Times New Roman"/>
          <w:color w:val="auto"/>
          <w:lang w:val="id-ID"/>
        </w:rPr>
        <w:fldChar w:fldCharType="end"/>
      </w:r>
      <w:r w:rsidR="009D3CAA" w:rsidRPr="00E66383">
        <w:rPr>
          <w:rFonts w:ascii="Times New Roman" w:hAnsi="Times New Roman"/>
          <w:color w:val="auto"/>
          <w:lang w:val="id-ID"/>
        </w:rPr>
        <w:t>.</w:t>
      </w:r>
    </w:p>
    <w:p w14:paraId="67BA7B41" w14:textId="5AD34AE2" w:rsidR="00A01EAA" w:rsidRPr="00E66383" w:rsidRDefault="009D3CAA" w:rsidP="007C7BAB">
      <w:pPr>
        <w:pStyle w:val="BodyChar"/>
        <w:tabs>
          <w:tab w:val="left" w:pos="284"/>
        </w:tabs>
        <w:spacing w:after="240"/>
        <w:rPr>
          <w:rFonts w:ascii="Times New Roman" w:hAnsi="Times New Roman"/>
          <w:color w:val="auto"/>
          <w:lang w:val="id-ID"/>
        </w:rPr>
      </w:pPr>
      <w:r w:rsidRPr="00E66383">
        <w:rPr>
          <w:rFonts w:ascii="Times New Roman" w:hAnsi="Times New Roman"/>
          <w:color w:val="auto"/>
          <w:lang w:val="id-ID"/>
        </w:rPr>
        <w:tab/>
      </w:r>
      <w:r w:rsidR="00A01EAA" w:rsidRPr="00E66383">
        <w:rPr>
          <w:rFonts w:ascii="Times New Roman" w:hAnsi="Times New Roman"/>
          <w:color w:val="auto"/>
          <w:lang w:val="id-ID"/>
        </w:rPr>
        <w:t xml:space="preserve">This study aimed to develop </w:t>
      </w:r>
      <w:r w:rsidR="00D166EB" w:rsidRPr="00E66383">
        <w:rPr>
          <w:rFonts w:ascii="Times New Roman" w:hAnsi="Times New Roman"/>
          <w:color w:val="auto"/>
          <w:lang w:val="id-ID"/>
        </w:rPr>
        <w:t>biodiesel production process</w:t>
      </w:r>
      <w:r w:rsidR="00A01EAA" w:rsidRPr="00E66383">
        <w:rPr>
          <w:rFonts w:ascii="Times New Roman" w:hAnsi="Times New Roman"/>
          <w:color w:val="auto"/>
          <w:lang w:val="id-ID"/>
        </w:rPr>
        <w:t xml:space="preserve">. </w:t>
      </w:r>
      <w:r w:rsidR="00D166EB" w:rsidRPr="00E66383">
        <w:rPr>
          <w:rFonts w:ascii="Times New Roman" w:hAnsi="Times New Roman"/>
          <w:i/>
          <w:iCs/>
          <w:color w:val="auto"/>
          <w:lang w:val="id-ID"/>
        </w:rPr>
        <w:t>Jatropha curcas</w:t>
      </w:r>
      <w:r w:rsidR="00D166EB" w:rsidRPr="00E66383">
        <w:rPr>
          <w:rFonts w:ascii="Times New Roman" w:hAnsi="Times New Roman"/>
          <w:color w:val="auto"/>
          <w:lang w:val="id-ID"/>
        </w:rPr>
        <w:t xml:space="preserve"> oil was used through a transesterification process using a NiO catalyst as a heterogeneous catalyst, which was carried out in a batch reactor. The molar ratio between methanol - </w:t>
      </w:r>
      <w:r w:rsidR="00D166EB" w:rsidRPr="00E66383">
        <w:rPr>
          <w:rFonts w:ascii="Times New Roman" w:hAnsi="Times New Roman"/>
          <w:i/>
          <w:iCs/>
          <w:color w:val="auto"/>
          <w:lang w:val="id-ID"/>
        </w:rPr>
        <w:t>Jatropha curcas</w:t>
      </w:r>
      <w:r w:rsidR="00D166EB" w:rsidRPr="00E66383">
        <w:rPr>
          <w:rFonts w:ascii="Times New Roman" w:hAnsi="Times New Roman"/>
          <w:color w:val="auto"/>
          <w:lang w:val="id-ID"/>
        </w:rPr>
        <w:t xml:space="preserve"> oil, reaction time, reaction temperature, fatty acid content, and water in the oil are factors that influence the transesterification reaction. In the transesterification process, methanol is more widely used because it is cheaper than other alcohols. Excess methanol is needed to shift the equilibrium towards the product, and enlarge biodiesel.</w:t>
      </w:r>
    </w:p>
    <w:p w14:paraId="25184753" w14:textId="48DDDCDA" w:rsidR="00EA3F4B" w:rsidRPr="00E66383" w:rsidRDefault="00FD7AC1" w:rsidP="00BF79A2">
      <w:pPr>
        <w:pStyle w:val="section"/>
        <w:rPr>
          <w:color w:val="auto"/>
        </w:rPr>
      </w:pPr>
      <w:r w:rsidRPr="00E66383">
        <w:rPr>
          <w:color w:val="auto"/>
        </w:rPr>
        <w:t>Experimental methods</w:t>
      </w:r>
    </w:p>
    <w:p w14:paraId="44AAA213" w14:textId="5E0EE478" w:rsidR="00856E70" w:rsidRPr="00E66383" w:rsidRDefault="00254205" w:rsidP="00856E70">
      <w:pPr>
        <w:pStyle w:val="BodyChar"/>
        <w:rPr>
          <w:rFonts w:ascii="Times New Roman" w:hAnsi="Times New Roman"/>
          <w:color w:val="auto"/>
          <w:lang w:val="id-ID"/>
        </w:rPr>
      </w:pPr>
      <w:r w:rsidRPr="00E66383">
        <w:rPr>
          <w:rFonts w:ascii="Times New Roman" w:hAnsi="Times New Roman"/>
          <w:color w:val="auto"/>
          <w:szCs w:val="24"/>
          <w:lang w:val="id-ID"/>
        </w:rPr>
        <w:t xml:space="preserve">The feedstock oil used in this experiment was extracted from </w:t>
      </w:r>
      <w:r w:rsidR="00DA4ADD" w:rsidRPr="00E66383">
        <w:rPr>
          <w:rFonts w:ascii="Times New Roman" w:hAnsi="Times New Roman"/>
          <w:i/>
          <w:iCs/>
          <w:color w:val="auto"/>
          <w:szCs w:val="24"/>
          <w:lang w:val="id-ID"/>
        </w:rPr>
        <w:t>Jatropha curcas</w:t>
      </w:r>
      <w:r w:rsidR="00DD1955" w:rsidRPr="00E66383">
        <w:rPr>
          <w:rFonts w:ascii="Times New Roman" w:hAnsi="Times New Roman"/>
          <w:color w:val="auto"/>
          <w:szCs w:val="24"/>
        </w:rPr>
        <w:t xml:space="preserve"> oi</w:t>
      </w:r>
      <w:r w:rsidRPr="00E66383">
        <w:rPr>
          <w:rFonts w:ascii="Times New Roman" w:hAnsi="Times New Roman"/>
          <w:color w:val="auto"/>
          <w:szCs w:val="24"/>
          <w:lang w:val="id-ID"/>
        </w:rPr>
        <w:t xml:space="preserve">l. </w:t>
      </w:r>
      <w:r w:rsidRPr="00E66383">
        <w:rPr>
          <w:rFonts w:ascii="Times New Roman" w:hAnsi="Times New Roman"/>
          <w:i/>
          <w:iCs/>
          <w:color w:val="auto"/>
          <w:szCs w:val="24"/>
          <w:lang w:val="id-ID"/>
        </w:rPr>
        <w:t>Jatropha curcas</w:t>
      </w:r>
      <w:r w:rsidRPr="00E66383">
        <w:rPr>
          <w:rFonts w:ascii="Times New Roman" w:hAnsi="Times New Roman"/>
          <w:color w:val="auto"/>
          <w:szCs w:val="24"/>
        </w:rPr>
        <w:t xml:space="preserve"> oi</w:t>
      </w:r>
      <w:r w:rsidRPr="00E66383">
        <w:rPr>
          <w:rFonts w:ascii="Times New Roman" w:hAnsi="Times New Roman"/>
          <w:color w:val="auto"/>
          <w:szCs w:val="24"/>
          <w:lang w:val="id-ID"/>
        </w:rPr>
        <w:t>l content unsaturated hydroxyl fatty acid, cis 9,12 hydroxy octadecanoic acid, which is commonly called risionoleic (ricinoleic acid), 89.5%.</w:t>
      </w:r>
      <w:r w:rsidR="00C749A0" w:rsidRPr="00E66383">
        <w:rPr>
          <w:rFonts w:ascii="Times New Roman" w:hAnsi="Times New Roman"/>
          <w:color w:val="auto"/>
          <w:szCs w:val="24"/>
          <w:lang w:val="id-ID"/>
        </w:rPr>
        <w:t xml:space="preserve"> Methanol 99.8%, n-Hexane 98% from Merck, and KOH</w:t>
      </w:r>
      <w:r w:rsidR="00C749A0" w:rsidRPr="00E66383">
        <w:rPr>
          <w:rFonts w:ascii="Times New Roman" w:hAnsi="Times New Roman"/>
          <w:color w:val="auto"/>
          <w:lang w:val="id-ID"/>
        </w:rPr>
        <w:t xml:space="preserve"> were bought from Sigma Aldrich and of analytical grade. This experiment used mole ratio methanol:</w:t>
      </w:r>
      <w:r w:rsidR="00C749A0" w:rsidRPr="00E66383">
        <w:rPr>
          <w:rFonts w:ascii="Times New Roman" w:hAnsi="Times New Roman"/>
          <w:i/>
          <w:iCs/>
          <w:color w:val="auto"/>
          <w:lang w:val="id-ID"/>
        </w:rPr>
        <w:t>Jatropha oil</w:t>
      </w:r>
      <w:r w:rsidR="00C749A0" w:rsidRPr="00E66383">
        <w:rPr>
          <w:rFonts w:ascii="Times New Roman" w:hAnsi="Times New Roman"/>
          <w:color w:val="auto"/>
          <w:lang w:val="id-ID"/>
        </w:rPr>
        <w:t xml:space="preserve"> </w:t>
      </w:r>
      <w:r w:rsidR="00C749A0" w:rsidRPr="00E66383">
        <w:rPr>
          <w:rFonts w:ascii="Times New Roman" w:hAnsi="Times New Roman"/>
          <w:color w:val="auto"/>
        </w:rPr>
        <w:t>12:1, 15:1, 18:1</w:t>
      </w:r>
      <w:r w:rsidR="00C749A0" w:rsidRPr="00E66383">
        <w:rPr>
          <w:rFonts w:ascii="Times New Roman" w:hAnsi="Times New Roman"/>
          <w:color w:val="auto"/>
          <w:lang w:val="id-ID"/>
        </w:rPr>
        <w:t xml:space="preserve">. Variation </w:t>
      </w:r>
      <w:r w:rsidR="00D166EB" w:rsidRPr="00E66383">
        <w:rPr>
          <w:rFonts w:ascii="Times New Roman" w:hAnsi="Times New Roman"/>
          <w:color w:val="auto"/>
          <w:lang w:val="id-ID"/>
        </w:rPr>
        <w:t xml:space="preserve">of </w:t>
      </w:r>
      <w:r w:rsidR="00FF42C4" w:rsidRPr="00E66383">
        <w:rPr>
          <w:rFonts w:ascii="Times New Roman" w:hAnsi="Times New Roman"/>
          <w:color w:val="auto"/>
          <w:lang w:val="id-ID"/>
        </w:rPr>
        <w:t>t</w:t>
      </w:r>
      <w:r w:rsidR="00C749A0" w:rsidRPr="00E66383">
        <w:rPr>
          <w:rFonts w:ascii="Times New Roman" w:hAnsi="Times New Roman"/>
          <w:color w:val="auto"/>
          <w:lang w:val="id-ID"/>
        </w:rPr>
        <w:t xml:space="preserve">he temperature of reaction used </w:t>
      </w:r>
      <w:r w:rsidR="00FF42C4" w:rsidRPr="00E66383">
        <w:rPr>
          <w:rFonts w:ascii="Times New Roman" w:hAnsi="Times New Roman"/>
          <w:color w:val="auto"/>
        </w:rPr>
        <w:t>60, 65, 70</w:t>
      </w:r>
      <w:r w:rsidR="00FF42C4" w:rsidRPr="00E66383">
        <w:rPr>
          <w:rFonts w:ascii="Times New Roman" w:hAnsi="Times New Roman"/>
          <w:color w:val="auto"/>
          <w:vertAlign w:val="superscript"/>
          <w:lang w:val="id-ID"/>
        </w:rPr>
        <w:t>0</w:t>
      </w:r>
      <w:r w:rsidR="00FF42C4" w:rsidRPr="00E66383">
        <w:rPr>
          <w:rFonts w:ascii="Times New Roman" w:hAnsi="Times New Roman"/>
          <w:color w:val="auto"/>
        </w:rPr>
        <w:t>C</w:t>
      </w:r>
      <w:r w:rsidR="00FF42C4" w:rsidRPr="00E66383">
        <w:rPr>
          <w:rFonts w:ascii="Times New Roman" w:hAnsi="Times New Roman"/>
          <w:color w:val="auto"/>
          <w:lang w:val="id-ID"/>
        </w:rPr>
        <w:t>.</w:t>
      </w:r>
    </w:p>
    <w:p w14:paraId="7C9D2C6E" w14:textId="261CEAD3" w:rsidR="00FD4F50" w:rsidRPr="00E66383" w:rsidRDefault="00856E70" w:rsidP="007C7BAB">
      <w:pPr>
        <w:pStyle w:val="BodyChar"/>
        <w:tabs>
          <w:tab w:val="clear" w:pos="567"/>
          <w:tab w:val="left" w:pos="284"/>
        </w:tabs>
        <w:spacing w:after="240"/>
        <w:rPr>
          <w:rFonts w:ascii="Times New Roman" w:hAnsi="Times New Roman"/>
          <w:color w:val="auto"/>
          <w:lang w:val="id-ID"/>
        </w:rPr>
      </w:pPr>
      <w:r w:rsidRPr="00E66383">
        <w:rPr>
          <w:rFonts w:ascii="Times New Roman" w:hAnsi="Times New Roman"/>
          <w:color w:val="auto"/>
          <w:lang w:val="id-ID"/>
        </w:rPr>
        <w:tab/>
      </w:r>
      <w:r w:rsidR="00FF42C4" w:rsidRPr="00E66383">
        <w:rPr>
          <w:rFonts w:ascii="Times New Roman" w:hAnsi="Times New Roman"/>
          <w:color w:val="auto"/>
          <w:lang w:val="id-ID"/>
        </w:rPr>
        <w:t xml:space="preserve">During </w:t>
      </w:r>
      <w:r w:rsidR="00D166EB" w:rsidRPr="00E66383">
        <w:rPr>
          <w:rFonts w:ascii="Times New Roman" w:hAnsi="Times New Roman"/>
          <w:color w:val="auto"/>
          <w:lang w:val="id-ID"/>
        </w:rPr>
        <w:t xml:space="preserve">the </w:t>
      </w:r>
      <w:r w:rsidR="00FF42C4" w:rsidRPr="00E66383">
        <w:rPr>
          <w:rFonts w:ascii="Times New Roman" w:hAnsi="Times New Roman"/>
          <w:color w:val="auto"/>
          <w:lang w:val="id-ID"/>
        </w:rPr>
        <w:t xml:space="preserve">experiment, put methanol with a concentration mole ratio of 12:1 to </w:t>
      </w:r>
      <w:r w:rsidR="00FF42C4" w:rsidRPr="00E66383">
        <w:rPr>
          <w:rFonts w:ascii="Times New Roman" w:hAnsi="Times New Roman"/>
          <w:i/>
          <w:iCs/>
          <w:color w:val="auto"/>
          <w:lang w:val="id-ID"/>
        </w:rPr>
        <w:t>Jatropha curcas</w:t>
      </w:r>
      <w:r w:rsidR="00FF42C4" w:rsidRPr="00E66383">
        <w:rPr>
          <w:rFonts w:ascii="Times New Roman" w:hAnsi="Times New Roman"/>
          <w:color w:val="auto"/>
          <w:lang w:val="id-ID"/>
        </w:rPr>
        <w:t xml:space="preserve"> oil into a three-neck flask, then add the </w:t>
      </w:r>
      <w:r w:rsidR="00A41E1F" w:rsidRPr="00E66383">
        <w:rPr>
          <w:rFonts w:ascii="Times New Roman" w:hAnsi="Times New Roman"/>
          <w:color w:val="auto"/>
          <w:lang w:val="id-ID"/>
        </w:rPr>
        <w:t xml:space="preserve">3% NiO catalyst between methanol with </w:t>
      </w:r>
      <w:r w:rsidR="00A41E1F" w:rsidRPr="00E66383">
        <w:rPr>
          <w:rFonts w:ascii="Times New Roman" w:hAnsi="Times New Roman"/>
          <w:i/>
          <w:iCs/>
          <w:color w:val="auto"/>
          <w:lang w:val="id-ID"/>
        </w:rPr>
        <w:t>Jatropha curcas</w:t>
      </w:r>
      <w:r w:rsidR="00A41E1F" w:rsidRPr="00E66383">
        <w:rPr>
          <w:rFonts w:ascii="Times New Roman" w:hAnsi="Times New Roman"/>
          <w:color w:val="auto"/>
          <w:lang w:val="id-ID"/>
        </w:rPr>
        <w:t xml:space="preserve"> oil </w:t>
      </w:r>
      <w:r w:rsidR="00FF42C4" w:rsidRPr="00E66383">
        <w:rPr>
          <w:rFonts w:ascii="Times New Roman" w:hAnsi="Times New Roman"/>
          <w:color w:val="auto"/>
          <w:lang w:val="id-ID"/>
        </w:rPr>
        <w:t xml:space="preserve">and stir until homogeneous. Next, add the </w:t>
      </w:r>
      <w:r w:rsidR="00FF42C4" w:rsidRPr="00E66383">
        <w:rPr>
          <w:rFonts w:ascii="Times New Roman" w:hAnsi="Times New Roman"/>
          <w:i/>
          <w:iCs/>
          <w:color w:val="auto"/>
          <w:lang w:val="id-ID"/>
        </w:rPr>
        <w:t>Jatropha curcas</w:t>
      </w:r>
      <w:r w:rsidR="00FF42C4" w:rsidRPr="00E66383">
        <w:rPr>
          <w:rFonts w:ascii="Times New Roman" w:hAnsi="Times New Roman"/>
          <w:color w:val="auto"/>
          <w:lang w:val="id-ID"/>
        </w:rPr>
        <w:t xml:space="preserve"> oil slowly in a three-neck flask</w:t>
      </w:r>
      <w:r w:rsidR="00D166EB" w:rsidRPr="00E66383">
        <w:rPr>
          <w:rFonts w:ascii="Times New Roman" w:hAnsi="Times New Roman"/>
          <w:color w:val="auto"/>
          <w:lang w:val="id-ID"/>
        </w:rPr>
        <w:t>,</w:t>
      </w:r>
      <w:r w:rsidR="00FF42C4" w:rsidRPr="00E66383">
        <w:rPr>
          <w:rFonts w:ascii="Times New Roman" w:hAnsi="Times New Roman"/>
          <w:color w:val="auto"/>
          <w:lang w:val="id-ID"/>
        </w:rPr>
        <w:t xml:space="preserve"> which already contains methanol and catalyst. Then, refluxed for 5 hours at 60</w:t>
      </w:r>
      <w:r w:rsidR="00FF42C4" w:rsidRPr="00E66383">
        <w:rPr>
          <w:rFonts w:ascii="Times New Roman" w:hAnsi="Times New Roman"/>
          <w:color w:val="auto"/>
          <w:vertAlign w:val="superscript"/>
          <w:lang w:val="id-ID"/>
        </w:rPr>
        <w:t>o</w:t>
      </w:r>
      <w:r w:rsidR="00FF42C4" w:rsidRPr="00E66383">
        <w:rPr>
          <w:rFonts w:ascii="Times New Roman" w:hAnsi="Times New Roman"/>
          <w:color w:val="auto"/>
          <w:lang w:val="id-ID"/>
        </w:rPr>
        <w:t>C accompanied by stirring and cool</w:t>
      </w:r>
      <w:r w:rsidR="00D166EB" w:rsidRPr="00E66383">
        <w:rPr>
          <w:rFonts w:ascii="Times New Roman" w:hAnsi="Times New Roman"/>
          <w:color w:val="auto"/>
          <w:lang w:val="id-ID"/>
        </w:rPr>
        <w:t>ing</w:t>
      </w:r>
      <w:r w:rsidR="00FF42C4" w:rsidRPr="00E66383">
        <w:rPr>
          <w:rFonts w:ascii="Times New Roman" w:hAnsi="Times New Roman"/>
          <w:color w:val="auto"/>
          <w:lang w:val="id-ID"/>
        </w:rPr>
        <w:t>. The reflux product is filtered</w:t>
      </w:r>
      <w:r w:rsidR="00D166EB" w:rsidRPr="00E66383">
        <w:rPr>
          <w:rFonts w:ascii="Times New Roman" w:hAnsi="Times New Roman"/>
          <w:color w:val="auto"/>
          <w:lang w:val="id-ID"/>
        </w:rPr>
        <w:t>,</w:t>
      </w:r>
      <w:r w:rsidR="00FF42C4" w:rsidRPr="00E66383">
        <w:rPr>
          <w:rFonts w:ascii="Times New Roman" w:hAnsi="Times New Roman"/>
          <w:color w:val="auto"/>
          <w:lang w:val="id-ID"/>
        </w:rPr>
        <w:t xml:space="preserve"> and the filtrate is put into a separating funnel and allowed to stand for 30 minutes until 2 phases are formed. The methyl ester phase is washed with warm distilled water where the temperature is around 50</w:t>
      </w:r>
      <w:r w:rsidR="00FF42C4" w:rsidRPr="00E66383">
        <w:rPr>
          <w:rFonts w:ascii="Times New Roman" w:hAnsi="Times New Roman"/>
          <w:color w:val="auto"/>
          <w:vertAlign w:val="superscript"/>
          <w:lang w:val="id-ID"/>
        </w:rPr>
        <w:t>o</w:t>
      </w:r>
      <w:r w:rsidR="00FF42C4" w:rsidRPr="00E66383">
        <w:rPr>
          <w:rFonts w:ascii="Times New Roman" w:hAnsi="Times New Roman"/>
          <w:color w:val="auto"/>
          <w:lang w:val="id-ID"/>
        </w:rPr>
        <w:t>C until the washing solution is neutral</w:t>
      </w:r>
      <w:r w:rsidR="00D166EB" w:rsidRPr="00E66383">
        <w:rPr>
          <w:rFonts w:ascii="Times New Roman" w:hAnsi="Times New Roman"/>
          <w:color w:val="auto"/>
          <w:lang w:val="id-ID"/>
        </w:rPr>
        <w:t>,</w:t>
      </w:r>
      <w:r w:rsidR="00FF42C4" w:rsidRPr="00E66383">
        <w:rPr>
          <w:rFonts w:ascii="Times New Roman" w:hAnsi="Times New Roman"/>
          <w:color w:val="auto"/>
          <w:lang w:val="id-ID"/>
        </w:rPr>
        <w:t xml:space="preserve"> then let it stand then poured so that the glycerol separated with the methyl ester phase. The same treatment for variations in the mole ratio of methanol and castor oil 15:1, and 18:1</w:t>
      </w:r>
      <w:r w:rsidR="00BB54F9" w:rsidRPr="00E66383">
        <w:rPr>
          <w:rFonts w:ascii="Times New Roman" w:hAnsi="Times New Roman"/>
          <w:color w:val="auto"/>
          <w:lang w:val="id-ID"/>
        </w:rPr>
        <w:t>, and temperature of the reaction</w:t>
      </w:r>
      <w:r w:rsidR="00FF42C4" w:rsidRPr="00E66383">
        <w:rPr>
          <w:rFonts w:ascii="Times New Roman" w:hAnsi="Times New Roman"/>
          <w:color w:val="auto"/>
          <w:lang w:val="id-ID"/>
        </w:rPr>
        <w:t>. Pure methyl esters are analyzed for their characteristics</w:t>
      </w:r>
      <w:r w:rsidR="00BB54F9" w:rsidRPr="00E66383">
        <w:rPr>
          <w:rFonts w:ascii="Times New Roman" w:hAnsi="Times New Roman"/>
          <w:color w:val="auto"/>
          <w:lang w:val="id-ID"/>
        </w:rPr>
        <w:t xml:space="preserve">. Chemical characterization using </w:t>
      </w:r>
      <w:r w:rsidR="00FF42C4" w:rsidRPr="00E66383">
        <w:rPr>
          <w:rFonts w:ascii="Times New Roman" w:hAnsi="Times New Roman"/>
          <w:color w:val="auto"/>
        </w:rPr>
        <w:t>Gas Chromatography (G</w:t>
      </w:r>
      <w:r w:rsidR="00BB54F9" w:rsidRPr="00E66383">
        <w:rPr>
          <w:rFonts w:ascii="Times New Roman" w:hAnsi="Times New Roman"/>
          <w:color w:val="auto"/>
          <w:lang w:val="id-ID"/>
        </w:rPr>
        <w:t>C</w:t>
      </w:r>
      <w:r w:rsidR="00FF42C4" w:rsidRPr="00E66383">
        <w:rPr>
          <w:rFonts w:ascii="Times New Roman" w:hAnsi="Times New Roman"/>
          <w:color w:val="auto"/>
        </w:rPr>
        <w:t>)</w:t>
      </w:r>
      <w:r w:rsidR="00BB54F9" w:rsidRPr="00E66383">
        <w:rPr>
          <w:rFonts w:ascii="Times New Roman" w:hAnsi="Times New Roman"/>
          <w:color w:val="auto"/>
          <w:lang w:val="id-ID"/>
        </w:rPr>
        <w:t xml:space="preserve">. The physicochemical properties of the </w:t>
      </w:r>
      <w:r w:rsidR="00756C25" w:rsidRPr="00E66383">
        <w:rPr>
          <w:rFonts w:ascii="Times New Roman" w:hAnsi="Times New Roman"/>
          <w:color w:val="auto"/>
          <w:lang w:val="id-ID"/>
        </w:rPr>
        <w:t>B</w:t>
      </w:r>
      <w:r w:rsidR="00BB54F9" w:rsidRPr="00E66383">
        <w:rPr>
          <w:rFonts w:ascii="Times New Roman" w:hAnsi="Times New Roman"/>
          <w:color w:val="auto"/>
          <w:lang w:val="id-ID"/>
        </w:rPr>
        <w:t>iodiesel were characterized according to ASTM 6751 standard.</w:t>
      </w:r>
    </w:p>
    <w:p w14:paraId="178F5FD6" w14:textId="554DB7BA" w:rsidR="007F3419" w:rsidRPr="00E66383" w:rsidRDefault="00121490" w:rsidP="00BF79A2">
      <w:pPr>
        <w:pStyle w:val="section"/>
        <w:rPr>
          <w:color w:val="auto"/>
        </w:rPr>
      </w:pPr>
      <w:r w:rsidRPr="00E66383">
        <w:rPr>
          <w:color w:val="auto"/>
        </w:rPr>
        <w:t xml:space="preserve">Results and </w:t>
      </w:r>
      <w:r w:rsidR="00B947FF" w:rsidRPr="00E66383">
        <w:rPr>
          <w:color w:val="auto"/>
        </w:rPr>
        <w:t>D</w:t>
      </w:r>
      <w:r w:rsidRPr="00E66383">
        <w:rPr>
          <w:color w:val="auto"/>
        </w:rPr>
        <w:t>iscussion</w:t>
      </w:r>
    </w:p>
    <w:p w14:paraId="49297AA0" w14:textId="027C4D25" w:rsidR="00F71C0F" w:rsidRPr="00E66383" w:rsidRDefault="00997E68" w:rsidP="0051452B">
      <w:pPr>
        <w:pStyle w:val="subsection"/>
        <w:numPr>
          <w:ilvl w:val="0"/>
          <w:numId w:val="0"/>
        </w:numPr>
        <w:spacing w:before="0"/>
        <w:jc w:val="both"/>
        <w:rPr>
          <w:rFonts w:ascii="Times New Roman" w:hAnsi="Times New Roman"/>
          <w:i w:val="0"/>
          <w:color w:val="auto"/>
        </w:rPr>
      </w:pPr>
      <w:r w:rsidRPr="00E66383">
        <w:rPr>
          <w:rFonts w:ascii="Times New Roman" w:hAnsi="Times New Roman"/>
          <w:i w:val="0"/>
          <w:color w:val="auto"/>
        </w:rPr>
        <w:t xml:space="preserve">This research was conducted in several </w:t>
      </w:r>
      <w:r w:rsidRPr="00E66383">
        <w:rPr>
          <w:rFonts w:ascii="Times New Roman" w:hAnsi="Times New Roman"/>
          <w:i w:val="0"/>
          <w:color w:val="auto"/>
          <w:lang w:val="id-ID"/>
        </w:rPr>
        <w:t>steps</w:t>
      </w:r>
      <w:r w:rsidRPr="00E66383">
        <w:rPr>
          <w:rFonts w:ascii="Times New Roman" w:hAnsi="Times New Roman"/>
          <w:i w:val="0"/>
          <w:color w:val="auto"/>
        </w:rPr>
        <w:t xml:space="preserve">, </w:t>
      </w:r>
      <w:r w:rsidRPr="00E66383">
        <w:rPr>
          <w:rFonts w:ascii="Times New Roman" w:hAnsi="Times New Roman"/>
          <w:i w:val="0"/>
          <w:color w:val="auto"/>
          <w:lang w:val="id-ID"/>
        </w:rPr>
        <w:t>i.e.</w:t>
      </w:r>
      <w:r w:rsidR="0077251F" w:rsidRPr="00E66383">
        <w:rPr>
          <w:rFonts w:ascii="Times New Roman" w:hAnsi="Times New Roman"/>
          <w:i w:val="0"/>
          <w:color w:val="auto"/>
          <w:lang w:val="id-ID"/>
        </w:rPr>
        <w:t>,</w:t>
      </w:r>
      <w:r w:rsidRPr="00E66383">
        <w:rPr>
          <w:rFonts w:ascii="Times New Roman" w:hAnsi="Times New Roman"/>
          <w:i w:val="0"/>
          <w:color w:val="auto"/>
        </w:rPr>
        <w:t xml:space="preserve"> the transesterification process and product analysis. The catalyst used </w:t>
      </w:r>
      <w:r w:rsidR="00D166EB" w:rsidRPr="00E66383">
        <w:rPr>
          <w:rFonts w:ascii="Times New Roman" w:hAnsi="Times New Roman"/>
          <w:i w:val="0"/>
          <w:color w:val="auto"/>
        </w:rPr>
        <w:t xml:space="preserve">a </w:t>
      </w:r>
      <w:r w:rsidR="00A41E1F" w:rsidRPr="00E66383">
        <w:rPr>
          <w:rFonts w:ascii="Times New Roman" w:hAnsi="Times New Roman"/>
          <w:i w:val="0"/>
          <w:iCs w:val="0"/>
          <w:color w:val="auto"/>
          <w:lang w:val="id-ID"/>
        </w:rPr>
        <w:t xml:space="preserve">3% NiO catalyst between methanol with </w:t>
      </w:r>
      <w:r w:rsidR="00A41E1F" w:rsidRPr="00E66383">
        <w:rPr>
          <w:rFonts w:ascii="Times New Roman" w:hAnsi="Times New Roman"/>
          <w:color w:val="auto"/>
          <w:lang w:val="id-ID"/>
        </w:rPr>
        <w:t>Jatropha curcas</w:t>
      </w:r>
      <w:r w:rsidR="00A41E1F" w:rsidRPr="00E66383">
        <w:rPr>
          <w:rFonts w:ascii="Times New Roman" w:hAnsi="Times New Roman"/>
          <w:i w:val="0"/>
          <w:iCs w:val="0"/>
          <w:color w:val="auto"/>
          <w:lang w:val="id-ID"/>
        </w:rPr>
        <w:t xml:space="preserve"> oil </w:t>
      </w:r>
      <w:proofErr w:type="spellStart"/>
      <w:r w:rsidRPr="00E66383">
        <w:rPr>
          <w:rFonts w:ascii="Times New Roman" w:hAnsi="Times New Roman"/>
          <w:i w:val="0"/>
          <w:iCs w:val="0"/>
          <w:color w:val="auto"/>
        </w:rPr>
        <w:t>NiO</w:t>
      </w:r>
      <w:proofErr w:type="spellEnd"/>
      <w:r w:rsidRPr="00E66383">
        <w:rPr>
          <w:rFonts w:ascii="Times New Roman" w:hAnsi="Times New Roman"/>
          <w:i w:val="0"/>
          <w:iCs w:val="0"/>
          <w:color w:val="auto"/>
        </w:rPr>
        <w:t xml:space="preserve">. </w:t>
      </w:r>
      <w:r w:rsidR="0077251F" w:rsidRPr="00E66383">
        <w:rPr>
          <w:rFonts w:ascii="Times New Roman" w:hAnsi="Times New Roman"/>
          <w:i w:val="0"/>
          <w:iCs w:val="0"/>
          <w:color w:val="auto"/>
        </w:rPr>
        <w:t>The m</w:t>
      </w:r>
      <w:r w:rsidRPr="00E66383">
        <w:rPr>
          <w:rFonts w:ascii="Times New Roman" w:hAnsi="Times New Roman"/>
          <w:i w:val="0"/>
          <w:iCs w:val="0"/>
          <w:color w:val="auto"/>
        </w:rPr>
        <w:t xml:space="preserve">ethyl ester is produced from the reaction of </w:t>
      </w:r>
      <w:r w:rsidRPr="00E66383">
        <w:rPr>
          <w:rFonts w:ascii="Times New Roman" w:hAnsi="Times New Roman"/>
          <w:color w:val="auto"/>
          <w:lang w:val="id-ID"/>
        </w:rPr>
        <w:t>Jatropha curcas</w:t>
      </w:r>
      <w:r w:rsidRPr="00E66383">
        <w:rPr>
          <w:rFonts w:ascii="Times New Roman" w:hAnsi="Times New Roman"/>
          <w:i w:val="0"/>
          <w:iCs w:val="0"/>
          <w:color w:val="auto"/>
        </w:rPr>
        <w:t xml:space="preserve"> oil with methanol</w:t>
      </w:r>
      <w:r w:rsidR="0077251F" w:rsidRPr="00E66383">
        <w:rPr>
          <w:rFonts w:ascii="Times New Roman" w:hAnsi="Times New Roman"/>
          <w:i w:val="0"/>
          <w:iCs w:val="0"/>
          <w:color w:val="auto"/>
        </w:rPr>
        <w:t>,</w:t>
      </w:r>
      <w:r w:rsidRPr="00E66383">
        <w:rPr>
          <w:rFonts w:ascii="Times New Roman" w:hAnsi="Times New Roman"/>
          <w:i w:val="0"/>
          <w:color w:val="auto"/>
        </w:rPr>
        <w:t xml:space="preserve"> which calculate</w:t>
      </w:r>
      <w:r w:rsidR="0077251F" w:rsidRPr="00E66383">
        <w:rPr>
          <w:rFonts w:ascii="Times New Roman" w:hAnsi="Times New Roman"/>
          <w:i w:val="0"/>
          <w:color w:val="auto"/>
        </w:rPr>
        <w:t>s</w:t>
      </w:r>
      <w:r w:rsidRPr="00E66383">
        <w:rPr>
          <w:rFonts w:ascii="Times New Roman" w:hAnsi="Times New Roman"/>
          <w:i w:val="0"/>
          <w:color w:val="auto"/>
        </w:rPr>
        <w:t xml:space="preserve"> concentration using Gas Chromatography</w:t>
      </w:r>
      <w:r w:rsidRPr="00E66383">
        <w:rPr>
          <w:rFonts w:ascii="Times New Roman" w:hAnsi="Times New Roman"/>
          <w:i w:val="0"/>
          <w:color w:val="auto"/>
          <w:lang w:val="id-ID"/>
        </w:rPr>
        <w:t xml:space="preserve"> </w:t>
      </w:r>
      <w:r w:rsidRPr="00E66383">
        <w:rPr>
          <w:rFonts w:ascii="Times New Roman" w:hAnsi="Times New Roman"/>
          <w:i w:val="0"/>
          <w:color w:val="auto"/>
        </w:rPr>
        <w:t>(GC) so that the desired yield can be obtained</w:t>
      </w:r>
      <w:r w:rsidRPr="00E66383">
        <w:rPr>
          <w:rFonts w:ascii="Times New Roman" w:hAnsi="Times New Roman"/>
          <w:i w:val="0"/>
          <w:color w:val="auto"/>
          <w:lang w:val="id-ID"/>
        </w:rPr>
        <w:t xml:space="preserve">. The result of </w:t>
      </w:r>
      <w:r w:rsidRPr="00E66383">
        <w:rPr>
          <w:rFonts w:ascii="Times New Roman" w:hAnsi="Times New Roman"/>
          <w:i w:val="0"/>
          <w:color w:val="auto"/>
          <w:lang w:val="id-ID"/>
        </w:rPr>
        <w:lastRenderedPageBreak/>
        <w:t>the reaction of making methyl ester forms three separate phases, where the top layer is the remaining unreacted methanol, the middle layer is methyl ester</w:t>
      </w:r>
      <w:r w:rsidR="0077251F" w:rsidRPr="00E66383">
        <w:rPr>
          <w:rFonts w:ascii="Times New Roman" w:hAnsi="Times New Roman"/>
          <w:i w:val="0"/>
          <w:color w:val="auto"/>
          <w:lang w:val="id-ID"/>
        </w:rPr>
        <w:t>,</w:t>
      </w:r>
      <w:r w:rsidRPr="00E66383">
        <w:rPr>
          <w:rFonts w:ascii="Times New Roman" w:hAnsi="Times New Roman"/>
          <w:i w:val="0"/>
          <w:color w:val="auto"/>
          <w:lang w:val="id-ID"/>
        </w:rPr>
        <w:t xml:space="preserve"> and the bottom layer is the catalyst</w:t>
      </w:r>
      <w:r w:rsidR="0077251F" w:rsidRPr="00E66383">
        <w:rPr>
          <w:rFonts w:ascii="Times New Roman" w:hAnsi="Times New Roman"/>
          <w:i w:val="0"/>
          <w:color w:val="auto"/>
          <w:lang w:val="id-ID"/>
        </w:rPr>
        <w:t>,</w:t>
      </w:r>
      <w:r w:rsidRPr="00E66383">
        <w:rPr>
          <w:rFonts w:ascii="Times New Roman" w:hAnsi="Times New Roman"/>
          <w:i w:val="0"/>
          <w:color w:val="auto"/>
          <w:lang w:val="id-ID"/>
        </w:rPr>
        <w:t xml:space="preserve"> as shown in Figure 1.</w:t>
      </w:r>
      <w:r w:rsidR="00A41E1F" w:rsidRPr="00E66383">
        <w:rPr>
          <w:rFonts w:ascii="Times New Roman" w:hAnsi="Times New Roman"/>
          <w:i w:val="0"/>
          <w:color w:val="auto"/>
          <w:lang w:val="id-ID"/>
        </w:rPr>
        <w:t xml:space="preserve"> </w:t>
      </w:r>
      <w:r w:rsidR="00A41E1F" w:rsidRPr="00E66383">
        <w:rPr>
          <w:rFonts w:ascii="Times New Roman" w:hAnsi="Times New Roman"/>
          <w:i w:val="0"/>
          <w:color w:val="auto"/>
        </w:rPr>
        <w:t>The methyl ester obtained from the transesterification reaction separated from the catalyst and the remaining reactants</w:t>
      </w:r>
      <w:r w:rsidR="0077251F" w:rsidRPr="00E66383">
        <w:rPr>
          <w:rFonts w:ascii="Times New Roman" w:hAnsi="Times New Roman"/>
          <w:i w:val="0"/>
          <w:color w:val="auto"/>
        </w:rPr>
        <w:t>,</w:t>
      </w:r>
      <w:r w:rsidR="00A41E1F" w:rsidRPr="00E66383">
        <w:rPr>
          <w:rFonts w:ascii="Times New Roman" w:hAnsi="Times New Roman"/>
          <w:i w:val="0"/>
          <w:color w:val="auto"/>
        </w:rPr>
        <w:t xml:space="preserve"> then the methyl ester is GC tested and its characteristics.</w:t>
      </w:r>
    </w:p>
    <w:p w14:paraId="75A83FEE" w14:textId="52A99635" w:rsidR="00F00FDC" w:rsidRPr="00E66383" w:rsidRDefault="00F00FDC" w:rsidP="0051452B">
      <w:pPr>
        <w:pStyle w:val="subsection"/>
        <w:numPr>
          <w:ilvl w:val="0"/>
          <w:numId w:val="0"/>
        </w:numPr>
        <w:spacing w:before="0"/>
        <w:jc w:val="both"/>
        <w:rPr>
          <w:rFonts w:ascii="Times New Roman" w:hAnsi="Times New Roman"/>
          <w:i w:val="0"/>
          <w:color w:val="auto"/>
        </w:rPr>
      </w:pPr>
    </w:p>
    <w:tbl>
      <w:tblPr>
        <w:tblW w:w="8110" w:type="dxa"/>
        <w:jc w:val="center"/>
        <w:tblBorders>
          <w:top w:val="dashed" w:sz="4" w:space="0" w:color="000000"/>
          <w:left w:val="dashed" w:sz="4" w:space="0" w:color="000000"/>
          <w:bottom w:val="dashed" w:sz="4" w:space="0" w:color="000000"/>
          <w:right w:val="dashed" w:sz="4" w:space="0" w:color="000000"/>
          <w:insideH w:val="dashed" w:sz="4" w:space="0" w:color="000000"/>
        </w:tblBorders>
        <w:tblLayout w:type="fixed"/>
        <w:tblLook w:val="0000" w:firstRow="0" w:lastRow="0" w:firstColumn="0" w:lastColumn="0" w:noHBand="0" w:noVBand="0"/>
      </w:tblPr>
      <w:tblGrid>
        <w:gridCol w:w="8110"/>
      </w:tblGrid>
      <w:tr w:rsidR="00E66383" w:rsidRPr="00E66383" w14:paraId="4EE10A6F" w14:textId="77777777" w:rsidTr="00F00FDC">
        <w:trPr>
          <w:trHeight w:val="2541"/>
          <w:jc w:val="center"/>
        </w:trPr>
        <w:tc>
          <w:tcPr>
            <w:tcW w:w="8110" w:type="dxa"/>
            <w:shd w:val="clear" w:color="auto" w:fill="auto"/>
          </w:tcPr>
          <w:p w14:paraId="2118C8EE" w14:textId="0219EE24" w:rsidR="00F00FDC" w:rsidRPr="00E66383" w:rsidRDefault="00F00FDC" w:rsidP="00F00FDC">
            <w:pPr>
              <w:pBdr>
                <w:top w:val="nil"/>
                <w:left w:val="nil"/>
                <w:bottom w:val="nil"/>
                <w:right w:val="nil"/>
                <w:between w:val="nil"/>
              </w:pBdr>
              <w:tabs>
                <w:tab w:val="left" w:pos="567"/>
              </w:tabs>
              <w:jc w:val="center"/>
              <w:rPr>
                <w:rFonts w:ascii="Times New Roman" w:hAnsi="Times New Roman"/>
              </w:rPr>
            </w:pPr>
            <w:r w:rsidRPr="00E66383">
              <w:rPr>
                <w:noProof/>
              </w:rPr>
              <w:drawing>
                <wp:inline distT="0" distB="0" distL="0" distR="0" wp14:anchorId="37D19D9E" wp14:editId="7F987543">
                  <wp:extent cx="1225550" cy="16034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53578" cy="1640099"/>
                          </a:xfrm>
                          <a:prstGeom prst="rect">
                            <a:avLst/>
                          </a:prstGeom>
                        </pic:spPr>
                      </pic:pic>
                    </a:graphicData>
                  </a:graphic>
                </wp:inline>
              </w:drawing>
            </w:r>
          </w:p>
        </w:tc>
      </w:tr>
      <w:tr w:rsidR="00E66383" w:rsidRPr="00E66383" w14:paraId="5C7537C0" w14:textId="77777777" w:rsidTr="00F00FDC">
        <w:trPr>
          <w:trHeight w:val="465"/>
          <w:jc w:val="center"/>
        </w:trPr>
        <w:tc>
          <w:tcPr>
            <w:tcW w:w="8110" w:type="dxa"/>
            <w:shd w:val="clear" w:color="auto" w:fill="auto"/>
          </w:tcPr>
          <w:p w14:paraId="2A5A121A" w14:textId="74027E83" w:rsidR="00F00FDC" w:rsidRPr="00E66383" w:rsidRDefault="00F00FDC" w:rsidP="00D711B3">
            <w:pPr>
              <w:pBdr>
                <w:top w:val="nil"/>
                <w:left w:val="nil"/>
                <w:bottom w:val="nil"/>
                <w:right w:val="nil"/>
                <w:between w:val="nil"/>
              </w:pBdr>
              <w:spacing w:before="120"/>
              <w:ind w:left="28" w:hanging="28"/>
              <w:jc w:val="both"/>
              <w:rPr>
                <w:rFonts w:ascii="Times New Roman" w:hAnsi="Times New Roman"/>
                <w:iCs/>
                <w:lang w:val="id-ID"/>
              </w:rPr>
            </w:pPr>
            <w:r w:rsidRPr="00E66383">
              <w:rPr>
                <w:rFonts w:ascii="Times New Roman" w:hAnsi="Times New Roman"/>
                <w:b/>
                <w:iCs/>
              </w:rPr>
              <w:t>Figure 1.</w:t>
            </w:r>
            <w:r w:rsidRPr="00E66383">
              <w:rPr>
                <w:rFonts w:ascii="Times New Roman" w:hAnsi="Times New Roman"/>
                <w:iCs/>
              </w:rPr>
              <w:t xml:space="preserve"> Phase separation results from methyl ester synthesis reactions</w:t>
            </w:r>
          </w:p>
        </w:tc>
      </w:tr>
    </w:tbl>
    <w:p w14:paraId="15F2E16B" w14:textId="303F3FB4" w:rsidR="00997E68" w:rsidRPr="00E66383" w:rsidRDefault="00997E68" w:rsidP="00F00FDC">
      <w:pPr>
        <w:pStyle w:val="subsection"/>
        <w:numPr>
          <w:ilvl w:val="0"/>
          <w:numId w:val="0"/>
        </w:numPr>
        <w:spacing w:before="0"/>
        <w:rPr>
          <w:rFonts w:ascii="Times New Roman" w:hAnsi="Times New Roman"/>
          <w:i w:val="0"/>
          <w:color w:val="auto"/>
        </w:rPr>
      </w:pPr>
    </w:p>
    <w:p w14:paraId="1B14F987" w14:textId="1DCD8C14" w:rsidR="00DD1C5F" w:rsidRPr="00E66383" w:rsidRDefault="00A140FD" w:rsidP="00F00FDC">
      <w:pPr>
        <w:pStyle w:val="subsection"/>
        <w:numPr>
          <w:ilvl w:val="0"/>
          <w:numId w:val="0"/>
        </w:numPr>
        <w:spacing w:before="0"/>
        <w:jc w:val="both"/>
        <w:rPr>
          <w:rFonts w:ascii="Times New Roman" w:hAnsi="Times New Roman"/>
          <w:i w:val="0"/>
          <w:color w:val="auto"/>
        </w:rPr>
      </w:pPr>
      <w:r w:rsidRPr="00E66383">
        <w:rPr>
          <w:color w:val="auto"/>
          <w:lang w:val="id-ID"/>
        </w:rPr>
        <w:t xml:space="preserve">3.1. </w:t>
      </w:r>
      <w:r w:rsidR="00A41E1F" w:rsidRPr="00E66383">
        <w:rPr>
          <w:color w:val="auto"/>
        </w:rPr>
        <w:t xml:space="preserve">The Effect of Comparison of </w:t>
      </w:r>
      <w:r w:rsidR="002D35EB" w:rsidRPr="00E66383">
        <w:rPr>
          <w:color w:val="auto"/>
          <w:lang w:val="id-ID"/>
        </w:rPr>
        <w:t xml:space="preserve">Jatropha curcas </w:t>
      </w:r>
      <w:r w:rsidR="00A41E1F" w:rsidRPr="00E66383">
        <w:rPr>
          <w:color w:val="auto"/>
        </w:rPr>
        <w:t xml:space="preserve">Oil Moles </w:t>
      </w:r>
      <w:r w:rsidR="007259D0" w:rsidRPr="00E66383">
        <w:rPr>
          <w:color w:val="auto"/>
          <w:lang w:val="id-ID"/>
        </w:rPr>
        <w:t xml:space="preserve">ratio </w:t>
      </w:r>
      <w:r w:rsidR="00A41E1F" w:rsidRPr="00E66383">
        <w:rPr>
          <w:color w:val="auto"/>
        </w:rPr>
        <w:t xml:space="preserve">with Methanol on Heterogeneous </w:t>
      </w:r>
      <w:r w:rsidR="00A41E1F" w:rsidRPr="00E66383">
        <w:rPr>
          <w:color w:val="auto"/>
          <w:lang w:val="id-ID"/>
        </w:rPr>
        <w:t>T</w:t>
      </w:r>
      <w:proofErr w:type="spellStart"/>
      <w:r w:rsidR="00A41E1F" w:rsidRPr="00E66383">
        <w:rPr>
          <w:color w:val="auto"/>
        </w:rPr>
        <w:t>ransesterification</w:t>
      </w:r>
      <w:proofErr w:type="spellEnd"/>
      <w:r w:rsidR="00A41E1F" w:rsidRPr="00E66383">
        <w:rPr>
          <w:color w:val="auto"/>
        </w:rPr>
        <w:t xml:space="preserve"> Process on Methyl Ester Yield</w:t>
      </w:r>
      <w:r w:rsidR="007259D0" w:rsidRPr="00E66383">
        <w:rPr>
          <w:color w:val="auto"/>
          <w:lang w:val="id-ID"/>
        </w:rPr>
        <w:t xml:space="preserve"> based on Reaction Temperature</w:t>
      </w:r>
    </w:p>
    <w:p w14:paraId="30ACD59F" w14:textId="0320B56B" w:rsidR="00CD7A96" w:rsidRPr="00E66383" w:rsidRDefault="00FD795F" w:rsidP="00CD7A96">
      <w:pPr>
        <w:pStyle w:val="subsection"/>
        <w:numPr>
          <w:ilvl w:val="0"/>
          <w:numId w:val="0"/>
        </w:numPr>
        <w:spacing w:before="0"/>
        <w:jc w:val="both"/>
        <w:rPr>
          <w:rFonts w:ascii="Times New Roman" w:hAnsi="Times New Roman"/>
          <w:i w:val="0"/>
          <w:iCs w:val="0"/>
          <w:color w:val="auto"/>
        </w:rPr>
      </w:pPr>
      <w:r w:rsidRPr="00E66383">
        <w:rPr>
          <w:rFonts w:ascii="Times New Roman" w:hAnsi="Times New Roman"/>
          <w:i w:val="0"/>
          <w:iCs w:val="0"/>
          <w:color w:val="auto"/>
          <w:lang w:val="id-ID"/>
        </w:rPr>
        <w:t>B</w:t>
      </w:r>
      <w:proofErr w:type="spellStart"/>
      <w:r w:rsidR="00CD7A96" w:rsidRPr="00E66383">
        <w:rPr>
          <w:rFonts w:ascii="Times New Roman" w:hAnsi="Times New Roman"/>
          <w:i w:val="0"/>
          <w:iCs w:val="0"/>
          <w:color w:val="auto"/>
        </w:rPr>
        <w:t>ased</w:t>
      </w:r>
      <w:proofErr w:type="spellEnd"/>
      <w:r w:rsidR="00CD7A96" w:rsidRPr="00E66383">
        <w:rPr>
          <w:rFonts w:ascii="Times New Roman" w:hAnsi="Times New Roman"/>
          <w:i w:val="0"/>
          <w:iCs w:val="0"/>
          <w:color w:val="auto"/>
        </w:rPr>
        <w:t xml:space="preserve"> on the effect of variations in the methanol</w:t>
      </w:r>
      <w:r w:rsidR="002D35EB" w:rsidRPr="00E66383">
        <w:rPr>
          <w:rFonts w:ascii="Times New Roman" w:hAnsi="Times New Roman"/>
          <w:i w:val="0"/>
          <w:iCs w:val="0"/>
          <w:color w:val="auto"/>
          <w:lang w:val="id-ID"/>
        </w:rPr>
        <w:t xml:space="preserve"> </w:t>
      </w:r>
      <w:r w:rsidR="00CD7A96" w:rsidRPr="00E66383">
        <w:rPr>
          <w:rFonts w:ascii="Times New Roman" w:hAnsi="Times New Roman"/>
          <w:i w:val="0"/>
          <w:iCs w:val="0"/>
          <w:color w:val="auto"/>
        </w:rPr>
        <w:t>:</w:t>
      </w:r>
      <w:r w:rsidR="002D35EB" w:rsidRPr="00E66383">
        <w:rPr>
          <w:rFonts w:ascii="Times New Roman" w:hAnsi="Times New Roman"/>
          <w:i w:val="0"/>
          <w:iCs w:val="0"/>
          <w:color w:val="auto"/>
          <w:lang w:val="id-ID"/>
        </w:rPr>
        <w:t xml:space="preserve"> </w:t>
      </w:r>
      <w:r w:rsidR="002D35EB" w:rsidRPr="00E66383">
        <w:rPr>
          <w:rFonts w:ascii="Times New Roman" w:hAnsi="Times New Roman"/>
          <w:color w:val="auto"/>
          <w:lang w:val="id-ID"/>
        </w:rPr>
        <w:t>Jatropha curcas</w:t>
      </w:r>
      <w:r w:rsidR="00CD7A96" w:rsidRPr="00E66383">
        <w:rPr>
          <w:rFonts w:ascii="Times New Roman" w:hAnsi="Times New Roman"/>
          <w:i w:val="0"/>
          <w:iCs w:val="0"/>
          <w:color w:val="auto"/>
        </w:rPr>
        <w:t xml:space="preserve"> oil mole ratio in the heterogeneous transesterification process, the highest yield was </w:t>
      </w:r>
      <w:r w:rsidR="00B947FF" w:rsidRPr="00E66383">
        <w:rPr>
          <w:rFonts w:ascii="Times New Roman" w:hAnsi="Times New Roman"/>
          <w:i w:val="0"/>
          <w:iCs w:val="0"/>
          <w:color w:val="auto"/>
          <w:lang w:val="id-ID"/>
        </w:rPr>
        <w:t>59.80</w:t>
      </w:r>
      <w:r w:rsidR="00CD7A96" w:rsidRPr="00E66383">
        <w:rPr>
          <w:rFonts w:ascii="Times New Roman" w:hAnsi="Times New Roman"/>
          <w:i w:val="0"/>
          <w:iCs w:val="0"/>
          <w:color w:val="auto"/>
        </w:rPr>
        <w:t xml:space="preserve">%. Based on these results, it explains that the mole ratio of methanol to </w:t>
      </w:r>
      <w:r w:rsidR="002D35EB" w:rsidRPr="00E66383">
        <w:rPr>
          <w:rFonts w:ascii="Times New Roman" w:hAnsi="Times New Roman"/>
          <w:color w:val="auto"/>
          <w:lang w:val="id-ID"/>
        </w:rPr>
        <w:t>Jatropha curcas</w:t>
      </w:r>
      <w:r w:rsidR="002D35EB" w:rsidRPr="00E66383">
        <w:rPr>
          <w:rFonts w:ascii="Times New Roman" w:hAnsi="Times New Roman"/>
          <w:i w:val="0"/>
          <w:iCs w:val="0"/>
          <w:color w:val="auto"/>
        </w:rPr>
        <w:t xml:space="preserve"> </w:t>
      </w:r>
      <w:r w:rsidR="00CD7A96" w:rsidRPr="00E66383">
        <w:rPr>
          <w:rFonts w:ascii="Times New Roman" w:hAnsi="Times New Roman"/>
          <w:i w:val="0"/>
          <w:iCs w:val="0"/>
          <w:color w:val="auto"/>
        </w:rPr>
        <w:t xml:space="preserve">oil has </w:t>
      </w:r>
      <w:r w:rsidR="0077251F" w:rsidRPr="00E66383">
        <w:rPr>
          <w:rFonts w:ascii="Times New Roman" w:hAnsi="Times New Roman"/>
          <w:i w:val="0"/>
          <w:iCs w:val="0"/>
          <w:color w:val="auto"/>
        </w:rPr>
        <w:t xml:space="preserve">a </w:t>
      </w:r>
      <w:r w:rsidR="00CD7A96" w:rsidRPr="00E66383">
        <w:rPr>
          <w:rFonts w:ascii="Times New Roman" w:hAnsi="Times New Roman"/>
          <w:i w:val="0"/>
          <w:iCs w:val="0"/>
          <w:color w:val="auto"/>
        </w:rPr>
        <w:t xml:space="preserve">large effect on the formation of methyl ester yield by taking the basis of the number of moles of castor oil is 1 mol, so the following </w:t>
      </w:r>
      <w:r w:rsidR="00CD7A96" w:rsidRPr="00E66383">
        <w:rPr>
          <w:rFonts w:ascii="Times New Roman" w:hAnsi="Times New Roman"/>
          <w:b/>
          <w:bCs/>
          <w:i w:val="0"/>
          <w:iCs w:val="0"/>
          <w:color w:val="auto"/>
          <w:lang w:val="id-ID"/>
        </w:rPr>
        <w:t>Figur 2</w:t>
      </w:r>
      <w:r w:rsidR="00CD7A96" w:rsidRPr="00E66383">
        <w:rPr>
          <w:rFonts w:ascii="Times New Roman" w:hAnsi="Times New Roman"/>
          <w:i w:val="0"/>
          <w:iCs w:val="0"/>
          <w:color w:val="auto"/>
        </w:rPr>
        <w:t xml:space="preserve"> is obtained:</w:t>
      </w:r>
    </w:p>
    <w:p w14:paraId="18DC7688" w14:textId="77777777" w:rsidR="00F00FDC" w:rsidRPr="00E66383" w:rsidRDefault="00F00FDC" w:rsidP="00CD7A96">
      <w:pPr>
        <w:pStyle w:val="subsection"/>
        <w:numPr>
          <w:ilvl w:val="0"/>
          <w:numId w:val="0"/>
        </w:numPr>
        <w:spacing w:before="0"/>
        <w:jc w:val="both"/>
        <w:rPr>
          <w:rFonts w:ascii="Times New Roman" w:hAnsi="Times New Roman"/>
          <w:i w:val="0"/>
          <w:iCs w:val="0"/>
          <w:color w:val="auto"/>
        </w:rPr>
      </w:pPr>
    </w:p>
    <w:tbl>
      <w:tblPr>
        <w:tblW w:w="8110" w:type="dxa"/>
        <w:jc w:val="center"/>
        <w:tblBorders>
          <w:top w:val="dashed" w:sz="4" w:space="0" w:color="000000"/>
          <w:left w:val="dashed" w:sz="4" w:space="0" w:color="000000"/>
          <w:bottom w:val="dashed" w:sz="4" w:space="0" w:color="000000"/>
          <w:right w:val="dashed" w:sz="4" w:space="0" w:color="000000"/>
          <w:insideH w:val="dashed" w:sz="4" w:space="0" w:color="000000"/>
        </w:tblBorders>
        <w:tblLayout w:type="fixed"/>
        <w:tblLook w:val="0000" w:firstRow="0" w:lastRow="0" w:firstColumn="0" w:lastColumn="0" w:noHBand="0" w:noVBand="0"/>
      </w:tblPr>
      <w:tblGrid>
        <w:gridCol w:w="8110"/>
      </w:tblGrid>
      <w:tr w:rsidR="00E66383" w:rsidRPr="00E66383" w14:paraId="7E8996B0" w14:textId="77777777" w:rsidTr="00F00FDC">
        <w:trPr>
          <w:trHeight w:val="4538"/>
          <w:jc w:val="center"/>
        </w:trPr>
        <w:tc>
          <w:tcPr>
            <w:tcW w:w="8110" w:type="dxa"/>
            <w:shd w:val="clear" w:color="auto" w:fill="auto"/>
          </w:tcPr>
          <w:p w14:paraId="025B2AE7" w14:textId="15B044E0" w:rsidR="00A140FD" w:rsidRPr="00E66383" w:rsidRDefault="00A140FD" w:rsidP="00D711B3">
            <w:pPr>
              <w:pBdr>
                <w:top w:val="nil"/>
                <w:left w:val="nil"/>
                <w:bottom w:val="nil"/>
                <w:right w:val="nil"/>
                <w:between w:val="nil"/>
              </w:pBdr>
              <w:tabs>
                <w:tab w:val="left" w:pos="567"/>
              </w:tabs>
              <w:jc w:val="both"/>
              <w:rPr>
                <w:rFonts w:ascii="Times New Roman" w:hAnsi="Times New Roman"/>
              </w:rPr>
            </w:pPr>
            <w:r w:rsidRPr="00E66383">
              <w:rPr>
                <w:noProof/>
              </w:rPr>
              <w:drawing>
                <wp:inline distT="0" distB="0" distL="0" distR="0" wp14:anchorId="09F67A10" wp14:editId="1CD70B90">
                  <wp:extent cx="5022574" cy="2849217"/>
                  <wp:effectExtent l="0" t="0" r="6985" b="8890"/>
                  <wp:docPr id="3" name="Chart 3">
                    <a:extLst xmlns:a="http://schemas.openxmlformats.org/drawingml/2006/main">
                      <a:ext uri="{FF2B5EF4-FFF2-40B4-BE49-F238E27FC236}">
                        <a16:creationId xmlns:a16="http://schemas.microsoft.com/office/drawing/2014/main" id="{05F05CCE-1ED8-4A2A-9A5C-755BD7B24166}"/>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E66383" w:rsidRPr="00E66383" w14:paraId="27202272" w14:textId="77777777" w:rsidTr="00F00FDC">
        <w:trPr>
          <w:trHeight w:val="831"/>
          <w:jc w:val="center"/>
        </w:trPr>
        <w:tc>
          <w:tcPr>
            <w:tcW w:w="8110" w:type="dxa"/>
            <w:shd w:val="clear" w:color="auto" w:fill="auto"/>
          </w:tcPr>
          <w:p w14:paraId="7F66D5AC" w14:textId="2D431B55" w:rsidR="00A140FD" w:rsidRPr="00E66383" w:rsidRDefault="00F00FDC" w:rsidP="00D711B3">
            <w:pPr>
              <w:pBdr>
                <w:top w:val="nil"/>
                <w:left w:val="nil"/>
                <w:bottom w:val="nil"/>
                <w:right w:val="nil"/>
                <w:between w:val="nil"/>
              </w:pBdr>
              <w:spacing w:before="120"/>
              <w:ind w:left="28" w:hanging="28"/>
              <w:jc w:val="both"/>
              <w:rPr>
                <w:rFonts w:ascii="Times New Roman" w:hAnsi="Times New Roman"/>
                <w:lang w:val="id-ID"/>
              </w:rPr>
            </w:pPr>
            <w:r w:rsidRPr="00E66383">
              <w:rPr>
                <w:rFonts w:ascii="Times New Roman" w:hAnsi="Times New Roman"/>
                <w:b/>
                <w:bCs/>
                <w:lang w:val="id-ID"/>
              </w:rPr>
              <w:t>Figure 2.</w:t>
            </w:r>
            <w:r w:rsidRPr="00E66383">
              <w:rPr>
                <w:rFonts w:ascii="Times New Roman" w:hAnsi="Times New Roman"/>
                <w:lang w:val="id-ID"/>
              </w:rPr>
              <w:t xml:space="preserve"> T</w:t>
            </w:r>
            <w:r w:rsidRPr="00E66383">
              <w:rPr>
                <w:rFonts w:ascii="Times New Roman" w:hAnsi="Times New Roman"/>
              </w:rPr>
              <w:t xml:space="preserve">he </w:t>
            </w:r>
            <w:r w:rsidRPr="00E66383">
              <w:rPr>
                <w:rFonts w:ascii="Times New Roman" w:hAnsi="Times New Roman"/>
                <w:lang w:val="id-ID"/>
              </w:rPr>
              <w:t>r</w:t>
            </w:r>
            <w:proofErr w:type="spellStart"/>
            <w:r w:rsidRPr="00E66383">
              <w:rPr>
                <w:rFonts w:ascii="Times New Roman" w:hAnsi="Times New Roman"/>
              </w:rPr>
              <w:t>elationship</w:t>
            </w:r>
            <w:proofErr w:type="spellEnd"/>
            <w:r w:rsidRPr="00E66383">
              <w:rPr>
                <w:rFonts w:ascii="Times New Roman" w:hAnsi="Times New Roman"/>
              </w:rPr>
              <w:t xml:space="preserve"> </w:t>
            </w:r>
            <w:r w:rsidRPr="00E66383">
              <w:rPr>
                <w:rFonts w:ascii="Times New Roman" w:hAnsi="Times New Roman"/>
                <w:lang w:val="id-ID"/>
              </w:rPr>
              <w:t>b</w:t>
            </w:r>
            <w:proofErr w:type="spellStart"/>
            <w:r w:rsidRPr="00E66383">
              <w:rPr>
                <w:rFonts w:ascii="Times New Roman" w:hAnsi="Times New Roman"/>
              </w:rPr>
              <w:t>etween</w:t>
            </w:r>
            <w:proofErr w:type="spellEnd"/>
            <w:r w:rsidRPr="00E66383">
              <w:rPr>
                <w:rFonts w:ascii="Times New Roman" w:hAnsi="Times New Roman"/>
              </w:rPr>
              <w:t xml:space="preserve"> </w:t>
            </w:r>
            <w:r w:rsidRPr="00E66383">
              <w:rPr>
                <w:rFonts w:ascii="Times New Roman" w:hAnsi="Times New Roman"/>
                <w:lang w:val="id-ID"/>
              </w:rPr>
              <w:t>m</w:t>
            </w:r>
            <w:r w:rsidRPr="00E66383">
              <w:rPr>
                <w:rFonts w:ascii="Times New Roman" w:hAnsi="Times New Roman"/>
              </w:rPr>
              <w:t>ethanol-</w:t>
            </w:r>
            <w:r w:rsidRPr="00E66383">
              <w:rPr>
                <w:rFonts w:ascii="Times New Roman" w:hAnsi="Times New Roman"/>
                <w:lang w:val="id-ID"/>
              </w:rPr>
              <w:t>Jatropha curcas o</w:t>
            </w:r>
            <w:r w:rsidRPr="00E66383">
              <w:rPr>
                <w:rFonts w:ascii="Times New Roman" w:hAnsi="Times New Roman"/>
              </w:rPr>
              <w:t xml:space="preserve">il </w:t>
            </w:r>
            <w:r w:rsidRPr="00E66383">
              <w:rPr>
                <w:rFonts w:ascii="Times New Roman" w:hAnsi="Times New Roman"/>
                <w:lang w:val="id-ID"/>
              </w:rPr>
              <w:t>m</w:t>
            </w:r>
            <w:proofErr w:type="spellStart"/>
            <w:r w:rsidRPr="00E66383">
              <w:rPr>
                <w:rFonts w:ascii="Times New Roman" w:hAnsi="Times New Roman"/>
              </w:rPr>
              <w:t>olar</w:t>
            </w:r>
            <w:proofErr w:type="spellEnd"/>
            <w:r w:rsidRPr="00E66383">
              <w:rPr>
                <w:rFonts w:ascii="Times New Roman" w:hAnsi="Times New Roman"/>
              </w:rPr>
              <w:t xml:space="preserve"> </w:t>
            </w:r>
            <w:r w:rsidRPr="00E66383">
              <w:rPr>
                <w:rFonts w:ascii="Times New Roman" w:hAnsi="Times New Roman"/>
                <w:lang w:val="id-ID"/>
              </w:rPr>
              <w:t>r</w:t>
            </w:r>
            <w:proofErr w:type="spellStart"/>
            <w:r w:rsidRPr="00E66383">
              <w:rPr>
                <w:rFonts w:ascii="Times New Roman" w:hAnsi="Times New Roman"/>
              </w:rPr>
              <w:t>atio</w:t>
            </w:r>
            <w:proofErr w:type="spellEnd"/>
            <w:r w:rsidRPr="00E66383">
              <w:rPr>
                <w:rFonts w:ascii="Times New Roman" w:hAnsi="Times New Roman"/>
                <w:lang w:val="id-ID"/>
              </w:rPr>
              <w:t xml:space="preserve"> based on variations in reaction temperature</w:t>
            </w:r>
          </w:p>
        </w:tc>
      </w:tr>
    </w:tbl>
    <w:p w14:paraId="589EABC3" w14:textId="77777777" w:rsidR="00861F60" w:rsidRDefault="00F00FDC" w:rsidP="00805322">
      <w:pPr>
        <w:pStyle w:val="subsection"/>
        <w:numPr>
          <w:ilvl w:val="0"/>
          <w:numId w:val="0"/>
        </w:numPr>
        <w:tabs>
          <w:tab w:val="left" w:pos="284"/>
        </w:tabs>
        <w:spacing w:before="0"/>
        <w:jc w:val="both"/>
        <w:rPr>
          <w:rFonts w:ascii="Times New Roman" w:hAnsi="Times New Roman"/>
          <w:i w:val="0"/>
          <w:iCs w:val="0"/>
          <w:color w:val="auto"/>
        </w:rPr>
      </w:pPr>
      <w:r w:rsidRPr="00E66383">
        <w:rPr>
          <w:rFonts w:ascii="Times New Roman" w:hAnsi="Times New Roman"/>
          <w:i w:val="0"/>
          <w:iCs w:val="0"/>
          <w:color w:val="auto"/>
        </w:rPr>
        <w:tab/>
      </w:r>
    </w:p>
    <w:p w14:paraId="2C8F5469" w14:textId="3A2754FD" w:rsidR="00805322" w:rsidRPr="00A96484" w:rsidRDefault="00861F60" w:rsidP="00805322">
      <w:pPr>
        <w:pStyle w:val="subsection"/>
        <w:numPr>
          <w:ilvl w:val="0"/>
          <w:numId w:val="0"/>
        </w:numPr>
        <w:tabs>
          <w:tab w:val="left" w:pos="284"/>
        </w:tabs>
        <w:spacing w:before="0"/>
        <w:jc w:val="both"/>
        <w:rPr>
          <w:rFonts w:ascii="Times New Roman" w:hAnsi="Times New Roman"/>
          <w:i w:val="0"/>
          <w:iCs w:val="0"/>
          <w:color w:val="FF0000"/>
          <w:lang w:val="id-ID"/>
        </w:rPr>
      </w:pPr>
      <w:r>
        <w:rPr>
          <w:rFonts w:ascii="Times New Roman" w:hAnsi="Times New Roman"/>
          <w:i w:val="0"/>
          <w:iCs w:val="0"/>
          <w:color w:val="auto"/>
        </w:rPr>
        <w:tab/>
      </w:r>
      <w:r w:rsidR="00460400" w:rsidRPr="00E66383">
        <w:rPr>
          <w:rFonts w:ascii="Times New Roman" w:hAnsi="Times New Roman"/>
          <w:i w:val="0"/>
          <w:iCs w:val="0"/>
          <w:color w:val="auto"/>
        </w:rPr>
        <w:t xml:space="preserve">In this study, the use of 12:1 mole between methanol and castor oil resulted in a yield of 0.07%, incomplete conversion of methyl ester was due to inadequate methanol concentration to shift the equilibrium reaction towards the formation of methyl ester products. The </w:t>
      </w:r>
      <w:r w:rsidR="0077251F" w:rsidRPr="00E66383">
        <w:rPr>
          <w:rFonts w:ascii="Times New Roman" w:hAnsi="Times New Roman"/>
          <w:i w:val="0"/>
          <w:iCs w:val="0"/>
          <w:color w:val="auto"/>
        </w:rPr>
        <w:t>most significan</w:t>
      </w:r>
      <w:r w:rsidR="00460400" w:rsidRPr="00E66383">
        <w:rPr>
          <w:rFonts w:ascii="Times New Roman" w:hAnsi="Times New Roman"/>
          <w:i w:val="0"/>
          <w:iCs w:val="0"/>
          <w:color w:val="auto"/>
        </w:rPr>
        <w:t xml:space="preserve">t yield is obtained using a 15:1 mole ratio of methanol to castor oil, which is </w:t>
      </w:r>
      <w:r w:rsidR="00B63FB9" w:rsidRPr="00E66383">
        <w:rPr>
          <w:rFonts w:ascii="Times New Roman" w:hAnsi="Times New Roman"/>
          <w:i w:val="0"/>
          <w:iCs w:val="0"/>
          <w:color w:val="auto"/>
          <w:lang w:val="id-ID"/>
        </w:rPr>
        <w:t>59.80</w:t>
      </w:r>
      <w:r w:rsidR="00460400" w:rsidRPr="00E66383">
        <w:rPr>
          <w:rFonts w:ascii="Times New Roman" w:hAnsi="Times New Roman"/>
          <w:i w:val="0"/>
          <w:iCs w:val="0"/>
          <w:color w:val="auto"/>
        </w:rPr>
        <w:t xml:space="preserve">%. The ratio of alcohol to </w:t>
      </w:r>
      <w:r w:rsidR="00460400" w:rsidRPr="00E66383">
        <w:rPr>
          <w:rFonts w:ascii="Times New Roman" w:hAnsi="Times New Roman"/>
          <w:i w:val="0"/>
          <w:iCs w:val="0"/>
          <w:color w:val="auto"/>
        </w:rPr>
        <w:lastRenderedPageBreak/>
        <w:t xml:space="preserve">fatty acids is 15:1, according to </w:t>
      </w:r>
      <w:r w:rsidR="006C30BE" w:rsidRPr="00E66383">
        <w:rPr>
          <w:rFonts w:ascii="Times New Roman" w:hAnsi="Times New Roman"/>
          <w:i w:val="0"/>
          <w:iCs w:val="0"/>
          <w:color w:val="auto"/>
          <w:lang w:val="id-ID"/>
        </w:rPr>
        <w:t xml:space="preserve">previous </w:t>
      </w:r>
      <w:r w:rsidR="00460400" w:rsidRPr="00E66383">
        <w:rPr>
          <w:rFonts w:ascii="Times New Roman" w:hAnsi="Times New Roman"/>
          <w:i w:val="0"/>
          <w:iCs w:val="0"/>
          <w:color w:val="auto"/>
        </w:rPr>
        <w:t>the report</w:t>
      </w:r>
      <w:r w:rsidR="006C30BE" w:rsidRPr="00E66383">
        <w:rPr>
          <w:rFonts w:ascii="Times New Roman" w:hAnsi="Times New Roman"/>
          <w:i w:val="0"/>
          <w:iCs w:val="0"/>
          <w:color w:val="auto"/>
          <w:lang w:val="id-ID"/>
        </w:rPr>
        <w:t xml:space="preserve">, </w:t>
      </w:r>
      <w:r w:rsidR="00460400" w:rsidRPr="00E66383">
        <w:rPr>
          <w:rFonts w:ascii="Times New Roman" w:hAnsi="Times New Roman"/>
          <w:i w:val="0"/>
          <w:iCs w:val="0"/>
          <w:color w:val="auto"/>
        </w:rPr>
        <w:t xml:space="preserve">which states that this ratio is the optimum molar ratio of methyl ester synthesis with </w:t>
      </w:r>
      <w:r w:rsidR="0077251F" w:rsidRPr="00E66383">
        <w:rPr>
          <w:rFonts w:ascii="Times New Roman" w:hAnsi="Times New Roman"/>
          <w:i w:val="0"/>
          <w:iCs w:val="0"/>
          <w:color w:val="auto"/>
        </w:rPr>
        <w:t>heterogeneous acid</w:t>
      </w:r>
      <w:r w:rsidR="00460400" w:rsidRPr="00E66383">
        <w:rPr>
          <w:rFonts w:ascii="Times New Roman" w:hAnsi="Times New Roman"/>
          <w:i w:val="0"/>
          <w:iCs w:val="0"/>
          <w:color w:val="auto"/>
        </w:rPr>
        <w:t xml:space="preserve"> catalysts</w:t>
      </w:r>
      <w:r w:rsidR="006C30BE" w:rsidRPr="00E66383">
        <w:rPr>
          <w:rFonts w:ascii="Times New Roman" w:hAnsi="Times New Roman"/>
          <w:i w:val="0"/>
          <w:iCs w:val="0"/>
          <w:color w:val="auto"/>
          <w:lang w:val="id-ID"/>
        </w:rPr>
        <w:t xml:space="preserve"> </w:t>
      </w:r>
      <w:r w:rsidR="00D821EA" w:rsidRPr="00E66383">
        <w:rPr>
          <w:rFonts w:ascii="Times New Roman" w:hAnsi="Times New Roman"/>
          <w:i w:val="0"/>
          <w:iCs w:val="0"/>
          <w:color w:val="auto"/>
          <w:lang w:val="id-ID"/>
        </w:rPr>
        <w:fldChar w:fldCharType="begin"/>
      </w:r>
      <w:r w:rsidR="00D821EA" w:rsidRPr="00E66383">
        <w:rPr>
          <w:rFonts w:ascii="Times New Roman" w:hAnsi="Times New Roman"/>
          <w:i w:val="0"/>
          <w:iCs w:val="0"/>
          <w:color w:val="auto"/>
          <w:lang w:val="id-ID"/>
        </w:rPr>
        <w:instrText xml:space="preserve"> REF _Ref48462324 \r \h </w:instrText>
      </w:r>
      <w:r w:rsidR="00D821EA" w:rsidRPr="00E66383">
        <w:rPr>
          <w:rFonts w:ascii="Times New Roman" w:hAnsi="Times New Roman"/>
          <w:i w:val="0"/>
          <w:iCs w:val="0"/>
          <w:color w:val="auto"/>
          <w:lang w:val="id-ID"/>
        </w:rPr>
      </w:r>
      <w:r w:rsidR="00D821EA" w:rsidRPr="00E66383">
        <w:rPr>
          <w:rFonts w:ascii="Times New Roman" w:hAnsi="Times New Roman"/>
          <w:i w:val="0"/>
          <w:iCs w:val="0"/>
          <w:color w:val="auto"/>
          <w:lang w:val="id-ID"/>
        </w:rPr>
        <w:fldChar w:fldCharType="separate"/>
      </w:r>
      <w:r w:rsidR="00D821EA" w:rsidRPr="00E66383">
        <w:rPr>
          <w:rFonts w:ascii="Times New Roman" w:hAnsi="Times New Roman"/>
          <w:i w:val="0"/>
          <w:iCs w:val="0"/>
          <w:color w:val="auto"/>
          <w:lang w:val="id-ID"/>
        </w:rPr>
        <w:t>[</w:t>
      </w:r>
      <w:r w:rsidR="00AE51D3">
        <w:rPr>
          <w:rFonts w:ascii="Times New Roman" w:hAnsi="Times New Roman"/>
          <w:i w:val="0"/>
          <w:iCs w:val="0"/>
          <w:color w:val="auto"/>
          <w:lang w:val="id-ID"/>
        </w:rPr>
        <w:t>6</w:t>
      </w:r>
      <w:r w:rsidR="00D821EA" w:rsidRPr="00E66383">
        <w:rPr>
          <w:rFonts w:ascii="Times New Roman" w:hAnsi="Times New Roman"/>
          <w:i w:val="0"/>
          <w:iCs w:val="0"/>
          <w:color w:val="auto"/>
          <w:lang w:val="id-ID"/>
        </w:rPr>
        <w:t>]</w:t>
      </w:r>
      <w:r w:rsidR="00D821EA" w:rsidRPr="00E66383">
        <w:rPr>
          <w:rFonts w:ascii="Times New Roman" w:hAnsi="Times New Roman"/>
          <w:i w:val="0"/>
          <w:iCs w:val="0"/>
          <w:color w:val="auto"/>
          <w:lang w:val="id-ID"/>
        </w:rPr>
        <w:fldChar w:fldCharType="end"/>
      </w:r>
      <w:r w:rsidR="00FD795F" w:rsidRPr="00E66383">
        <w:rPr>
          <w:rFonts w:ascii="Times New Roman" w:hAnsi="Times New Roman"/>
          <w:i w:val="0"/>
          <w:iCs w:val="0"/>
          <w:color w:val="auto"/>
          <w:lang w:val="id-ID"/>
        </w:rPr>
        <w:t>.</w:t>
      </w:r>
      <w:r w:rsidR="00460400" w:rsidRPr="00E66383">
        <w:rPr>
          <w:rFonts w:ascii="Times New Roman" w:hAnsi="Times New Roman"/>
          <w:i w:val="0"/>
          <w:iCs w:val="0"/>
          <w:color w:val="auto"/>
        </w:rPr>
        <w:t xml:space="preserve"> From this </w:t>
      </w:r>
      <w:r w:rsidR="00FD795F" w:rsidRPr="00E66383">
        <w:rPr>
          <w:rFonts w:ascii="Times New Roman" w:hAnsi="Times New Roman"/>
          <w:i w:val="0"/>
          <w:iCs w:val="0"/>
          <w:color w:val="auto"/>
          <w:lang w:val="id-ID"/>
        </w:rPr>
        <w:t>result</w:t>
      </w:r>
      <w:r w:rsidR="0077251F" w:rsidRPr="00E66383">
        <w:rPr>
          <w:rFonts w:ascii="Times New Roman" w:hAnsi="Times New Roman"/>
          <w:i w:val="0"/>
          <w:iCs w:val="0"/>
          <w:color w:val="auto"/>
          <w:lang w:val="id-ID"/>
        </w:rPr>
        <w:t>,</w:t>
      </w:r>
      <w:r w:rsidR="00460400" w:rsidRPr="00E66383">
        <w:rPr>
          <w:rFonts w:ascii="Times New Roman" w:hAnsi="Times New Roman"/>
          <w:i w:val="0"/>
          <w:iCs w:val="0"/>
          <w:color w:val="auto"/>
        </w:rPr>
        <w:t xml:space="preserve"> it can be predicted that the magnitude of the mole ratio used in the heterogeneous transesterification reaction is caused by the collision</w:t>
      </w:r>
      <w:r w:rsidR="00FD795F" w:rsidRPr="00E66383">
        <w:rPr>
          <w:rFonts w:ascii="Times New Roman" w:hAnsi="Times New Roman"/>
          <w:i w:val="0"/>
          <w:iCs w:val="0"/>
          <w:color w:val="auto"/>
          <w:lang w:val="id-ID"/>
        </w:rPr>
        <w:t xml:space="preserve">. </w:t>
      </w:r>
      <w:r w:rsidR="00460400" w:rsidRPr="00E66383">
        <w:rPr>
          <w:rFonts w:ascii="Times New Roman" w:hAnsi="Times New Roman"/>
          <w:i w:val="0"/>
          <w:iCs w:val="0"/>
          <w:color w:val="auto"/>
        </w:rPr>
        <w:t xml:space="preserve">The collision of methanol against </w:t>
      </w:r>
      <w:proofErr w:type="spellStart"/>
      <w:r w:rsidR="00460400" w:rsidRPr="00E66383">
        <w:rPr>
          <w:rFonts w:ascii="Times New Roman" w:hAnsi="Times New Roman"/>
          <w:i w:val="0"/>
          <w:iCs w:val="0"/>
          <w:color w:val="auto"/>
        </w:rPr>
        <w:t>NiO</w:t>
      </w:r>
      <w:proofErr w:type="spellEnd"/>
      <w:r w:rsidR="00460400" w:rsidRPr="00E66383">
        <w:rPr>
          <w:rFonts w:ascii="Times New Roman" w:hAnsi="Times New Roman"/>
          <w:i w:val="0"/>
          <w:iCs w:val="0"/>
          <w:color w:val="auto"/>
        </w:rPr>
        <w:t xml:space="preserve"> is used and reacts with the triglycerides in the sample so that it requires a lot of methanol to react optimally. Meanwhile, the use of an 18:1 mole ratio between methanol and castor oil resulted in a yield of 9,077%, the conversion of methyl ester was not maximum and decreased due to the use of a large enough mole ratio so that the catalyst content decreased in line with the increase in methanol content. Besides that, alcohol is a particle that is sensitive to water</w:t>
      </w:r>
      <w:r w:rsidR="006C30BE" w:rsidRPr="00E66383">
        <w:rPr>
          <w:rFonts w:ascii="Times New Roman" w:hAnsi="Times New Roman"/>
          <w:i w:val="0"/>
          <w:iCs w:val="0"/>
          <w:color w:val="auto"/>
          <w:lang w:val="id-ID"/>
        </w:rPr>
        <w:t xml:space="preserve"> </w:t>
      </w:r>
      <w:r w:rsidR="00D821EA" w:rsidRPr="00E66383">
        <w:rPr>
          <w:rFonts w:ascii="Times New Roman" w:hAnsi="Times New Roman"/>
          <w:i w:val="0"/>
          <w:iCs w:val="0"/>
          <w:color w:val="auto"/>
          <w:lang w:val="id-ID"/>
        </w:rPr>
        <w:fldChar w:fldCharType="begin"/>
      </w:r>
      <w:r w:rsidR="00D821EA" w:rsidRPr="00E66383">
        <w:rPr>
          <w:rFonts w:ascii="Times New Roman" w:hAnsi="Times New Roman"/>
          <w:i w:val="0"/>
          <w:iCs w:val="0"/>
          <w:color w:val="auto"/>
          <w:lang w:val="id-ID"/>
        </w:rPr>
        <w:instrText xml:space="preserve"> REF _Ref48462350 \r \h </w:instrText>
      </w:r>
      <w:r w:rsidR="00D821EA" w:rsidRPr="00E66383">
        <w:rPr>
          <w:rFonts w:ascii="Times New Roman" w:hAnsi="Times New Roman"/>
          <w:i w:val="0"/>
          <w:iCs w:val="0"/>
          <w:color w:val="auto"/>
          <w:lang w:val="id-ID"/>
        </w:rPr>
      </w:r>
      <w:r w:rsidR="00D821EA" w:rsidRPr="00E66383">
        <w:rPr>
          <w:rFonts w:ascii="Times New Roman" w:hAnsi="Times New Roman"/>
          <w:i w:val="0"/>
          <w:iCs w:val="0"/>
          <w:color w:val="auto"/>
          <w:lang w:val="id-ID"/>
        </w:rPr>
        <w:fldChar w:fldCharType="separate"/>
      </w:r>
      <w:r w:rsidR="00D821EA" w:rsidRPr="00E66383">
        <w:rPr>
          <w:rFonts w:ascii="Times New Roman" w:hAnsi="Times New Roman"/>
          <w:i w:val="0"/>
          <w:iCs w:val="0"/>
          <w:color w:val="auto"/>
          <w:lang w:val="id-ID"/>
        </w:rPr>
        <w:t>[</w:t>
      </w:r>
      <w:r w:rsidR="00AE51D3">
        <w:rPr>
          <w:rFonts w:ascii="Times New Roman" w:hAnsi="Times New Roman"/>
          <w:i w:val="0"/>
          <w:iCs w:val="0"/>
          <w:color w:val="auto"/>
          <w:lang w:val="id-ID"/>
        </w:rPr>
        <w:t>7</w:t>
      </w:r>
      <w:r w:rsidR="00D821EA" w:rsidRPr="00E66383">
        <w:rPr>
          <w:rFonts w:ascii="Times New Roman" w:hAnsi="Times New Roman"/>
          <w:i w:val="0"/>
          <w:iCs w:val="0"/>
          <w:color w:val="auto"/>
          <w:lang w:val="id-ID"/>
        </w:rPr>
        <w:t>]</w:t>
      </w:r>
      <w:r w:rsidR="00D821EA" w:rsidRPr="00E66383">
        <w:rPr>
          <w:rFonts w:ascii="Times New Roman" w:hAnsi="Times New Roman"/>
          <w:i w:val="0"/>
          <w:iCs w:val="0"/>
          <w:color w:val="auto"/>
          <w:lang w:val="id-ID"/>
        </w:rPr>
        <w:fldChar w:fldCharType="end"/>
      </w:r>
      <w:r w:rsidR="0077251F" w:rsidRPr="00E66383">
        <w:rPr>
          <w:rFonts w:ascii="Times New Roman" w:hAnsi="Times New Roman"/>
          <w:i w:val="0"/>
          <w:iCs w:val="0"/>
          <w:color w:val="auto"/>
        </w:rPr>
        <w:t>.</w:t>
      </w:r>
      <w:r w:rsidR="0077251F" w:rsidRPr="00E66383">
        <w:rPr>
          <w:rFonts w:ascii="Times New Roman" w:hAnsi="Times New Roman"/>
          <w:i w:val="0"/>
          <w:iCs w:val="0"/>
          <w:color w:val="auto"/>
          <w:lang w:val="id-ID"/>
        </w:rPr>
        <w:t xml:space="preserve"> </w:t>
      </w:r>
      <w:r w:rsidR="00805322" w:rsidRPr="00A96484">
        <w:rPr>
          <w:rFonts w:ascii="Times New Roman" w:hAnsi="Times New Roman"/>
          <w:i w:val="0"/>
          <w:iCs w:val="0"/>
          <w:color w:val="auto"/>
          <w:lang w:val="id-ID"/>
        </w:rPr>
        <w:t xml:space="preserve">In </w:t>
      </w:r>
      <w:r w:rsidR="00805322" w:rsidRPr="00A96484">
        <w:rPr>
          <w:rFonts w:ascii="Times New Roman" w:hAnsi="Times New Roman"/>
          <w:i w:val="0"/>
          <w:iCs w:val="0"/>
          <w:color w:val="auto"/>
          <w:lang w:val="id-ID"/>
        </w:rPr>
        <w:t xml:space="preserve">a </w:t>
      </w:r>
      <w:r w:rsidR="00A96484">
        <w:rPr>
          <w:rFonts w:ascii="Times New Roman" w:hAnsi="Times New Roman"/>
          <w:i w:val="0"/>
          <w:iCs w:val="0"/>
          <w:color w:val="auto"/>
          <w:lang w:val="id-ID"/>
        </w:rPr>
        <w:t xml:space="preserve">previous </w:t>
      </w:r>
      <w:r w:rsidR="00805322" w:rsidRPr="00A96484">
        <w:rPr>
          <w:rFonts w:ascii="Times New Roman" w:hAnsi="Times New Roman"/>
          <w:i w:val="0"/>
          <w:iCs w:val="0"/>
          <w:color w:val="auto"/>
          <w:lang w:val="id-ID"/>
        </w:rPr>
        <w:t xml:space="preserve">study by </w:t>
      </w:r>
      <w:r w:rsidR="00A96484" w:rsidRPr="00A96484">
        <w:rPr>
          <w:rFonts w:ascii="Times New Roman" w:hAnsi="Times New Roman"/>
          <w:i w:val="0"/>
          <w:iCs w:val="0"/>
          <w:color w:val="auto"/>
          <w:lang w:val="id-ID"/>
        </w:rPr>
        <w:t>[</w:t>
      </w:r>
      <w:r w:rsidR="00AE51D3">
        <w:rPr>
          <w:rFonts w:ascii="Times New Roman" w:hAnsi="Times New Roman"/>
          <w:i w:val="0"/>
          <w:iCs w:val="0"/>
          <w:color w:val="auto"/>
          <w:lang w:val="id-ID"/>
        </w:rPr>
        <w:t>8</w:t>
      </w:r>
      <w:r w:rsidR="00A96484" w:rsidRPr="00A96484">
        <w:rPr>
          <w:rFonts w:ascii="Times New Roman" w:hAnsi="Times New Roman"/>
          <w:i w:val="0"/>
          <w:iCs w:val="0"/>
          <w:color w:val="auto"/>
          <w:lang w:val="id-ID"/>
        </w:rPr>
        <w:t xml:space="preserve">] </w:t>
      </w:r>
      <w:r w:rsidR="00805322" w:rsidRPr="00A96484">
        <w:rPr>
          <w:rFonts w:ascii="Times New Roman" w:hAnsi="Times New Roman"/>
          <w:i w:val="0"/>
          <w:iCs w:val="0"/>
          <w:color w:val="auto"/>
          <w:lang w:val="id-ID"/>
        </w:rPr>
        <w:t>Kim et al. (2013) regarding the hydrotreatment of soybean oil to produce renewable diesel fuel using a Ni catalyst, it shows that the Ni catalyst can produce liquid products n-C</w:t>
      </w:r>
      <w:r w:rsidR="00805322" w:rsidRPr="00A96484">
        <w:rPr>
          <w:rFonts w:ascii="Times New Roman" w:hAnsi="Times New Roman"/>
          <w:i w:val="0"/>
          <w:iCs w:val="0"/>
          <w:color w:val="auto"/>
          <w:vertAlign w:val="subscript"/>
          <w:lang w:val="id-ID"/>
        </w:rPr>
        <w:t>17</w:t>
      </w:r>
      <w:r w:rsidR="00805322" w:rsidRPr="00A96484">
        <w:rPr>
          <w:rFonts w:ascii="Times New Roman" w:hAnsi="Times New Roman"/>
          <w:i w:val="0"/>
          <w:iCs w:val="0"/>
          <w:color w:val="auto"/>
          <w:lang w:val="id-ID"/>
        </w:rPr>
        <w:t>/(n-C</w:t>
      </w:r>
      <w:r w:rsidR="00805322" w:rsidRPr="00A96484">
        <w:rPr>
          <w:rFonts w:ascii="Times New Roman" w:hAnsi="Times New Roman"/>
          <w:i w:val="0"/>
          <w:iCs w:val="0"/>
          <w:color w:val="auto"/>
          <w:vertAlign w:val="subscript"/>
          <w:lang w:val="id-ID"/>
        </w:rPr>
        <w:t>17</w:t>
      </w:r>
      <w:r w:rsidR="00805322" w:rsidRPr="00A96484">
        <w:rPr>
          <w:rFonts w:ascii="Times New Roman" w:hAnsi="Times New Roman"/>
          <w:i w:val="0"/>
          <w:iCs w:val="0"/>
          <w:color w:val="auto"/>
          <w:lang w:val="id-ID"/>
        </w:rPr>
        <w:t xml:space="preserve"> + n-C</w:t>
      </w:r>
      <w:r w:rsidR="00805322" w:rsidRPr="00A96484">
        <w:rPr>
          <w:rFonts w:ascii="Times New Roman" w:hAnsi="Times New Roman"/>
          <w:i w:val="0"/>
          <w:iCs w:val="0"/>
          <w:color w:val="auto"/>
          <w:vertAlign w:val="subscript"/>
          <w:lang w:val="id-ID"/>
        </w:rPr>
        <w:t>18</w:t>
      </w:r>
      <w:r w:rsidR="00805322" w:rsidRPr="00A96484">
        <w:rPr>
          <w:rFonts w:ascii="Times New Roman" w:hAnsi="Times New Roman"/>
          <w:i w:val="0"/>
          <w:iCs w:val="0"/>
          <w:color w:val="auto"/>
          <w:lang w:val="id-ID"/>
        </w:rPr>
        <w:t xml:space="preserve">) = 0.93-0.96, which indicates that most of the triglycerides are deoxygenated by decarboxylation and/or decarbonylation. When Ni catalyst is used, both the conversion value and the diesel yield increase with the increase in reaction temperature with a maximum temperature of 400°C, mainly due to endothermic decarboxylation and decarbonylation reactions </w:t>
      </w:r>
      <w:r w:rsidR="00A96484" w:rsidRPr="00A96484">
        <w:rPr>
          <w:rFonts w:ascii="Times New Roman" w:hAnsi="Times New Roman"/>
          <w:i w:val="0"/>
          <w:iCs w:val="0"/>
          <w:color w:val="auto"/>
          <w:lang w:val="id-ID"/>
        </w:rPr>
        <w:t>[9]</w:t>
      </w:r>
      <w:r w:rsidR="00805322" w:rsidRPr="00A96484">
        <w:rPr>
          <w:rFonts w:ascii="Times New Roman" w:hAnsi="Times New Roman"/>
          <w:i w:val="0"/>
          <w:iCs w:val="0"/>
          <w:color w:val="auto"/>
          <w:lang w:val="id-ID"/>
        </w:rPr>
        <w:t>.</w:t>
      </w:r>
      <w:r w:rsidR="00A96484" w:rsidRPr="00A96484">
        <w:rPr>
          <w:rFonts w:ascii="Times New Roman" w:hAnsi="Times New Roman"/>
          <w:i w:val="0"/>
          <w:iCs w:val="0"/>
          <w:color w:val="auto"/>
          <w:lang w:val="id-ID"/>
        </w:rPr>
        <w:t xml:space="preserve"> </w:t>
      </w:r>
      <w:r w:rsidR="00805322" w:rsidRPr="00A96484">
        <w:rPr>
          <w:rFonts w:ascii="Times New Roman" w:hAnsi="Times New Roman"/>
          <w:i w:val="0"/>
          <w:iCs w:val="0"/>
          <w:color w:val="auto"/>
          <w:lang w:val="id-ID"/>
        </w:rPr>
        <w:t xml:space="preserve">The high decarboxylation and decarbonylation values in using a Ni catalyst indicate that the C – C bond is cut. Catalysts containing transition metals as active materials such as Ni, Pd, and Pt show catalytic activity on cutting C – C bonds </w:t>
      </w:r>
      <w:r w:rsidR="00A96484" w:rsidRPr="00A96484">
        <w:rPr>
          <w:rFonts w:ascii="Times New Roman" w:hAnsi="Times New Roman"/>
          <w:i w:val="0"/>
          <w:iCs w:val="0"/>
          <w:color w:val="auto"/>
          <w:lang w:val="id-ID"/>
        </w:rPr>
        <w:t>[</w:t>
      </w:r>
      <w:r w:rsidR="00AE51D3">
        <w:rPr>
          <w:rFonts w:ascii="Times New Roman" w:hAnsi="Times New Roman"/>
          <w:i w:val="0"/>
          <w:iCs w:val="0"/>
          <w:color w:val="auto"/>
          <w:lang w:val="id-ID"/>
        </w:rPr>
        <w:t>9</w:t>
      </w:r>
      <w:r w:rsidR="00A96484" w:rsidRPr="00A96484">
        <w:rPr>
          <w:rFonts w:ascii="Times New Roman" w:hAnsi="Times New Roman"/>
          <w:i w:val="0"/>
          <w:iCs w:val="0"/>
          <w:color w:val="auto"/>
          <w:lang w:val="id-ID"/>
        </w:rPr>
        <w:t>]</w:t>
      </w:r>
      <w:r w:rsidR="00805322" w:rsidRPr="00A96484">
        <w:rPr>
          <w:rFonts w:ascii="Times New Roman" w:hAnsi="Times New Roman"/>
          <w:i w:val="0"/>
          <w:iCs w:val="0"/>
          <w:color w:val="auto"/>
          <w:lang w:val="id-ID"/>
        </w:rPr>
        <w:t>.</w:t>
      </w:r>
    </w:p>
    <w:p w14:paraId="2EB9E36F" w14:textId="34B093B7" w:rsidR="00B633D9" w:rsidRPr="00E66383" w:rsidRDefault="0077251F" w:rsidP="00805322">
      <w:pPr>
        <w:pStyle w:val="subsection"/>
        <w:numPr>
          <w:ilvl w:val="0"/>
          <w:numId w:val="0"/>
        </w:numPr>
        <w:tabs>
          <w:tab w:val="left" w:pos="284"/>
        </w:tabs>
        <w:spacing w:before="0"/>
        <w:jc w:val="both"/>
        <w:rPr>
          <w:rFonts w:ascii="Times New Roman" w:hAnsi="Times New Roman"/>
          <w:i w:val="0"/>
          <w:iCs w:val="0"/>
          <w:color w:val="auto"/>
          <w:lang w:val="id-ID"/>
        </w:rPr>
      </w:pPr>
      <w:r w:rsidRPr="00E66383">
        <w:rPr>
          <w:rFonts w:ascii="Times New Roman" w:hAnsi="Times New Roman"/>
          <w:i w:val="0"/>
          <w:iCs w:val="0"/>
          <w:color w:val="auto"/>
          <w:lang w:val="id-ID"/>
        </w:rPr>
        <w:tab/>
      </w:r>
      <w:r w:rsidRPr="00E66383">
        <w:rPr>
          <w:rFonts w:ascii="Times New Roman" w:hAnsi="Times New Roman"/>
          <w:i w:val="0"/>
          <w:iCs w:val="0"/>
          <w:color w:val="auto"/>
        </w:rPr>
        <w:t>M</w:t>
      </w:r>
      <w:r w:rsidR="00460400" w:rsidRPr="00E66383">
        <w:rPr>
          <w:rFonts w:ascii="Times New Roman" w:hAnsi="Times New Roman"/>
          <w:i w:val="0"/>
          <w:iCs w:val="0"/>
          <w:color w:val="auto"/>
        </w:rPr>
        <w:t>eanwhile</w:t>
      </w:r>
      <w:r w:rsidRPr="00E66383">
        <w:rPr>
          <w:rFonts w:ascii="Times New Roman" w:hAnsi="Times New Roman"/>
          <w:i w:val="0"/>
          <w:iCs w:val="0"/>
          <w:color w:val="auto"/>
        </w:rPr>
        <w:t>,</w:t>
      </w:r>
      <w:r w:rsidR="00460400" w:rsidRPr="00E66383">
        <w:rPr>
          <w:rFonts w:ascii="Times New Roman" w:hAnsi="Times New Roman"/>
          <w:i w:val="0"/>
          <w:iCs w:val="0"/>
          <w:color w:val="auto"/>
        </w:rPr>
        <w:t xml:space="preserve"> the presence of water and free fatty acids inhibits the transesterification reaction</w:t>
      </w:r>
      <w:r w:rsidRPr="00E66383">
        <w:rPr>
          <w:rFonts w:ascii="Times New Roman" w:hAnsi="Times New Roman"/>
          <w:i w:val="0"/>
          <w:iCs w:val="0"/>
          <w:color w:val="auto"/>
        </w:rPr>
        <w:t>,</w:t>
      </w:r>
      <w:r w:rsidR="00460400" w:rsidRPr="00E66383">
        <w:rPr>
          <w:rFonts w:ascii="Times New Roman" w:hAnsi="Times New Roman"/>
          <w:i w:val="0"/>
          <w:iCs w:val="0"/>
          <w:color w:val="auto"/>
        </w:rPr>
        <w:t xml:space="preserve"> which will decrease the conversion of the methyl ester product. The maximum mole ratio obtained through this study is 15:1 with a conversion result of </w:t>
      </w:r>
      <w:r w:rsidR="00B63FB9" w:rsidRPr="00E66383">
        <w:rPr>
          <w:rFonts w:ascii="Times New Roman" w:hAnsi="Times New Roman"/>
          <w:i w:val="0"/>
          <w:iCs w:val="0"/>
          <w:color w:val="auto"/>
          <w:lang w:val="id-ID"/>
        </w:rPr>
        <w:t>59.80</w:t>
      </w:r>
      <w:r w:rsidR="00460400" w:rsidRPr="00E66383">
        <w:rPr>
          <w:rFonts w:ascii="Times New Roman" w:hAnsi="Times New Roman"/>
          <w:i w:val="0"/>
          <w:iCs w:val="0"/>
          <w:color w:val="auto"/>
        </w:rPr>
        <w:t xml:space="preserve">%. </w:t>
      </w:r>
      <w:r w:rsidRPr="00E66383">
        <w:rPr>
          <w:rFonts w:ascii="Times New Roman" w:hAnsi="Times New Roman"/>
          <w:i w:val="0"/>
          <w:iCs w:val="0"/>
          <w:color w:val="auto"/>
        </w:rPr>
        <w:t>The y</w:t>
      </w:r>
      <w:r w:rsidR="00460400" w:rsidRPr="00E66383">
        <w:rPr>
          <w:rFonts w:ascii="Times New Roman" w:hAnsi="Times New Roman"/>
          <w:i w:val="0"/>
          <w:iCs w:val="0"/>
          <w:color w:val="auto"/>
        </w:rPr>
        <w:t xml:space="preserve">ield of </w:t>
      </w:r>
      <w:r w:rsidR="00B63FB9" w:rsidRPr="00E66383">
        <w:rPr>
          <w:rFonts w:ascii="Times New Roman" w:hAnsi="Times New Roman"/>
          <w:i w:val="0"/>
          <w:iCs w:val="0"/>
          <w:color w:val="auto"/>
          <w:lang w:val="id-ID"/>
        </w:rPr>
        <w:t>59.80</w:t>
      </w:r>
      <w:r w:rsidR="00460400" w:rsidRPr="00E66383">
        <w:rPr>
          <w:rFonts w:ascii="Times New Roman" w:hAnsi="Times New Roman"/>
          <w:i w:val="0"/>
          <w:iCs w:val="0"/>
          <w:color w:val="auto"/>
        </w:rPr>
        <w:t xml:space="preserve">% is far from what we expected, previous research by </w:t>
      </w:r>
      <w:r w:rsidR="00D821EA" w:rsidRPr="00E66383">
        <w:rPr>
          <w:rFonts w:ascii="Times New Roman" w:hAnsi="Times New Roman"/>
          <w:i w:val="0"/>
          <w:iCs w:val="0"/>
          <w:color w:val="auto"/>
        </w:rPr>
        <w:fldChar w:fldCharType="begin"/>
      </w:r>
      <w:r w:rsidR="00D821EA" w:rsidRPr="00E66383">
        <w:rPr>
          <w:rFonts w:ascii="Times New Roman" w:hAnsi="Times New Roman"/>
          <w:i w:val="0"/>
          <w:iCs w:val="0"/>
          <w:color w:val="auto"/>
        </w:rPr>
        <w:instrText xml:space="preserve"> REF _Ref48462428 \r \h </w:instrText>
      </w:r>
      <w:r w:rsidR="00D821EA" w:rsidRPr="00E66383">
        <w:rPr>
          <w:rFonts w:ascii="Times New Roman" w:hAnsi="Times New Roman"/>
          <w:i w:val="0"/>
          <w:iCs w:val="0"/>
          <w:color w:val="auto"/>
        </w:rPr>
      </w:r>
      <w:r w:rsidR="00D821EA" w:rsidRPr="00E66383">
        <w:rPr>
          <w:rFonts w:ascii="Times New Roman" w:hAnsi="Times New Roman"/>
          <w:i w:val="0"/>
          <w:iCs w:val="0"/>
          <w:color w:val="auto"/>
        </w:rPr>
        <w:fldChar w:fldCharType="separate"/>
      </w:r>
      <w:r w:rsidR="00D821EA" w:rsidRPr="00E66383">
        <w:rPr>
          <w:rFonts w:ascii="Times New Roman" w:hAnsi="Times New Roman"/>
          <w:i w:val="0"/>
          <w:iCs w:val="0"/>
          <w:color w:val="auto"/>
        </w:rPr>
        <w:t>[</w:t>
      </w:r>
      <w:r w:rsidR="00AE51D3">
        <w:rPr>
          <w:rFonts w:ascii="Times New Roman" w:hAnsi="Times New Roman"/>
          <w:i w:val="0"/>
          <w:iCs w:val="0"/>
          <w:color w:val="auto"/>
          <w:lang w:val="id-ID"/>
        </w:rPr>
        <w:t>10</w:t>
      </w:r>
      <w:r w:rsidR="00D821EA" w:rsidRPr="00E66383">
        <w:rPr>
          <w:rFonts w:ascii="Times New Roman" w:hAnsi="Times New Roman"/>
          <w:i w:val="0"/>
          <w:iCs w:val="0"/>
          <w:color w:val="auto"/>
        </w:rPr>
        <w:t>]</w:t>
      </w:r>
      <w:r w:rsidR="00D821EA" w:rsidRPr="00E66383">
        <w:rPr>
          <w:rFonts w:ascii="Times New Roman" w:hAnsi="Times New Roman"/>
          <w:i w:val="0"/>
          <w:iCs w:val="0"/>
          <w:color w:val="auto"/>
        </w:rPr>
        <w:fldChar w:fldCharType="end"/>
      </w:r>
      <w:r w:rsidR="00460400" w:rsidRPr="00E66383">
        <w:rPr>
          <w:rFonts w:ascii="Times New Roman" w:hAnsi="Times New Roman"/>
          <w:i w:val="0"/>
          <w:iCs w:val="0"/>
          <w:color w:val="auto"/>
        </w:rPr>
        <w:t xml:space="preserve"> used a nickel catalyst for transesterification of soybean oil with a maximum methyl ester conversion of 87% at 65</w:t>
      </w:r>
      <w:r w:rsidR="00FD795F" w:rsidRPr="00E66383">
        <w:rPr>
          <w:rFonts w:ascii="Times New Roman" w:hAnsi="Times New Roman"/>
          <w:i w:val="0"/>
          <w:iCs w:val="0"/>
          <w:color w:val="auto"/>
          <w:vertAlign w:val="superscript"/>
          <w:lang w:val="id-ID"/>
        </w:rPr>
        <w:t>o</w:t>
      </w:r>
      <w:r w:rsidR="00460400" w:rsidRPr="00E66383">
        <w:rPr>
          <w:rFonts w:ascii="Times New Roman" w:hAnsi="Times New Roman"/>
          <w:i w:val="0"/>
          <w:iCs w:val="0"/>
          <w:color w:val="auto"/>
        </w:rPr>
        <w:t>C.</w:t>
      </w:r>
      <w:r w:rsidR="00960130" w:rsidRPr="00E66383">
        <w:rPr>
          <w:rFonts w:ascii="Times New Roman" w:hAnsi="Times New Roman"/>
          <w:i w:val="0"/>
          <w:iCs w:val="0"/>
          <w:color w:val="auto"/>
          <w:lang w:val="id-ID"/>
        </w:rPr>
        <w:t xml:space="preserve"> </w:t>
      </w:r>
      <w:r w:rsidR="0033786D" w:rsidRPr="00E66383">
        <w:rPr>
          <w:rFonts w:ascii="Times New Roman" w:hAnsi="Times New Roman"/>
          <w:i w:val="0"/>
          <w:iCs w:val="0"/>
          <w:color w:val="auto"/>
        </w:rPr>
        <w:t xml:space="preserve">The magnitude of the effect of the reaction temperature on the heterogeneous transesterification process, according to the yield is </w:t>
      </w:r>
      <w:r w:rsidR="0033786D" w:rsidRPr="00E66383">
        <w:rPr>
          <w:rFonts w:ascii="Times New Roman" w:hAnsi="Times New Roman"/>
          <w:i w:val="0"/>
          <w:iCs w:val="0"/>
          <w:color w:val="auto"/>
          <w:lang w:val="id-ID"/>
        </w:rPr>
        <w:t>59.80</w:t>
      </w:r>
      <w:r w:rsidR="0033786D" w:rsidRPr="00E66383">
        <w:rPr>
          <w:rFonts w:ascii="Times New Roman" w:hAnsi="Times New Roman"/>
          <w:i w:val="0"/>
          <w:iCs w:val="0"/>
          <w:color w:val="auto"/>
        </w:rPr>
        <w:t>%. From this percentage, it can be explained that temperature has an influence on the formation of methyl ester yield.</w:t>
      </w:r>
      <w:r w:rsidR="0033786D" w:rsidRPr="00E66383">
        <w:rPr>
          <w:rFonts w:ascii="Times New Roman" w:hAnsi="Times New Roman"/>
          <w:i w:val="0"/>
          <w:iCs w:val="0"/>
          <w:color w:val="auto"/>
          <w:lang w:val="id-ID"/>
        </w:rPr>
        <w:t xml:space="preserve"> </w:t>
      </w:r>
      <w:r w:rsidR="0033786D" w:rsidRPr="00E66383">
        <w:rPr>
          <w:rFonts w:ascii="Times New Roman" w:hAnsi="Times New Roman"/>
          <w:i w:val="0"/>
          <w:iCs w:val="0"/>
          <w:color w:val="auto"/>
        </w:rPr>
        <w:t>At 60</w:t>
      </w:r>
      <w:r w:rsidR="0033786D" w:rsidRPr="00E66383">
        <w:rPr>
          <w:rFonts w:ascii="Times New Roman" w:hAnsi="Times New Roman"/>
          <w:i w:val="0"/>
          <w:iCs w:val="0"/>
          <w:color w:val="auto"/>
          <w:vertAlign w:val="superscript"/>
          <w:lang w:val="id-ID"/>
        </w:rPr>
        <w:t>o</w:t>
      </w:r>
      <w:r w:rsidR="0033786D" w:rsidRPr="00E66383">
        <w:rPr>
          <w:rFonts w:ascii="Times New Roman" w:hAnsi="Times New Roman"/>
          <w:i w:val="0"/>
          <w:iCs w:val="0"/>
          <w:color w:val="auto"/>
        </w:rPr>
        <w:t>C</w:t>
      </w:r>
      <w:r w:rsidR="00C95F67" w:rsidRPr="00E66383">
        <w:rPr>
          <w:rFonts w:ascii="Times New Roman" w:hAnsi="Times New Roman"/>
          <w:i w:val="0"/>
          <w:iCs w:val="0"/>
          <w:color w:val="auto"/>
        </w:rPr>
        <w:t>,</w:t>
      </w:r>
      <w:r w:rsidR="0033786D" w:rsidRPr="00E66383">
        <w:rPr>
          <w:rFonts w:ascii="Times New Roman" w:hAnsi="Times New Roman"/>
          <w:i w:val="0"/>
          <w:iCs w:val="0"/>
          <w:color w:val="auto"/>
        </w:rPr>
        <w:t xml:space="preserve"> the resulting yield is low, namely 0.3655%</w:t>
      </w:r>
      <w:r w:rsidRPr="00E66383">
        <w:rPr>
          <w:rFonts w:ascii="Times New Roman" w:hAnsi="Times New Roman"/>
          <w:i w:val="0"/>
          <w:iCs w:val="0"/>
          <w:color w:val="auto"/>
        </w:rPr>
        <w:t>. T</w:t>
      </w:r>
      <w:r w:rsidR="0033786D" w:rsidRPr="00E66383">
        <w:rPr>
          <w:rFonts w:ascii="Times New Roman" w:hAnsi="Times New Roman"/>
          <w:i w:val="0"/>
          <w:iCs w:val="0"/>
          <w:color w:val="auto"/>
        </w:rPr>
        <w:t xml:space="preserve">his is because methanol does not mix homogeneously with </w:t>
      </w:r>
      <w:r w:rsidR="00C95F67" w:rsidRPr="00E66383">
        <w:rPr>
          <w:rFonts w:ascii="Times New Roman" w:hAnsi="Times New Roman"/>
          <w:i w:val="0"/>
          <w:iCs w:val="0"/>
          <w:color w:val="auto"/>
          <w:lang w:val="id-ID"/>
        </w:rPr>
        <w:t>Jatropha curcas</w:t>
      </w:r>
      <w:r w:rsidR="0033786D" w:rsidRPr="00E66383">
        <w:rPr>
          <w:rFonts w:ascii="Times New Roman" w:hAnsi="Times New Roman"/>
          <w:i w:val="0"/>
          <w:iCs w:val="0"/>
          <w:color w:val="auto"/>
        </w:rPr>
        <w:t xml:space="preserve"> oil because</w:t>
      </w:r>
      <w:r w:rsidR="00C95F67" w:rsidRPr="00E66383">
        <w:rPr>
          <w:rFonts w:ascii="Times New Roman" w:hAnsi="Times New Roman"/>
          <w:i w:val="0"/>
          <w:iCs w:val="0"/>
          <w:color w:val="auto"/>
        </w:rPr>
        <w:t>,</w:t>
      </w:r>
      <w:r w:rsidR="0033786D" w:rsidRPr="00E66383">
        <w:rPr>
          <w:rFonts w:ascii="Times New Roman" w:hAnsi="Times New Roman"/>
          <w:i w:val="0"/>
          <w:iCs w:val="0"/>
          <w:color w:val="auto"/>
        </w:rPr>
        <w:t xml:space="preserve"> at this temperature</w:t>
      </w:r>
      <w:r w:rsidRPr="00E66383">
        <w:rPr>
          <w:rFonts w:ascii="Times New Roman" w:hAnsi="Times New Roman"/>
          <w:i w:val="0"/>
          <w:iCs w:val="0"/>
          <w:color w:val="auto"/>
        </w:rPr>
        <w:t>,</w:t>
      </w:r>
      <w:r w:rsidR="0033786D" w:rsidRPr="00E66383">
        <w:rPr>
          <w:rFonts w:ascii="Times New Roman" w:hAnsi="Times New Roman"/>
          <w:i w:val="0"/>
          <w:iCs w:val="0"/>
          <w:color w:val="auto"/>
        </w:rPr>
        <w:t xml:space="preserve"> it is less than the boiling point of methanol so that the reaction does not run </w:t>
      </w:r>
      <w:r w:rsidR="00C95F67" w:rsidRPr="00E66383">
        <w:rPr>
          <w:rFonts w:ascii="Times New Roman" w:hAnsi="Times New Roman"/>
          <w:i w:val="0"/>
          <w:iCs w:val="0"/>
          <w:color w:val="auto"/>
        </w:rPr>
        <w:t>corr</w:t>
      </w:r>
      <w:r w:rsidR="0033786D" w:rsidRPr="00E66383">
        <w:rPr>
          <w:rFonts w:ascii="Times New Roman" w:hAnsi="Times New Roman"/>
          <w:i w:val="0"/>
          <w:iCs w:val="0"/>
          <w:color w:val="auto"/>
        </w:rPr>
        <w:t xml:space="preserve">ectly. In this study, the </w:t>
      </w:r>
      <w:r w:rsidR="00C95F67" w:rsidRPr="00E66383">
        <w:rPr>
          <w:rFonts w:ascii="Times New Roman" w:hAnsi="Times New Roman"/>
          <w:i w:val="0"/>
          <w:iCs w:val="0"/>
          <w:color w:val="auto"/>
        </w:rPr>
        <w:t>most significan</w:t>
      </w:r>
      <w:r w:rsidR="0033786D" w:rsidRPr="00E66383">
        <w:rPr>
          <w:rFonts w:ascii="Times New Roman" w:hAnsi="Times New Roman"/>
          <w:i w:val="0"/>
          <w:iCs w:val="0"/>
          <w:color w:val="auto"/>
        </w:rPr>
        <w:t xml:space="preserve">t yield was obtained using </w:t>
      </w:r>
      <w:r w:rsidRPr="00E66383">
        <w:rPr>
          <w:rFonts w:ascii="Times New Roman" w:hAnsi="Times New Roman"/>
          <w:i w:val="0"/>
          <w:iCs w:val="0"/>
          <w:color w:val="auto"/>
        </w:rPr>
        <w:t xml:space="preserve">a </w:t>
      </w:r>
      <w:r w:rsidR="0033786D" w:rsidRPr="00E66383">
        <w:rPr>
          <w:rFonts w:ascii="Times New Roman" w:hAnsi="Times New Roman"/>
          <w:i w:val="0"/>
          <w:iCs w:val="0"/>
          <w:color w:val="auto"/>
        </w:rPr>
        <w:t>temperature</w:t>
      </w:r>
      <w:r w:rsidR="0033786D" w:rsidRPr="00E66383">
        <w:rPr>
          <w:rFonts w:ascii="Times New Roman" w:hAnsi="Times New Roman"/>
          <w:i w:val="0"/>
          <w:iCs w:val="0"/>
          <w:color w:val="auto"/>
          <w:lang w:val="id-ID"/>
        </w:rPr>
        <w:t xml:space="preserve"> </w:t>
      </w:r>
      <w:r w:rsidR="0033786D" w:rsidRPr="00E66383">
        <w:rPr>
          <w:rFonts w:ascii="Times New Roman" w:hAnsi="Times New Roman"/>
          <w:i w:val="0"/>
          <w:iCs w:val="0"/>
          <w:color w:val="auto"/>
        </w:rPr>
        <w:t>65</w:t>
      </w:r>
      <w:r w:rsidR="0033786D" w:rsidRPr="00E66383">
        <w:rPr>
          <w:rFonts w:ascii="Times New Roman" w:hAnsi="Times New Roman"/>
          <w:i w:val="0"/>
          <w:iCs w:val="0"/>
          <w:color w:val="auto"/>
          <w:vertAlign w:val="superscript"/>
          <w:lang w:val="id-ID"/>
        </w:rPr>
        <w:t>o</w:t>
      </w:r>
      <w:r w:rsidR="0033786D" w:rsidRPr="00E66383">
        <w:rPr>
          <w:rFonts w:ascii="Times New Roman" w:hAnsi="Times New Roman"/>
          <w:i w:val="0"/>
          <w:iCs w:val="0"/>
          <w:color w:val="auto"/>
        </w:rPr>
        <w:t>C reaction</w:t>
      </w:r>
      <w:r w:rsidRPr="00E66383">
        <w:rPr>
          <w:rFonts w:ascii="Times New Roman" w:hAnsi="Times New Roman"/>
          <w:i w:val="0"/>
          <w:iCs w:val="0"/>
          <w:color w:val="auto"/>
        </w:rPr>
        <w:t>,</w:t>
      </w:r>
      <w:r w:rsidR="0033786D" w:rsidRPr="00E66383">
        <w:rPr>
          <w:rFonts w:ascii="Times New Roman" w:hAnsi="Times New Roman"/>
          <w:i w:val="0"/>
          <w:iCs w:val="0"/>
          <w:color w:val="auto"/>
        </w:rPr>
        <w:t xml:space="preserve"> which is </w:t>
      </w:r>
      <w:r w:rsidR="0033786D" w:rsidRPr="00E66383">
        <w:rPr>
          <w:rFonts w:ascii="Times New Roman" w:hAnsi="Times New Roman"/>
          <w:i w:val="0"/>
          <w:iCs w:val="0"/>
          <w:color w:val="auto"/>
          <w:lang w:val="id-ID"/>
        </w:rPr>
        <w:t>59.80</w:t>
      </w:r>
      <w:r w:rsidR="0033786D" w:rsidRPr="00E66383">
        <w:rPr>
          <w:rFonts w:ascii="Times New Roman" w:hAnsi="Times New Roman"/>
          <w:i w:val="0"/>
          <w:iCs w:val="0"/>
          <w:color w:val="auto"/>
        </w:rPr>
        <w:t>%. At this temperature, it is a very suitable temperature for the reagents to mix homogeneous</w:t>
      </w:r>
      <w:r w:rsidRPr="00E66383">
        <w:rPr>
          <w:rFonts w:ascii="Times New Roman" w:hAnsi="Times New Roman"/>
          <w:i w:val="0"/>
          <w:iCs w:val="0"/>
          <w:color w:val="auto"/>
        </w:rPr>
        <w:t>ly</w:t>
      </w:r>
      <w:r w:rsidR="0033786D" w:rsidRPr="00E66383">
        <w:rPr>
          <w:rFonts w:ascii="Times New Roman" w:hAnsi="Times New Roman"/>
          <w:i w:val="0"/>
          <w:iCs w:val="0"/>
          <w:color w:val="auto"/>
        </w:rPr>
        <w:t xml:space="preserve"> because methanol boils at 65</w:t>
      </w:r>
      <w:r w:rsidR="0033786D" w:rsidRPr="00E66383">
        <w:rPr>
          <w:rFonts w:ascii="Times New Roman" w:hAnsi="Times New Roman"/>
          <w:i w:val="0"/>
          <w:iCs w:val="0"/>
          <w:color w:val="auto"/>
          <w:vertAlign w:val="superscript"/>
          <w:lang w:val="id-ID"/>
        </w:rPr>
        <w:t>o</w:t>
      </w:r>
      <w:r w:rsidR="0033786D" w:rsidRPr="00E66383">
        <w:rPr>
          <w:rFonts w:ascii="Times New Roman" w:hAnsi="Times New Roman"/>
          <w:i w:val="0"/>
          <w:iCs w:val="0"/>
          <w:color w:val="auto"/>
        </w:rPr>
        <w:t>C. There is a deviation for the transesterification reaction at 70</w:t>
      </w:r>
      <w:r w:rsidR="0033786D" w:rsidRPr="00E66383">
        <w:rPr>
          <w:rFonts w:ascii="Times New Roman" w:hAnsi="Times New Roman"/>
          <w:i w:val="0"/>
          <w:iCs w:val="0"/>
          <w:color w:val="auto"/>
          <w:vertAlign w:val="superscript"/>
          <w:lang w:val="id-ID"/>
        </w:rPr>
        <w:t>o</w:t>
      </w:r>
      <w:r w:rsidR="0033786D" w:rsidRPr="00E66383">
        <w:rPr>
          <w:rFonts w:ascii="Times New Roman" w:hAnsi="Times New Roman"/>
          <w:i w:val="0"/>
          <w:iCs w:val="0"/>
          <w:color w:val="auto"/>
        </w:rPr>
        <w:t>C, obtained a methyl ester conversion of 22.91%</w:t>
      </w:r>
      <w:r w:rsidRPr="00E66383">
        <w:rPr>
          <w:rFonts w:ascii="Times New Roman" w:hAnsi="Times New Roman"/>
          <w:i w:val="0"/>
          <w:iCs w:val="0"/>
          <w:color w:val="auto"/>
        </w:rPr>
        <w:t>. I</w:t>
      </w:r>
      <w:r w:rsidR="0033786D" w:rsidRPr="00E66383">
        <w:rPr>
          <w:rFonts w:ascii="Times New Roman" w:hAnsi="Times New Roman"/>
          <w:i w:val="0"/>
          <w:iCs w:val="0"/>
          <w:color w:val="auto"/>
        </w:rPr>
        <w:t>n this case</w:t>
      </w:r>
      <w:r w:rsidRPr="00E66383">
        <w:rPr>
          <w:rFonts w:ascii="Times New Roman" w:hAnsi="Times New Roman"/>
          <w:i w:val="0"/>
          <w:iCs w:val="0"/>
          <w:color w:val="auto"/>
        </w:rPr>
        <w:t>,</w:t>
      </w:r>
      <w:r w:rsidR="0033786D" w:rsidRPr="00E66383">
        <w:rPr>
          <w:rFonts w:ascii="Times New Roman" w:hAnsi="Times New Roman"/>
          <w:i w:val="0"/>
          <w:iCs w:val="0"/>
          <w:color w:val="auto"/>
        </w:rPr>
        <w:t xml:space="preserve"> the temperature is too large</w:t>
      </w:r>
      <w:r w:rsidRPr="00E66383">
        <w:rPr>
          <w:rFonts w:ascii="Times New Roman" w:hAnsi="Times New Roman"/>
          <w:i w:val="0"/>
          <w:iCs w:val="0"/>
          <w:color w:val="auto"/>
        </w:rPr>
        <w:t>,</w:t>
      </w:r>
      <w:r w:rsidR="0033786D" w:rsidRPr="00E66383">
        <w:rPr>
          <w:rFonts w:ascii="Times New Roman" w:hAnsi="Times New Roman"/>
          <w:i w:val="0"/>
          <w:iCs w:val="0"/>
          <w:color w:val="auto"/>
        </w:rPr>
        <w:t xml:space="preserve"> so that the methanol used evaporates.</w:t>
      </w:r>
    </w:p>
    <w:p w14:paraId="29FEC900" w14:textId="7134C93F" w:rsidR="00A41E1F" w:rsidRPr="00E66383" w:rsidRDefault="006E3ED6" w:rsidP="00BF79A2">
      <w:pPr>
        <w:pStyle w:val="subsection"/>
        <w:numPr>
          <w:ilvl w:val="1"/>
          <w:numId w:val="30"/>
        </w:numPr>
        <w:ind w:left="426" w:hanging="426"/>
        <w:jc w:val="both"/>
        <w:rPr>
          <w:rFonts w:ascii="Times New Roman" w:hAnsi="Times New Roman"/>
          <w:color w:val="auto"/>
        </w:rPr>
      </w:pPr>
      <w:r w:rsidRPr="00E66383">
        <w:rPr>
          <w:rFonts w:ascii="Times New Roman" w:hAnsi="Times New Roman"/>
          <w:color w:val="auto"/>
          <w:lang w:val="id-ID"/>
        </w:rPr>
        <w:t xml:space="preserve">The physicochemical properties of the </w:t>
      </w:r>
      <w:r w:rsidR="00A41E1F" w:rsidRPr="00E66383">
        <w:rPr>
          <w:rFonts w:ascii="Times New Roman" w:hAnsi="Times New Roman"/>
          <w:color w:val="auto"/>
        </w:rPr>
        <w:t>Biodiesel at 65</w:t>
      </w:r>
      <w:r w:rsidR="00CD7A96" w:rsidRPr="00E66383">
        <w:rPr>
          <w:rFonts w:ascii="Times New Roman" w:hAnsi="Times New Roman"/>
          <w:color w:val="auto"/>
          <w:vertAlign w:val="superscript"/>
          <w:lang w:val="id-ID"/>
        </w:rPr>
        <w:t>o</w:t>
      </w:r>
      <w:r w:rsidR="00A41E1F" w:rsidRPr="00E66383">
        <w:rPr>
          <w:rFonts w:ascii="Times New Roman" w:hAnsi="Times New Roman"/>
          <w:color w:val="auto"/>
        </w:rPr>
        <w:t>C</w:t>
      </w:r>
    </w:p>
    <w:p w14:paraId="167083A4" w14:textId="3ADD2B5E" w:rsidR="00C6200F" w:rsidRPr="00E66383" w:rsidRDefault="00C6200F" w:rsidP="002A25B9">
      <w:pPr>
        <w:pStyle w:val="BodyChar"/>
        <w:tabs>
          <w:tab w:val="left" w:pos="284"/>
        </w:tabs>
        <w:rPr>
          <w:rFonts w:ascii="Times New Roman" w:hAnsi="Times New Roman"/>
          <w:color w:val="auto"/>
          <w:lang w:val="id-ID"/>
        </w:rPr>
      </w:pPr>
      <w:r w:rsidRPr="00E66383">
        <w:rPr>
          <w:rFonts w:ascii="Times New Roman" w:hAnsi="Times New Roman"/>
          <w:color w:val="auto"/>
          <w:lang w:val="id-ID"/>
        </w:rPr>
        <w:t>T</w:t>
      </w:r>
      <w:r w:rsidR="002A25B9" w:rsidRPr="00E66383">
        <w:rPr>
          <w:rFonts w:ascii="Times New Roman" w:hAnsi="Times New Roman"/>
          <w:color w:val="auto"/>
          <w:lang w:val="id-ID"/>
        </w:rPr>
        <w:t>he comparison of density with Molar Methanol – Jatropha curcas oil (12:1, 15:1, 18:1) at 65</w:t>
      </w:r>
      <w:r w:rsidR="002A25B9" w:rsidRPr="00E66383">
        <w:rPr>
          <w:rFonts w:ascii="Times New Roman" w:hAnsi="Times New Roman"/>
          <w:color w:val="auto"/>
          <w:vertAlign w:val="superscript"/>
          <w:lang w:val="id-ID"/>
        </w:rPr>
        <w:t>o</w:t>
      </w:r>
      <w:r w:rsidR="002A25B9" w:rsidRPr="00E66383">
        <w:rPr>
          <w:rFonts w:ascii="Times New Roman" w:hAnsi="Times New Roman"/>
          <w:color w:val="auto"/>
          <w:lang w:val="id-ID"/>
        </w:rPr>
        <w:t>C for 5 hours. The quality standard of methyl ester according to SNI 04-7182-2006 stipulates that the density of methyl ester at 40</w:t>
      </w:r>
      <w:r w:rsidR="002A25B9" w:rsidRPr="00E66383">
        <w:rPr>
          <w:rFonts w:ascii="Times New Roman" w:hAnsi="Times New Roman"/>
          <w:color w:val="auto"/>
          <w:vertAlign w:val="superscript"/>
          <w:lang w:val="id-ID"/>
        </w:rPr>
        <w:t>o</w:t>
      </w:r>
      <w:r w:rsidR="002A25B9" w:rsidRPr="00E66383">
        <w:rPr>
          <w:rFonts w:ascii="Times New Roman" w:hAnsi="Times New Roman"/>
          <w:color w:val="auto"/>
          <w:lang w:val="id-ID"/>
        </w:rPr>
        <w:t>C is in the range 0.85 – 0.89 g.cm</w:t>
      </w:r>
      <w:r w:rsidR="002A25B9" w:rsidRPr="00E66383">
        <w:rPr>
          <w:rFonts w:ascii="Times New Roman" w:hAnsi="Times New Roman"/>
          <w:color w:val="auto"/>
          <w:vertAlign w:val="superscript"/>
          <w:lang w:val="id-ID"/>
        </w:rPr>
        <w:t>-3</w:t>
      </w:r>
      <w:r w:rsidR="002A25B9" w:rsidRPr="00E66383">
        <w:rPr>
          <w:rFonts w:ascii="Times New Roman" w:hAnsi="Times New Roman"/>
          <w:color w:val="auto"/>
          <w:lang w:val="id-ID"/>
        </w:rPr>
        <w:t>. The methyl ester density produced by heterogeneous transesterification in this experiment has an average value of 0.8</w:t>
      </w:r>
      <w:r w:rsidR="00350606" w:rsidRPr="00E66383">
        <w:rPr>
          <w:rFonts w:ascii="Times New Roman" w:hAnsi="Times New Roman"/>
          <w:color w:val="auto"/>
          <w:lang w:val="id-ID"/>
        </w:rPr>
        <w:t>8</w:t>
      </w:r>
      <w:r w:rsidR="006E3ED6" w:rsidRPr="00E66383">
        <w:rPr>
          <w:rFonts w:ascii="Times New Roman" w:hAnsi="Times New Roman"/>
          <w:color w:val="auto"/>
          <w:lang w:val="id-ID"/>
        </w:rPr>
        <w:t>28</w:t>
      </w:r>
      <w:r w:rsidR="002A25B9" w:rsidRPr="00E66383">
        <w:rPr>
          <w:rFonts w:ascii="Times New Roman" w:hAnsi="Times New Roman"/>
          <w:color w:val="auto"/>
          <w:lang w:val="id-ID"/>
        </w:rPr>
        <w:t xml:space="preserve"> </w:t>
      </w:r>
      <w:r w:rsidR="00350606" w:rsidRPr="00E66383">
        <w:rPr>
          <w:rFonts w:ascii="Times New Roman" w:hAnsi="Times New Roman"/>
          <w:color w:val="auto"/>
          <w:lang w:val="id-ID"/>
        </w:rPr>
        <w:t>g.cm</w:t>
      </w:r>
      <w:r w:rsidR="00350606" w:rsidRPr="00E66383">
        <w:rPr>
          <w:rFonts w:ascii="Times New Roman" w:hAnsi="Times New Roman"/>
          <w:color w:val="auto"/>
          <w:vertAlign w:val="superscript"/>
          <w:lang w:val="id-ID"/>
        </w:rPr>
        <w:t>-3</w:t>
      </w:r>
      <w:r w:rsidR="00350606" w:rsidRPr="00E66383">
        <w:rPr>
          <w:rFonts w:ascii="Times New Roman" w:hAnsi="Times New Roman"/>
          <w:color w:val="auto"/>
          <w:lang w:val="id-ID"/>
        </w:rPr>
        <w:t>.</w:t>
      </w:r>
      <w:r w:rsidR="002A25B9" w:rsidRPr="00E66383">
        <w:rPr>
          <w:rFonts w:ascii="Times New Roman" w:hAnsi="Times New Roman"/>
          <w:color w:val="auto"/>
          <w:lang w:val="id-ID"/>
        </w:rPr>
        <w:t xml:space="preserve"> </w:t>
      </w:r>
      <w:r w:rsidRPr="00E66383">
        <w:rPr>
          <w:rFonts w:ascii="Times New Roman" w:hAnsi="Times New Roman"/>
          <w:color w:val="auto"/>
        </w:rPr>
        <w:t xml:space="preserve">The density of </w:t>
      </w:r>
      <w:r w:rsidR="00756C25" w:rsidRPr="00E66383">
        <w:rPr>
          <w:rFonts w:ascii="Times New Roman" w:hAnsi="Times New Roman"/>
          <w:color w:val="auto"/>
        </w:rPr>
        <w:t>B</w:t>
      </w:r>
      <w:r w:rsidRPr="00E66383">
        <w:rPr>
          <w:rFonts w:ascii="Times New Roman" w:hAnsi="Times New Roman"/>
          <w:color w:val="auto"/>
        </w:rPr>
        <w:t xml:space="preserve">iodiesel obtained through heterogeneous transesterification has a value of 0.8828 </w:t>
      </w:r>
      <w:r w:rsidRPr="00E66383">
        <w:rPr>
          <w:rFonts w:ascii="Times New Roman" w:hAnsi="Times New Roman"/>
          <w:color w:val="auto"/>
          <w:lang w:val="id-ID"/>
        </w:rPr>
        <w:t>g.cm</w:t>
      </w:r>
      <w:r w:rsidRPr="00E66383">
        <w:rPr>
          <w:rFonts w:ascii="Times New Roman" w:hAnsi="Times New Roman"/>
          <w:color w:val="auto"/>
          <w:vertAlign w:val="superscript"/>
          <w:lang w:val="id-ID"/>
        </w:rPr>
        <w:t xml:space="preserve">-3 </w:t>
      </w:r>
      <w:r w:rsidRPr="00E66383">
        <w:rPr>
          <w:rFonts w:ascii="Times New Roman" w:hAnsi="Times New Roman"/>
          <w:color w:val="auto"/>
        </w:rPr>
        <w:t>and has a viscosity of 6</w:t>
      </w:r>
      <w:r w:rsidRPr="00E66383">
        <w:rPr>
          <w:rFonts w:ascii="Times New Roman" w:hAnsi="Times New Roman"/>
          <w:color w:val="auto"/>
          <w:lang w:val="id-ID"/>
        </w:rPr>
        <w:t>.</w:t>
      </w:r>
      <w:r w:rsidRPr="00E66383">
        <w:rPr>
          <w:rFonts w:ascii="Times New Roman" w:hAnsi="Times New Roman"/>
          <w:color w:val="auto"/>
        </w:rPr>
        <w:t xml:space="preserve">431 </w:t>
      </w:r>
      <w:r w:rsidRPr="00E66383">
        <w:rPr>
          <w:rFonts w:ascii="Times New Roman" w:hAnsi="Times New Roman"/>
          <w:color w:val="auto"/>
          <w:lang w:val="id-ID"/>
        </w:rPr>
        <w:t>mm</w:t>
      </w:r>
      <w:r w:rsidRPr="00E66383">
        <w:rPr>
          <w:rFonts w:ascii="Times New Roman" w:hAnsi="Times New Roman"/>
          <w:color w:val="auto"/>
          <w:vertAlign w:val="superscript"/>
          <w:lang w:val="id-ID"/>
        </w:rPr>
        <w:t>2</w:t>
      </w:r>
      <w:r w:rsidRPr="00E66383">
        <w:rPr>
          <w:rFonts w:ascii="Times New Roman" w:hAnsi="Times New Roman"/>
          <w:color w:val="auto"/>
          <w:lang w:val="id-ID"/>
        </w:rPr>
        <w:t>.s</w:t>
      </w:r>
      <w:r w:rsidRPr="00E66383">
        <w:rPr>
          <w:rFonts w:ascii="Times New Roman" w:hAnsi="Times New Roman"/>
          <w:color w:val="auto"/>
          <w:vertAlign w:val="superscript"/>
          <w:lang w:val="id-ID"/>
        </w:rPr>
        <w:t>-1</w:t>
      </w:r>
      <w:r w:rsidRPr="00E66383">
        <w:rPr>
          <w:rFonts w:ascii="Times New Roman" w:hAnsi="Times New Roman"/>
          <w:color w:val="auto"/>
          <w:lang w:val="id-ID"/>
        </w:rPr>
        <w:t xml:space="preserve"> (cSt) </w:t>
      </w:r>
      <w:r w:rsidRPr="00E66383">
        <w:rPr>
          <w:rFonts w:ascii="Times New Roman" w:hAnsi="Times New Roman"/>
          <w:color w:val="auto"/>
        </w:rPr>
        <w:t xml:space="preserve">according to the comparison standard. Meanwhile, the acid number is 0.563 </w:t>
      </w:r>
      <w:r w:rsidRPr="00E66383">
        <w:rPr>
          <w:rFonts w:ascii="Times New Roman" w:hAnsi="Times New Roman"/>
          <w:color w:val="auto"/>
          <w:lang w:val="id-ID"/>
        </w:rPr>
        <w:t>mgKOH.g</w:t>
      </w:r>
      <w:r w:rsidRPr="00E66383">
        <w:rPr>
          <w:rFonts w:ascii="Times New Roman" w:hAnsi="Times New Roman"/>
          <w:color w:val="auto"/>
          <w:vertAlign w:val="superscript"/>
          <w:lang w:val="id-ID"/>
        </w:rPr>
        <w:t>-1</w:t>
      </w:r>
      <w:r w:rsidRPr="00E66383">
        <w:rPr>
          <w:rFonts w:ascii="Times New Roman" w:hAnsi="Times New Roman"/>
          <w:color w:val="auto"/>
        </w:rPr>
        <w:t xml:space="preserve">, so it can be concluded that the quality of the </w:t>
      </w:r>
      <w:r w:rsidR="00756C25" w:rsidRPr="00E66383">
        <w:rPr>
          <w:rFonts w:ascii="Times New Roman" w:hAnsi="Times New Roman"/>
          <w:color w:val="auto"/>
        </w:rPr>
        <w:t>B</w:t>
      </w:r>
      <w:r w:rsidRPr="00E66383">
        <w:rPr>
          <w:rFonts w:ascii="Times New Roman" w:hAnsi="Times New Roman"/>
          <w:color w:val="auto"/>
        </w:rPr>
        <w:t>iodiesel obtained meets the standard limit.</w:t>
      </w:r>
      <w:r w:rsidRPr="00E66383">
        <w:rPr>
          <w:rFonts w:ascii="Times New Roman" w:hAnsi="Times New Roman"/>
          <w:color w:val="auto"/>
          <w:lang w:val="id-ID"/>
        </w:rPr>
        <w:t xml:space="preserve"> The quality standard of methyl ester, according to SNI 04-7182-2006 stipulates that the density of methyl ester at 40</w:t>
      </w:r>
      <w:r w:rsidRPr="00E66383">
        <w:rPr>
          <w:rFonts w:ascii="Times New Roman" w:hAnsi="Times New Roman"/>
          <w:color w:val="auto"/>
          <w:vertAlign w:val="superscript"/>
          <w:lang w:val="id-ID"/>
        </w:rPr>
        <w:t>o</w:t>
      </w:r>
      <w:r w:rsidRPr="00E66383">
        <w:rPr>
          <w:rFonts w:ascii="Times New Roman" w:hAnsi="Times New Roman"/>
          <w:color w:val="auto"/>
          <w:lang w:val="id-ID"/>
        </w:rPr>
        <w:t>C ranges from 0.85 to 0.89 g.cm</w:t>
      </w:r>
      <w:r w:rsidRPr="00E66383">
        <w:rPr>
          <w:rFonts w:ascii="Times New Roman" w:hAnsi="Times New Roman"/>
          <w:color w:val="auto"/>
          <w:vertAlign w:val="superscript"/>
          <w:lang w:val="id-ID"/>
        </w:rPr>
        <w:t>-3</w:t>
      </w:r>
      <w:r w:rsidRPr="00E66383">
        <w:rPr>
          <w:rFonts w:ascii="Times New Roman" w:hAnsi="Times New Roman"/>
          <w:color w:val="auto"/>
          <w:lang w:val="id-ID"/>
        </w:rPr>
        <w:t xml:space="preserve">. </w:t>
      </w:r>
    </w:p>
    <w:p w14:paraId="395F46BA" w14:textId="160312B8" w:rsidR="001A5E0F" w:rsidRPr="00805322" w:rsidRDefault="00C6200F" w:rsidP="00C6200F">
      <w:pPr>
        <w:pStyle w:val="BodyChar"/>
        <w:tabs>
          <w:tab w:val="left" w:pos="284"/>
        </w:tabs>
        <w:rPr>
          <w:color w:val="auto"/>
        </w:rPr>
      </w:pPr>
      <w:r w:rsidRPr="00E66383">
        <w:rPr>
          <w:rFonts w:ascii="Times New Roman" w:hAnsi="Times New Roman"/>
          <w:color w:val="auto"/>
          <w:lang w:val="id-ID"/>
        </w:rPr>
        <w:tab/>
      </w:r>
      <w:r w:rsidR="00350606" w:rsidRPr="00E66383">
        <w:rPr>
          <w:rFonts w:ascii="Times New Roman" w:hAnsi="Times New Roman"/>
          <w:color w:val="auto"/>
          <w:lang w:val="id-ID"/>
        </w:rPr>
        <w:t xml:space="preserve">In addition to other physical properties, namely viscosity. It can be explained that the optimum viscosity conditions in this experiment are using a 15:1 mole ratio with a value of 15.45 cSt. The lower the mole ratio of </w:t>
      </w:r>
      <w:r w:rsidR="00285423" w:rsidRPr="00E66383">
        <w:rPr>
          <w:rFonts w:ascii="Times New Roman" w:hAnsi="Times New Roman"/>
          <w:color w:val="auto"/>
          <w:lang w:val="id-ID"/>
        </w:rPr>
        <w:t xml:space="preserve">methanol : </w:t>
      </w:r>
      <w:r w:rsidR="00285423" w:rsidRPr="00E66383">
        <w:rPr>
          <w:rFonts w:ascii="Times New Roman" w:hAnsi="Times New Roman"/>
          <w:i/>
          <w:iCs/>
          <w:color w:val="auto"/>
          <w:lang w:val="id-ID"/>
        </w:rPr>
        <w:t>Jatropha curcas</w:t>
      </w:r>
      <w:r w:rsidR="00285423" w:rsidRPr="00E66383">
        <w:rPr>
          <w:rFonts w:ascii="Times New Roman" w:hAnsi="Times New Roman"/>
          <w:color w:val="auto"/>
          <w:lang w:val="id-ID"/>
        </w:rPr>
        <w:t xml:space="preserve"> oil</w:t>
      </w:r>
      <w:r w:rsidR="00350606" w:rsidRPr="00E66383">
        <w:rPr>
          <w:rFonts w:ascii="Times New Roman" w:hAnsi="Times New Roman"/>
          <w:color w:val="auto"/>
          <w:lang w:val="id-ID"/>
        </w:rPr>
        <w:t xml:space="preserve">, the greater the resulting viscosity as in the mole ratio of 12:1 with a viscosity of 23.03 cSt, but the lower viscosity is also produced at a mole ratio of 1:18 of 19.87 due to the resulting yield. </w:t>
      </w:r>
      <w:r w:rsidR="00C95F67" w:rsidRPr="00E66383">
        <w:rPr>
          <w:rFonts w:ascii="Times New Roman" w:hAnsi="Times New Roman"/>
          <w:color w:val="auto"/>
          <w:lang w:val="id-ID"/>
        </w:rPr>
        <w:t>T</w:t>
      </w:r>
      <w:r w:rsidR="00350606" w:rsidRPr="00E66383">
        <w:rPr>
          <w:rFonts w:ascii="Times New Roman" w:hAnsi="Times New Roman"/>
          <w:color w:val="auto"/>
          <w:lang w:val="id-ID"/>
        </w:rPr>
        <w:t>he comparison is also of little value.</w:t>
      </w:r>
      <w:r w:rsidR="00014C7F" w:rsidRPr="00E66383">
        <w:rPr>
          <w:rFonts w:ascii="Times New Roman" w:hAnsi="Times New Roman"/>
          <w:color w:val="auto"/>
          <w:lang w:val="id-ID"/>
        </w:rPr>
        <w:t xml:space="preserve"> </w:t>
      </w:r>
      <w:r w:rsidR="00285423" w:rsidRPr="00E66383">
        <w:rPr>
          <w:rFonts w:ascii="Times New Roman" w:hAnsi="Times New Roman"/>
          <w:color w:val="auto"/>
          <w:lang w:val="id-ID"/>
        </w:rPr>
        <w:t>Kinematic viscosity is one of the main parameters in determining the quality of methyl ester because it has a major influence on the effectiveness of methyl ester as a fuel. Vegetable oil has a viscosity far above the viscosity of diesel fuel</w:t>
      </w:r>
      <w:r w:rsidR="00C95F67" w:rsidRPr="00E66383">
        <w:rPr>
          <w:rFonts w:ascii="Times New Roman" w:hAnsi="Times New Roman"/>
          <w:color w:val="auto"/>
          <w:lang w:val="id-ID"/>
        </w:rPr>
        <w:t>. T</w:t>
      </w:r>
      <w:r w:rsidR="00285423" w:rsidRPr="00E66383">
        <w:rPr>
          <w:rFonts w:ascii="Times New Roman" w:hAnsi="Times New Roman"/>
          <w:color w:val="auto"/>
          <w:lang w:val="id-ID"/>
        </w:rPr>
        <w:t xml:space="preserve">his is an obstacle to </w:t>
      </w:r>
      <w:r w:rsidR="00C95F67" w:rsidRPr="00E66383">
        <w:rPr>
          <w:rFonts w:ascii="Times New Roman" w:hAnsi="Times New Roman"/>
          <w:color w:val="auto"/>
          <w:lang w:val="id-ID"/>
        </w:rPr>
        <w:t xml:space="preserve">the </w:t>
      </w:r>
      <w:r w:rsidR="00285423" w:rsidRPr="00E66383">
        <w:rPr>
          <w:rFonts w:ascii="Times New Roman" w:hAnsi="Times New Roman"/>
          <w:color w:val="auto"/>
          <w:lang w:val="id-ID"/>
        </w:rPr>
        <w:t xml:space="preserve">direct use of vegetable oil as fuel. The kinematic viscosity of the methyl ester produced in this experiment averaged </w:t>
      </w:r>
      <w:r w:rsidR="006E3ED6" w:rsidRPr="00E66383">
        <w:rPr>
          <w:rFonts w:ascii="Times New Roman" w:hAnsi="Times New Roman"/>
          <w:color w:val="auto"/>
          <w:lang w:val="id-ID"/>
        </w:rPr>
        <w:t>6.437</w:t>
      </w:r>
      <w:r w:rsidR="00285423" w:rsidRPr="00E66383">
        <w:rPr>
          <w:rFonts w:ascii="Times New Roman" w:hAnsi="Times New Roman"/>
          <w:color w:val="auto"/>
          <w:lang w:val="id-ID"/>
        </w:rPr>
        <w:t xml:space="preserve"> cSt, which is much </w:t>
      </w:r>
      <w:r w:rsidR="00C95F67" w:rsidRPr="00E66383">
        <w:rPr>
          <w:rFonts w:ascii="Times New Roman" w:hAnsi="Times New Roman"/>
          <w:color w:val="auto"/>
          <w:lang w:val="id-ID"/>
        </w:rPr>
        <w:t>high</w:t>
      </w:r>
      <w:r w:rsidR="00285423" w:rsidRPr="00E66383">
        <w:rPr>
          <w:rFonts w:ascii="Times New Roman" w:hAnsi="Times New Roman"/>
          <w:color w:val="auto"/>
          <w:lang w:val="id-ID"/>
        </w:rPr>
        <w:t xml:space="preserve">er than the quality standard </w:t>
      </w:r>
      <w:r w:rsidR="00285423" w:rsidRPr="00E66383">
        <w:rPr>
          <w:rFonts w:ascii="Times New Roman" w:hAnsi="Times New Roman"/>
          <w:color w:val="auto"/>
          <w:lang w:val="id-ID"/>
        </w:rPr>
        <w:lastRenderedPageBreak/>
        <w:t>of methyl ester</w:t>
      </w:r>
      <w:r w:rsidR="00C95F67" w:rsidRPr="00E66383">
        <w:rPr>
          <w:rFonts w:ascii="Times New Roman" w:hAnsi="Times New Roman"/>
          <w:color w:val="auto"/>
          <w:lang w:val="id-ID"/>
        </w:rPr>
        <w:t>,</w:t>
      </w:r>
      <w:r w:rsidR="00285423" w:rsidRPr="00E66383">
        <w:rPr>
          <w:rFonts w:ascii="Times New Roman" w:hAnsi="Times New Roman"/>
          <w:color w:val="auto"/>
          <w:lang w:val="id-ID"/>
        </w:rPr>
        <w:t xml:space="preserve"> according to SNI 14-7182-2006 which only ranged from 2.3 to 6.0 cSt at </w:t>
      </w:r>
      <w:r w:rsidR="006E3ED6" w:rsidRPr="00E66383">
        <w:rPr>
          <w:rFonts w:ascii="Times New Roman" w:hAnsi="Times New Roman"/>
          <w:b/>
          <w:bCs/>
          <w:color w:val="auto"/>
          <w:lang w:val="id-ID"/>
        </w:rPr>
        <w:t xml:space="preserve">Table </w:t>
      </w:r>
      <w:r w:rsidR="00285423" w:rsidRPr="00E66383">
        <w:rPr>
          <w:rFonts w:ascii="Times New Roman" w:hAnsi="Times New Roman"/>
          <w:b/>
          <w:bCs/>
          <w:color w:val="auto"/>
          <w:lang w:val="id-ID"/>
        </w:rPr>
        <w:t>2</w:t>
      </w:r>
      <w:r w:rsidR="00014C7F" w:rsidRPr="00E66383">
        <w:rPr>
          <w:rFonts w:ascii="Times New Roman" w:hAnsi="Times New Roman"/>
          <w:b/>
          <w:bCs/>
          <w:color w:val="auto"/>
          <w:lang w:val="id-ID"/>
        </w:rPr>
        <w:t>.</w:t>
      </w:r>
      <w:r w:rsidR="0009159F" w:rsidRPr="00E66383">
        <w:rPr>
          <w:rFonts w:ascii="Times New Roman" w:hAnsi="Times New Roman"/>
          <w:b/>
          <w:bCs/>
          <w:color w:val="auto"/>
          <w:lang w:val="id-ID"/>
        </w:rPr>
        <w:t xml:space="preserve"> </w:t>
      </w:r>
      <w:r w:rsidR="00C95F67" w:rsidRPr="00E66383">
        <w:rPr>
          <w:color w:val="auto"/>
        </w:rPr>
        <w:t>The f</w:t>
      </w:r>
      <w:r w:rsidR="007549B5" w:rsidRPr="00E66383">
        <w:rPr>
          <w:color w:val="auto"/>
        </w:rPr>
        <w:t xml:space="preserve">ree fatty acid is a measure used to determine the properties of the resulting methyl ester, which is the </w:t>
      </w:r>
      <w:r w:rsidR="00C95F67" w:rsidRPr="00E66383">
        <w:rPr>
          <w:color w:val="auto"/>
        </w:rPr>
        <w:t>high</w:t>
      </w:r>
      <w:r w:rsidR="007549B5" w:rsidRPr="00E66383">
        <w:rPr>
          <w:color w:val="auto"/>
        </w:rPr>
        <w:t>er the free fatty acid content, the resulting in the formation of ash during biodiesel combustion. The free fatty acid produced in this study is 0.563 mgKOH.g</w:t>
      </w:r>
      <w:r w:rsidR="007549B5" w:rsidRPr="00E66383">
        <w:rPr>
          <w:color w:val="auto"/>
          <w:vertAlign w:val="superscript"/>
        </w:rPr>
        <w:t>-1</w:t>
      </w:r>
      <w:r w:rsidR="007549B5" w:rsidRPr="00E66383">
        <w:rPr>
          <w:color w:val="auto"/>
        </w:rPr>
        <w:t>, and does not exceed the quality standard of SNI 14-7182-2006 methyl ester</w:t>
      </w:r>
      <w:r w:rsidR="00C95F67" w:rsidRPr="00E66383">
        <w:rPr>
          <w:color w:val="auto"/>
        </w:rPr>
        <w:t>,</w:t>
      </w:r>
      <w:r w:rsidR="007549B5" w:rsidRPr="00E66383">
        <w:rPr>
          <w:color w:val="auto"/>
        </w:rPr>
        <w:t xml:space="preserve"> which has a maximum limit of 0.8 mgKOH.g</w:t>
      </w:r>
      <w:r w:rsidR="007549B5" w:rsidRPr="00E66383">
        <w:rPr>
          <w:color w:val="auto"/>
          <w:vertAlign w:val="superscript"/>
        </w:rPr>
        <w:t>-1</w:t>
      </w:r>
      <w:r w:rsidR="007549B5" w:rsidRPr="00E66383">
        <w:rPr>
          <w:color w:val="auto"/>
        </w:rPr>
        <w:t>.</w:t>
      </w:r>
    </w:p>
    <w:p w14:paraId="4A004C06" w14:textId="77777777" w:rsidR="00C6200F" w:rsidRPr="00E66383" w:rsidRDefault="00C6200F" w:rsidP="00C6200F">
      <w:pPr>
        <w:pStyle w:val="BodyChar"/>
        <w:tabs>
          <w:tab w:val="left" w:pos="284"/>
        </w:tabs>
        <w:rPr>
          <w:rFonts w:ascii="Times New Roman" w:hAnsi="Times New Roman"/>
          <w:color w:val="auto"/>
          <w:lang w:val="id-ID"/>
        </w:rPr>
      </w:pPr>
    </w:p>
    <w:p w14:paraId="68533D34" w14:textId="77777777" w:rsidR="00B947FF" w:rsidRPr="00E66383" w:rsidRDefault="00F53336" w:rsidP="00B947FF">
      <w:pPr>
        <w:jc w:val="center"/>
        <w:rPr>
          <w:rFonts w:ascii="Times New Roman" w:hAnsi="Times New Roman"/>
          <w:szCs w:val="22"/>
          <w:lang w:val="id-ID"/>
        </w:rPr>
      </w:pPr>
      <w:r w:rsidRPr="00E66383">
        <w:rPr>
          <w:rFonts w:ascii="Times New Roman" w:hAnsi="Times New Roman"/>
          <w:b/>
          <w:szCs w:val="22"/>
        </w:rPr>
        <w:t xml:space="preserve">Table 2. </w:t>
      </w:r>
      <w:r w:rsidR="00B947FF" w:rsidRPr="00E66383">
        <w:rPr>
          <w:rFonts w:ascii="Times New Roman" w:hAnsi="Times New Roman"/>
          <w:szCs w:val="22"/>
        </w:rPr>
        <w:t>Comparison of the Physical Properties of Methyl Ester with SNI 14-71822006</w:t>
      </w:r>
      <w:r w:rsidR="00B947FF" w:rsidRPr="00E66383">
        <w:rPr>
          <w:rFonts w:ascii="Times New Roman" w:hAnsi="Times New Roman"/>
          <w:szCs w:val="22"/>
          <w:lang w:val="id-ID"/>
        </w:rPr>
        <w:t xml:space="preserve"> </w:t>
      </w:r>
      <w:r w:rsidR="00B947FF" w:rsidRPr="00E66383">
        <w:rPr>
          <w:rFonts w:ascii="Times New Roman" w:hAnsi="Times New Roman"/>
          <w:szCs w:val="22"/>
        </w:rPr>
        <w:t>and</w:t>
      </w:r>
      <w:r w:rsidR="00B947FF" w:rsidRPr="00E66383">
        <w:rPr>
          <w:rFonts w:ascii="Times New Roman" w:hAnsi="Times New Roman"/>
          <w:szCs w:val="22"/>
          <w:lang w:val="id-ID"/>
        </w:rPr>
        <w:t xml:space="preserve"> </w:t>
      </w:r>
    </w:p>
    <w:p w14:paraId="0764E023" w14:textId="44924AF8" w:rsidR="00F53336" w:rsidRPr="00E66383" w:rsidRDefault="00B947FF" w:rsidP="00B947FF">
      <w:pPr>
        <w:jc w:val="center"/>
        <w:rPr>
          <w:rFonts w:ascii="Times New Roman" w:hAnsi="Times New Roman"/>
          <w:szCs w:val="22"/>
        </w:rPr>
      </w:pPr>
      <w:r w:rsidRPr="00E66383">
        <w:rPr>
          <w:rFonts w:ascii="Times New Roman" w:hAnsi="Times New Roman"/>
          <w:szCs w:val="22"/>
        </w:rPr>
        <w:t>ASTM</w:t>
      </w:r>
      <w:r w:rsidRPr="00E66383">
        <w:rPr>
          <w:rFonts w:ascii="Times New Roman" w:hAnsi="Times New Roman"/>
          <w:szCs w:val="22"/>
          <w:lang w:val="id-ID"/>
        </w:rPr>
        <w:t xml:space="preserve"> </w:t>
      </w:r>
      <w:r w:rsidRPr="00E66383">
        <w:rPr>
          <w:rFonts w:ascii="Times New Roman" w:hAnsi="Times New Roman"/>
          <w:szCs w:val="22"/>
        </w:rPr>
        <w:t>D6751</w:t>
      </w:r>
    </w:p>
    <w:p w14:paraId="3B52D4C6" w14:textId="77777777" w:rsidR="00B947FF" w:rsidRPr="00E66383" w:rsidRDefault="00B947FF" w:rsidP="00B947FF">
      <w:pPr>
        <w:jc w:val="center"/>
        <w:rPr>
          <w:rFonts w:ascii="Times New Roman" w:hAnsi="Times New Roman"/>
          <w:szCs w:val="22"/>
        </w:rPr>
      </w:pPr>
    </w:p>
    <w:tbl>
      <w:tblPr>
        <w:tblStyle w:val="TableGrid"/>
        <w:tblW w:w="8159" w:type="dxa"/>
        <w:jc w:val="center"/>
        <w:tblBorders>
          <w:left w:val="none" w:sz="0" w:space="0" w:color="auto"/>
          <w:right w:val="none" w:sz="0" w:space="0" w:color="auto"/>
          <w:insideH w:val="none" w:sz="0" w:space="0" w:color="auto"/>
        </w:tblBorders>
        <w:tblLook w:val="04A0" w:firstRow="1" w:lastRow="0" w:firstColumn="1" w:lastColumn="0" w:noHBand="0" w:noVBand="1"/>
      </w:tblPr>
      <w:tblGrid>
        <w:gridCol w:w="1517"/>
        <w:gridCol w:w="1404"/>
        <w:gridCol w:w="1395"/>
        <w:gridCol w:w="1596"/>
        <w:gridCol w:w="2247"/>
      </w:tblGrid>
      <w:tr w:rsidR="003953C5" w:rsidRPr="00E66383" w14:paraId="712B9516" w14:textId="77777777" w:rsidTr="00B947FF">
        <w:trPr>
          <w:jc w:val="center"/>
        </w:trPr>
        <w:tc>
          <w:tcPr>
            <w:tcW w:w="1517" w:type="dxa"/>
            <w:vMerge w:val="restart"/>
            <w:tcBorders>
              <w:top w:val="single" w:sz="4" w:space="0" w:color="auto"/>
              <w:left w:val="nil"/>
              <w:right w:val="nil"/>
            </w:tcBorders>
            <w:vAlign w:val="center"/>
          </w:tcPr>
          <w:p w14:paraId="3BE58F2F" w14:textId="60C18A56" w:rsidR="003953C5" w:rsidRPr="00E66383" w:rsidRDefault="003953C5" w:rsidP="00F53336">
            <w:pPr>
              <w:jc w:val="center"/>
              <w:rPr>
                <w:rFonts w:ascii="Times New Roman" w:hAnsi="Times New Roman"/>
                <w:b/>
                <w:bCs/>
                <w:szCs w:val="22"/>
                <w:lang w:val="id-ID"/>
              </w:rPr>
            </w:pPr>
            <w:r w:rsidRPr="00E66383">
              <w:rPr>
                <w:rFonts w:ascii="Times New Roman" w:hAnsi="Times New Roman"/>
                <w:b/>
                <w:bCs/>
                <w:szCs w:val="22"/>
                <w:lang w:val="id-ID"/>
              </w:rPr>
              <w:t>Parameter</w:t>
            </w:r>
          </w:p>
        </w:tc>
        <w:tc>
          <w:tcPr>
            <w:tcW w:w="1404" w:type="dxa"/>
            <w:vMerge w:val="restart"/>
            <w:tcBorders>
              <w:top w:val="single" w:sz="4" w:space="0" w:color="auto"/>
              <w:left w:val="nil"/>
              <w:right w:val="nil"/>
            </w:tcBorders>
            <w:vAlign w:val="center"/>
          </w:tcPr>
          <w:p w14:paraId="70B2DF54" w14:textId="72DF42E5" w:rsidR="003953C5" w:rsidRPr="00E66383" w:rsidRDefault="003953C5" w:rsidP="00F53336">
            <w:pPr>
              <w:jc w:val="center"/>
              <w:rPr>
                <w:rFonts w:ascii="Times New Roman" w:hAnsi="Times New Roman"/>
                <w:b/>
                <w:bCs/>
                <w:szCs w:val="22"/>
                <w:lang w:val="id-ID"/>
              </w:rPr>
            </w:pPr>
            <w:r w:rsidRPr="00E66383">
              <w:rPr>
                <w:rFonts w:ascii="Times New Roman" w:hAnsi="Times New Roman"/>
                <w:b/>
                <w:bCs/>
                <w:szCs w:val="22"/>
                <w:lang w:val="id-ID"/>
              </w:rPr>
              <w:t>Units</w:t>
            </w:r>
          </w:p>
        </w:tc>
        <w:tc>
          <w:tcPr>
            <w:tcW w:w="1395" w:type="dxa"/>
            <w:vMerge w:val="restart"/>
            <w:tcBorders>
              <w:top w:val="single" w:sz="4" w:space="0" w:color="auto"/>
              <w:left w:val="nil"/>
              <w:right w:val="nil"/>
            </w:tcBorders>
            <w:vAlign w:val="center"/>
          </w:tcPr>
          <w:p w14:paraId="192E9F44" w14:textId="12234F14" w:rsidR="003953C5" w:rsidRPr="00E66383" w:rsidRDefault="003953C5" w:rsidP="00F53336">
            <w:pPr>
              <w:jc w:val="center"/>
              <w:rPr>
                <w:rFonts w:ascii="Times New Roman" w:hAnsi="Times New Roman"/>
                <w:b/>
                <w:bCs/>
                <w:szCs w:val="22"/>
                <w:lang w:val="id-ID"/>
              </w:rPr>
            </w:pPr>
            <w:r w:rsidRPr="00E66383">
              <w:rPr>
                <w:rFonts w:ascii="Times New Roman" w:hAnsi="Times New Roman"/>
                <w:b/>
                <w:bCs/>
                <w:szCs w:val="22"/>
                <w:lang w:val="id-ID"/>
              </w:rPr>
              <w:t>Results</w:t>
            </w:r>
          </w:p>
        </w:tc>
        <w:tc>
          <w:tcPr>
            <w:tcW w:w="1596" w:type="dxa"/>
            <w:tcBorders>
              <w:top w:val="single" w:sz="4" w:space="0" w:color="auto"/>
              <w:left w:val="nil"/>
              <w:bottom w:val="single" w:sz="4" w:space="0" w:color="auto"/>
              <w:right w:val="nil"/>
            </w:tcBorders>
            <w:vAlign w:val="center"/>
          </w:tcPr>
          <w:p w14:paraId="2CA0B006" w14:textId="5A7F6ECF" w:rsidR="003953C5" w:rsidRPr="00E66383" w:rsidRDefault="003953C5" w:rsidP="00F53336">
            <w:pPr>
              <w:jc w:val="center"/>
              <w:rPr>
                <w:rFonts w:ascii="Times New Roman" w:hAnsi="Times New Roman"/>
                <w:b/>
                <w:bCs/>
                <w:szCs w:val="22"/>
                <w:lang w:val="id-ID"/>
              </w:rPr>
            </w:pPr>
            <w:r w:rsidRPr="00E66383">
              <w:rPr>
                <w:rFonts w:ascii="Times New Roman" w:hAnsi="Times New Roman"/>
                <w:b/>
                <w:bCs/>
                <w:szCs w:val="22"/>
                <w:lang w:val="id-ID"/>
              </w:rPr>
              <w:t>SNI</w:t>
            </w:r>
          </w:p>
        </w:tc>
        <w:tc>
          <w:tcPr>
            <w:tcW w:w="2247" w:type="dxa"/>
            <w:tcBorders>
              <w:top w:val="single" w:sz="4" w:space="0" w:color="auto"/>
              <w:left w:val="nil"/>
              <w:bottom w:val="single" w:sz="4" w:space="0" w:color="auto"/>
            </w:tcBorders>
            <w:vAlign w:val="center"/>
          </w:tcPr>
          <w:p w14:paraId="2B8D9220" w14:textId="4F217336" w:rsidR="003953C5" w:rsidRPr="00E66383" w:rsidRDefault="003953C5" w:rsidP="00F53336">
            <w:pPr>
              <w:jc w:val="center"/>
              <w:rPr>
                <w:rFonts w:ascii="Times New Roman" w:hAnsi="Times New Roman"/>
                <w:b/>
                <w:bCs/>
                <w:szCs w:val="22"/>
                <w:lang w:val="id-ID"/>
              </w:rPr>
            </w:pPr>
            <w:r w:rsidRPr="00E66383">
              <w:rPr>
                <w:rFonts w:ascii="Times New Roman" w:hAnsi="Times New Roman"/>
                <w:b/>
                <w:bCs/>
                <w:szCs w:val="22"/>
                <w:lang w:val="id-ID"/>
              </w:rPr>
              <w:t>ASTM</w:t>
            </w:r>
          </w:p>
        </w:tc>
      </w:tr>
      <w:tr w:rsidR="003953C5" w:rsidRPr="00E66383" w14:paraId="77F2A47F" w14:textId="77777777" w:rsidTr="00B947FF">
        <w:trPr>
          <w:jc w:val="center"/>
        </w:trPr>
        <w:tc>
          <w:tcPr>
            <w:tcW w:w="1517" w:type="dxa"/>
            <w:vMerge/>
            <w:tcBorders>
              <w:left w:val="nil"/>
              <w:bottom w:val="single" w:sz="4" w:space="0" w:color="auto"/>
              <w:right w:val="nil"/>
            </w:tcBorders>
            <w:vAlign w:val="center"/>
          </w:tcPr>
          <w:p w14:paraId="3003676D" w14:textId="2431F5D3" w:rsidR="003953C5" w:rsidRPr="00E66383" w:rsidRDefault="003953C5" w:rsidP="00F53336">
            <w:pPr>
              <w:jc w:val="center"/>
              <w:rPr>
                <w:rFonts w:ascii="Times New Roman" w:hAnsi="Times New Roman"/>
                <w:b/>
                <w:bCs/>
                <w:szCs w:val="22"/>
              </w:rPr>
            </w:pPr>
          </w:p>
        </w:tc>
        <w:tc>
          <w:tcPr>
            <w:tcW w:w="1404" w:type="dxa"/>
            <w:vMerge/>
            <w:tcBorders>
              <w:left w:val="nil"/>
              <w:bottom w:val="single" w:sz="4" w:space="0" w:color="auto"/>
              <w:right w:val="nil"/>
            </w:tcBorders>
            <w:vAlign w:val="center"/>
          </w:tcPr>
          <w:p w14:paraId="0DA392CC" w14:textId="06F94753" w:rsidR="003953C5" w:rsidRPr="00E66383" w:rsidRDefault="003953C5" w:rsidP="00F53336">
            <w:pPr>
              <w:jc w:val="center"/>
              <w:rPr>
                <w:rFonts w:ascii="Times New Roman" w:hAnsi="Times New Roman"/>
                <w:b/>
                <w:bCs/>
                <w:szCs w:val="22"/>
              </w:rPr>
            </w:pPr>
          </w:p>
        </w:tc>
        <w:tc>
          <w:tcPr>
            <w:tcW w:w="1395" w:type="dxa"/>
            <w:vMerge/>
            <w:tcBorders>
              <w:left w:val="nil"/>
              <w:bottom w:val="single" w:sz="4" w:space="0" w:color="auto"/>
              <w:right w:val="nil"/>
            </w:tcBorders>
            <w:vAlign w:val="center"/>
          </w:tcPr>
          <w:p w14:paraId="5743598D" w14:textId="2678E516" w:rsidR="003953C5" w:rsidRPr="00E66383" w:rsidRDefault="003953C5" w:rsidP="00F53336">
            <w:pPr>
              <w:jc w:val="center"/>
              <w:rPr>
                <w:rFonts w:ascii="Times New Roman" w:hAnsi="Times New Roman"/>
                <w:b/>
                <w:bCs/>
                <w:szCs w:val="22"/>
              </w:rPr>
            </w:pPr>
          </w:p>
        </w:tc>
        <w:tc>
          <w:tcPr>
            <w:tcW w:w="1596" w:type="dxa"/>
            <w:tcBorders>
              <w:top w:val="single" w:sz="4" w:space="0" w:color="auto"/>
              <w:left w:val="nil"/>
              <w:bottom w:val="single" w:sz="4" w:space="0" w:color="auto"/>
              <w:right w:val="nil"/>
            </w:tcBorders>
            <w:vAlign w:val="center"/>
          </w:tcPr>
          <w:p w14:paraId="4DCF4DF7" w14:textId="04E0521F" w:rsidR="003953C5" w:rsidRPr="00E66383" w:rsidRDefault="003953C5" w:rsidP="00F53336">
            <w:pPr>
              <w:jc w:val="center"/>
              <w:rPr>
                <w:rFonts w:ascii="Times New Roman" w:hAnsi="Times New Roman"/>
                <w:b/>
                <w:bCs/>
                <w:szCs w:val="22"/>
                <w:lang w:val="id-ID"/>
              </w:rPr>
            </w:pPr>
            <w:r w:rsidRPr="00E66383">
              <w:rPr>
                <w:rFonts w:ascii="Times New Roman" w:hAnsi="Times New Roman"/>
                <w:b/>
                <w:bCs/>
                <w:szCs w:val="22"/>
                <w:lang w:val="id-ID"/>
              </w:rPr>
              <w:t>04-7182-2006</w:t>
            </w:r>
          </w:p>
        </w:tc>
        <w:tc>
          <w:tcPr>
            <w:tcW w:w="2247" w:type="dxa"/>
            <w:tcBorders>
              <w:top w:val="single" w:sz="4" w:space="0" w:color="auto"/>
              <w:left w:val="nil"/>
              <w:bottom w:val="single" w:sz="4" w:space="0" w:color="auto"/>
            </w:tcBorders>
            <w:vAlign w:val="center"/>
          </w:tcPr>
          <w:p w14:paraId="24EECB1C" w14:textId="5E51B24A" w:rsidR="003953C5" w:rsidRPr="00E66383" w:rsidRDefault="003953C5" w:rsidP="00F53336">
            <w:pPr>
              <w:jc w:val="center"/>
              <w:rPr>
                <w:rFonts w:ascii="Times New Roman" w:hAnsi="Times New Roman"/>
                <w:b/>
                <w:bCs/>
                <w:szCs w:val="22"/>
                <w:lang w:val="id-ID"/>
              </w:rPr>
            </w:pPr>
            <w:r w:rsidRPr="00E66383">
              <w:rPr>
                <w:rFonts w:ascii="Times New Roman" w:hAnsi="Times New Roman"/>
                <w:b/>
                <w:bCs/>
                <w:szCs w:val="22"/>
                <w:lang w:val="id-ID"/>
              </w:rPr>
              <w:t>D6751</w:t>
            </w:r>
          </w:p>
        </w:tc>
      </w:tr>
      <w:tr w:rsidR="003953C5" w:rsidRPr="00E66383" w14:paraId="551FB66C" w14:textId="77777777" w:rsidTr="00B947FF">
        <w:trPr>
          <w:jc w:val="center"/>
        </w:trPr>
        <w:tc>
          <w:tcPr>
            <w:tcW w:w="1517" w:type="dxa"/>
            <w:tcBorders>
              <w:top w:val="single" w:sz="4" w:space="0" w:color="auto"/>
              <w:left w:val="nil"/>
              <w:bottom w:val="single" w:sz="4" w:space="0" w:color="auto"/>
              <w:right w:val="nil"/>
            </w:tcBorders>
            <w:vAlign w:val="center"/>
          </w:tcPr>
          <w:p w14:paraId="411350DC" w14:textId="2AF5486D" w:rsidR="003953C5" w:rsidRPr="00E66383" w:rsidRDefault="003953C5" w:rsidP="00F53336">
            <w:pPr>
              <w:jc w:val="center"/>
              <w:rPr>
                <w:rFonts w:ascii="Times New Roman" w:hAnsi="Times New Roman"/>
                <w:szCs w:val="22"/>
                <w:lang w:val="id-ID"/>
              </w:rPr>
            </w:pPr>
            <w:r w:rsidRPr="00E66383">
              <w:rPr>
                <w:rFonts w:ascii="Times New Roman" w:hAnsi="Times New Roman"/>
                <w:szCs w:val="22"/>
                <w:lang w:val="id-ID"/>
              </w:rPr>
              <w:t>Density</w:t>
            </w:r>
          </w:p>
        </w:tc>
        <w:tc>
          <w:tcPr>
            <w:tcW w:w="1404" w:type="dxa"/>
            <w:tcBorders>
              <w:top w:val="single" w:sz="4" w:space="0" w:color="auto"/>
              <w:left w:val="nil"/>
              <w:bottom w:val="single" w:sz="4" w:space="0" w:color="auto"/>
              <w:right w:val="nil"/>
            </w:tcBorders>
            <w:vAlign w:val="center"/>
          </w:tcPr>
          <w:p w14:paraId="1D11E177" w14:textId="34CEBFB9" w:rsidR="003953C5" w:rsidRPr="00E66383" w:rsidRDefault="003953C5" w:rsidP="00F53336">
            <w:pPr>
              <w:jc w:val="center"/>
              <w:rPr>
                <w:rFonts w:ascii="Times New Roman" w:hAnsi="Times New Roman"/>
                <w:szCs w:val="22"/>
                <w:lang w:val="id-ID"/>
              </w:rPr>
            </w:pPr>
            <w:r w:rsidRPr="00E66383">
              <w:rPr>
                <w:rFonts w:ascii="Times New Roman" w:hAnsi="Times New Roman"/>
                <w:szCs w:val="22"/>
                <w:lang w:val="id-ID"/>
              </w:rPr>
              <w:t>g.cm</w:t>
            </w:r>
            <w:r w:rsidRPr="00E66383">
              <w:rPr>
                <w:rFonts w:ascii="Times New Roman" w:hAnsi="Times New Roman"/>
                <w:szCs w:val="22"/>
                <w:vertAlign w:val="superscript"/>
                <w:lang w:val="id-ID"/>
              </w:rPr>
              <w:t>-3</w:t>
            </w:r>
          </w:p>
        </w:tc>
        <w:tc>
          <w:tcPr>
            <w:tcW w:w="1395" w:type="dxa"/>
            <w:tcBorders>
              <w:top w:val="single" w:sz="4" w:space="0" w:color="auto"/>
              <w:left w:val="nil"/>
              <w:bottom w:val="single" w:sz="4" w:space="0" w:color="auto"/>
              <w:right w:val="nil"/>
            </w:tcBorders>
            <w:vAlign w:val="center"/>
          </w:tcPr>
          <w:p w14:paraId="52034807" w14:textId="38881367" w:rsidR="003953C5" w:rsidRPr="00E66383" w:rsidRDefault="003953C5" w:rsidP="00F53336">
            <w:pPr>
              <w:jc w:val="center"/>
              <w:rPr>
                <w:rFonts w:ascii="Times New Roman" w:hAnsi="Times New Roman"/>
                <w:szCs w:val="22"/>
                <w:lang w:val="id-ID"/>
              </w:rPr>
            </w:pPr>
            <w:r w:rsidRPr="00E66383">
              <w:rPr>
                <w:rFonts w:ascii="Times New Roman" w:hAnsi="Times New Roman"/>
                <w:szCs w:val="22"/>
                <w:lang w:val="id-ID"/>
              </w:rPr>
              <w:t>0.8828</w:t>
            </w:r>
          </w:p>
        </w:tc>
        <w:tc>
          <w:tcPr>
            <w:tcW w:w="1596" w:type="dxa"/>
            <w:tcBorders>
              <w:top w:val="single" w:sz="4" w:space="0" w:color="auto"/>
              <w:left w:val="nil"/>
              <w:bottom w:val="single" w:sz="4" w:space="0" w:color="auto"/>
              <w:right w:val="nil"/>
            </w:tcBorders>
            <w:vAlign w:val="center"/>
          </w:tcPr>
          <w:p w14:paraId="62EF1E6A" w14:textId="3B519D52" w:rsidR="003953C5" w:rsidRPr="00E66383" w:rsidRDefault="00B947FF" w:rsidP="00F53336">
            <w:pPr>
              <w:jc w:val="center"/>
              <w:rPr>
                <w:rFonts w:ascii="Times New Roman" w:hAnsi="Times New Roman"/>
                <w:szCs w:val="22"/>
                <w:lang w:val="id-ID"/>
              </w:rPr>
            </w:pPr>
            <w:r w:rsidRPr="00E66383">
              <w:rPr>
                <w:rFonts w:ascii="Times New Roman" w:hAnsi="Times New Roman"/>
                <w:szCs w:val="22"/>
                <w:lang w:val="id-ID"/>
              </w:rPr>
              <w:t>0.85 – 0.9</w:t>
            </w:r>
          </w:p>
        </w:tc>
        <w:tc>
          <w:tcPr>
            <w:tcW w:w="2247" w:type="dxa"/>
            <w:tcBorders>
              <w:top w:val="single" w:sz="4" w:space="0" w:color="auto"/>
              <w:left w:val="nil"/>
              <w:bottom w:val="single" w:sz="4" w:space="0" w:color="auto"/>
            </w:tcBorders>
            <w:vAlign w:val="center"/>
          </w:tcPr>
          <w:p w14:paraId="0A6EBB9A" w14:textId="6F4420DA" w:rsidR="003953C5" w:rsidRPr="00E66383" w:rsidRDefault="00B947FF" w:rsidP="00F53336">
            <w:pPr>
              <w:jc w:val="center"/>
              <w:rPr>
                <w:rFonts w:ascii="Times New Roman" w:hAnsi="Times New Roman"/>
                <w:szCs w:val="22"/>
                <w:lang w:val="id-ID"/>
              </w:rPr>
            </w:pPr>
            <w:r w:rsidRPr="00E66383">
              <w:rPr>
                <w:rFonts w:ascii="Times New Roman" w:hAnsi="Times New Roman"/>
                <w:szCs w:val="22"/>
                <w:lang w:val="id-ID"/>
              </w:rPr>
              <w:t>0.85 – 0.89</w:t>
            </w:r>
          </w:p>
        </w:tc>
      </w:tr>
      <w:tr w:rsidR="003953C5" w:rsidRPr="00E66383" w14:paraId="0B4B74F7" w14:textId="77777777" w:rsidTr="00B947FF">
        <w:trPr>
          <w:jc w:val="center"/>
        </w:trPr>
        <w:tc>
          <w:tcPr>
            <w:tcW w:w="1517" w:type="dxa"/>
            <w:tcBorders>
              <w:top w:val="single" w:sz="4" w:space="0" w:color="auto"/>
              <w:left w:val="nil"/>
              <w:bottom w:val="single" w:sz="4" w:space="0" w:color="auto"/>
              <w:right w:val="nil"/>
            </w:tcBorders>
            <w:vAlign w:val="center"/>
          </w:tcPr>
          <w:p w14:paraId="163F98CC" w14:textId="2FCE81FD" w:rsidR="003953C5" w:rsidRPr="00E66383" w:rsidRDefault="003953C5" w:rsidP="00F53336">
            <w:pPr>
              <w:jc w:val="center"/>
              <w:rPr>
                <w:rFonts w:ascii="Times New Roman" w:hAnsi="Times New Roman"/>
                <w:szCs w:val="22"/>
                <w:lang w:val="id-ID"/>
              </w:rPr>
            </w:pPr>
            <w:r w:rsidRPr="00E66383">
              <w:rPr>
                <w:rFonts w:ascii="Times New Roman" w:hAnsi="Times New Roman"/>
                <w:szCs w:val="22"/>
                <w:lang w:val="id-ID"/>
              </w:rPr>
              <w:t>Viscosity</w:t>
            </w:r>
          </w:p>
        </w:tc>
        <w:tc>
          <w:tcPr>
            <w:tcW w:w="1404" w:type="dxa"/>
            <w:tcBorders>
              <w:top w:val="single" w:sz="4" w:space="0" w:color="auto"/>
              <w:left w:val="nil"/>
              <w:bottom w:val="single" w:sz="4" w:space="0" w:color="auto"/>
              <w:right w:val="nil"/>
            </w:tcBorders>
            <w:vAlign w:val="center"/>
          </w:tcPr>
          <w:p w14:paraId="20D57844" w14:textId="12474D32" w:rsidR="003953C5" w:rsidRPr="00E66383" w:rsidRDefault="003953C5" w:rsidP="00F53336">
            <w:pPr>
              <w:jc w:val="center"/>
              <w:rPr>
                <w:rFonts w:ascii="Times New Roman" w:hAnsi="Times New Roman"/>
                <w:szCs w:val="22"/>
                <w:lang w:val="id-ID"/>
              </w:rPr>
            </w:pPr>
            <w:r w:rsidRPr="00E66383">
              <w:rPr>
                <w:rFonts w:ascii="Times New Roman" w:hAnsi="Times New Roman"/>
                <w:szCs w:val="22"/>
                <w:lang w:val="id-ID"/>
              </w:rPr>
              <w:t>mm</w:t>
            </w:r>
            <w:r w:rsidRPr="00E66383">
              <w:rPr>
                <w:rFonts w:ascii="Times New Roman" w:hAnsi="Times New Roman"/>
                <w:szCs w:val="22"/>
                <w:vertAlign w:val="superscript"/>
                <w:lang w:val="id-ID"/>
              </w:rPr>
              <w:t>2</w:t>
            </w:r>
            <w:r w:rsidR="00B947FF" w:rsidRPr="00E66383">
              <w:rPr>
                <w:rFonts w:ascii="Times New Roman" w:hAnsi="Times New Roman"/>
                <w:szCs w:val="22"/>
                <w:lang w:val="id-ID"/>
              </w:rPr>
              <w:t>.s</w:t>
            </w:r>
            <w:r w:rsidR="00B947FF" w:rsidRPr="00E66383">
              <w:rPr>
                <w:rFonts w:ascii="Times New Roman" w:hAnsi="Times New Roman"/>
                <w:szCs w:val="22"/>
                <w:vertAlign w:val="superscript"/>
                <w:lang w:val="id-ID"/>
              </w:rPr>
              <w:t>-1</w:t>
            </w:r>
            <w:r w:rsidRPr="00E66383">
              <w:rPr>
                <w:rFonts w:ascii="Times New Roman" w:hAnsi="Times New Roman"/>
                <w:szCs w:val="22"/>
                <w:lang w:val="id-ID"/>
              </w:rPr>
              <w:t xml:space="preserve"> (cSt)</w:t>
            </w:r>
          </w:p>
        </w:tc>
        <w:tc>
          <w:tcPr>
            <w:tcW w:w="1395" w:type="dxa"/>
            <w:tcBorders>
              <w:top w:val="single" w:sz="4" w:space="0" w:color="auto"/>
              <w:left w:val="nil"/>
              <w:bottom w:val="single" w:sz="4" w:space="0" w:color="auto"/>
              <w:right w:val="nil"/>
            </w:tcBorders>
            <w:vAlign w:val="center"/>
          </w:tcPr>
          <w:p w14:paraId="38739E59" w14:textId="50D28338" w:rsidR="003953C5" w:rsidRPr="00E66383" w:rsidRDefault="003953C5" w:rsidP="00F53336">
            <w:pPr>
              <w:jc w:val="center"/>
              <w:rPr>
                <w:rFonts w:ascii="Times New Roman" w:hAnsi="Times New Roman"/>
                <w:szCs w:val="22"/>
                <w:lang w:val="id-ID"/>
              </w:rPr>
            </w:pPr>
            <w:r w:rsidRPr="00E66383">
              <w:rPr>
                <w:rFonts w:ascii="Times New Roman" w:hAnsi="Times New Roman"/>
                <w:szCs w:val="22"/>
                <w:lang w:val="id-ID"/>
              </w:rPr>
              <w:t>6.431</w:t>
            </w:r>
          </w:p>
        </w:tc>
        <w:tc>
          <w:tcPr>
            <w:tcW w:w="1596" w:type="dxa"/>
            <w:tcBorders>
              <w:top w:val="single" w:sz="4" w:space="0" w:color="auto"/>
              <w:left w:val="nil"/>
              <w:bottom w:val="single" w:sz="4" w:space="0" w:color="auto"/>
              <w:right w:val="nil"/>
            </w:tcBorders>
            <w:vAlign w:val="center"/>
          </w:tcPr>
          <w:p w14:paraId="468E8769" w14:textId="18524160" w:rsidR="003953C5" w:rsidRPr="00E66383" w:rsidRDefault="00B947FF" w:rsidP="00F53336">
            <w:pPr>
              <w:jc w:val="center"/>
              <w:rPr>
                <w:rFonts w:ascii="Times New Roman" w:hAnsi="Times New Roman"/>
                <w:szCs w:val="22"/>
                <w:lang w:val="id-ID"/>
              </w:rPr>
            </w:pPr>
            <w:r w:rsidRPr="00E66383">
              <w:rPr>
                <w:rFonts w:ascii="Times New Roman" w:hAnsi="Times New Roman"/>
                <w:szCs w:val="22"/>
                <w:lang w:val="id-ID"/>
              </w:rPr>
              <w:t>2.3 – 6.0</w:t>
            </w:r>
          </w:p>
        </w:tc>
        <w:tc>
          <w:tcPr>
            <w:tcW w:w="2247" w:type="dxa"/>
            <w:tcBorders>
              <w:top w:val="single" w:sz="4" w:space="0" w:color="auto"/>
              <w:left w:val="nil"/>
              <w:bottom w:val="single" w:sz="4" w:space="0" w:color="auto"/>
            </w:tcBorders>
            <w:vAlign w:val="center"/>
          </w:tcPr>
          <w:p w14:paraId="64EDA122" w14:textId="303505CC" w:rsidR="003953C5" w:rsidRPr="00E66383" w:rsidRDefault="00B947FF" w:rsidP="00F53336">
            <w:pPr>
              <w:jc w:val="center"/>
              <w:rPr>
                <w:rFonts w:ascii="Times New Roman" w:hAnsi="Times New Roman"/>
                <w:szCs w:val="22"/>
                <w:lang w:val="id-ID"/>
              </w:rPr>
            </w:pPr>
            <w:r w:rsidRPr="00E66383">
              <w:rPr>
                <w:rFonts w:ascii="Times New Roman" w:hAnsi="Times New Roman"/>
                <w:szCs w:val="22"/>
                <w:lang w:val="id-ID"/>
              </w:rPr>
              <w:t>1.9 – 6.0</w:t>
            </w:r>
          </w:p>
        </w:tc>
      </w:tr>
      <w:tr w:rsidR="00E66383" w:rsidRPr="00E66383" w14:paraId="030EC931" w14:textId="77777777" w:rsidTr="00B947FF">
        <w:trPr>
          <w:jc w:val="center"/>
        </w:trPr>
        <w:tc>
          <w:tcPr>
            <w:tcW w:w="1517" w:type="dxa"/>
            <w:tcBorders>
              <w:top w:val="single" w:sz="4" w:space="0" w:color="auto"/>
              <w:left w:val="nil"/>
              <w:bottom w:val="single" w:sz="4" w:space="0" w:color="auto"/>
              <w:right w:val="nil"/>
            </w:tcBorders>
            <w:vAlign w:val="center"/>
          </w:tcPr>
          <w:p w14:paraId="5484C9AF" w14:textId="7EFA9E13" w:rsidR="003953C5" w:rsidRPr="00E66383" w:rsidRDefault="003953C5" w:rsidP="00F53336">
            <w:pPr>
              <w:jc w:val="center"/>
              <w:rPr>
                <w:rFonts w:ascii="Times New Roman" w:hAnsi="Times New Roman"/>
                <w:szCs w:val="22"/>
                <w:lang w:val="id-ID"/>
              </w:rPr>
            </w:pPr>
            <w:r w:rsidRPr="00E66383">
              <w:rPr>
                <w:rFonts w:ascii="Times New Roman" w:hAnsi="Times New Roman"/>
                <w:szCs w:val="22"/>
                <w:lang w:val="id-ID"/>
              </w:rPr>
              <w:t>Acid Number</w:t>
            </w:r>
          </w:p>
        </w:tc>
        <w:tc>
          <w:tcPr>
            <w:tcW w:w="1404" w:type="dxa"/>
            <w:tcBorders>
              <w:top w:val="single" w:sz="4" w:space="0" w:color="auto"/>
              <w:left w:val="nil"/>
              <w:bottom w:val="single" w:sz="4" w:space="0" w:color="auto"/>
              <w:right w:val="nil"/>
            </w:tcBorders>
            <w:vAlign w:val="center"/>
          </w:tcPr>
          <w:p w14:paraId="053A289B" w14:textId="2CE2EC96" w:rsidR="003953C5" w:rsidRPr="00E66383" w:rsidRDefault="003953C5" w:rsidP="00F53336">
            <w:pPr>
              <w:jc w:val="center"/>
              <w:rPr>
                <w:rFonts w:ascii="Times New Roman" w:hAnsi="Times New Roman"/>
                <w:szCs w:val="22"/>
                <w:vertAlign w:val="superscript"/>
                <w:lang w:val="id-ID"/>
              </w:rPr>
            </w:pPr>
            <w:r w:rsidRPr="00E66383">
              <w:rPr>
                <w:rFonts w:ascii="Times New Roman" w:hAnsi="Times New Roman"/>
                <w:szCs w:val="22"/>
                <w:lang w:val="id-ID"/>
              </w:rPr>
              <w:t>mgKOH</w:t>
            </w:r>
            <w:r w:rsidR="00B947FF" w:rsidRPr="00E66383">
              <w:rPr>
                <w:rFonts w:ascii="Times New Roman" w:hAnsi="Times New Roman"/>
                <w:szCs w:val="22"/>
                <w:lang w:val="id-ID"/>
              </w:rPr>
              <w:t>.</w:t>
            </w:r>
            <w:r w:rsidRPr="00E66383">
              <w:rPr>
                <w:rFonts w:ascii="Times New Roman" w:hAnsi="Times New Roman"/>
                <w:szCs w:val="22"/>
                <w:lang w:val="id-ID"/>
              </w:rPr>
              <w:t>g</w:t>
            </w:r>
            <w:r w:rsidR="00B947FF" w:rsidRPr="00E66383">
              <w:rPr>
                <w:rFonts w:ascii="Times New Roman" w:hAnsi="Times New Roman"/>
                <w:szCs w:val="22"/>
                <w:vertAlign w:val="superscript"/>
                <w:lang w:val="id-ID"/>
              </w:rPr>
              <w:t>-1</w:t>
            </w:r>
          </w:p>
        </w:tc>
        <w:tc>
          <w:tcPr>
            <w:tcW w:w="1395" w:type="dxa"/>
            <w:tcBorders>
              <w:top w:val="single" w:sz="4" w:space="0" w:color="auto"/>
              <w:left w:val="nil"/>
              <w:bottom w:val="single" w:sz="4" w:space="0" w:color="auto"/>
              <w:right w:val="nil"/>
            </w:tcBorders>
            <w:vAlign w:val="center"/>
          </w:tcPr>
          <w:p w14:paraId="23346740" w14:textId="4E457D23" w:rsidR="003953C5" w:rsidRPr="00E66383" w:rsidRDefault="003953C5" w:rsidP="00F53336">
            <w:pPr>
              <w:jc w:val="center"/>
              <w:rPr>
                <w:rFonts w:ascii="Times New Roman" w:hAnsi="Times New Roman"/>
                <w:szCs w:val="22"/>
                <w:lang w:val="id-ID"/>
              </w:rPr>
            </w:pPr>
            <w:r w:rsidRPr="00E66383">
              <w:rPr>
                <w:rFonts w:ascii="Times New Roman" w:hAnsi="Times New Roman"/>
                <w:szCs w:val="22"/>
                <w:lang w:val="id-ID"/>
              </w:rPr>
              <w:t>0.563</w:t>
            </w:r>
          </w:p>
        </w:tc>
        <w:tc>
          <w:tcPr>
            <w:tcW w:w="1596" w:type="dxa"/>
            <w:tcBorders>
              <w:top w:val="single" w:sz="4" w:space="0" w:color="auto"/>
              <w:left w:val="nil"/>
              <w:bottom w:val="single" w:sz="4" w:space="0" w:color="auto"/>
              <w:right w:val="nil"/>
            </w:tcBorders>
            <w:vAlign w:val="center"/>
          </w:tcPr>
          <w:p w14:paraId="2C69CAC8" w14:textId="722C7D25" w:rsidR="003953C5" w:rsidRPr="00E66383" w:rsidRDefault="00B947FF" w:rsidP="00F53336">
            <w:pPr>
              <w:jc w:val="center"/>
              <w:rPr>
                <w:rFonts w:ascii="Times New Roman" w:hAnsi="Times New Roman"/>
                <w:szCs w:val="22"/>
                <w:lang w:val="id-ID"/>
              </w:rPr>
            </w:pPr>
            <w:r w:rsidRPr="00E66383">
              <w:rPr>
                <w:rFonts w:ascii="Times New Roman" w:hAnsi="Times New Roman"/>
                <w:szCs w:val="22"/>
                <w:lang w:val="id-ID"/>
              </w:rPr>
              <w:t>Max. 0.8</w:t>
            </w:r>
          </w:p>
        </w:tc>
        <w:tc>
          <w:tcPr>
            <w:tcW w:w="2247" w:type="dxa"/>
            <w:tcBorders>
              <w:top w:val="single" w:sz="4" w:space="0" w:color="auto"/>
              <w:left w:val="nil"/>
              <w:bottom w:val="single" w:sz="4" w:space="0" w:color="auto"/>
            </w:tcBorders>
            <w:vAlign w:val="center"/>
          </w:tcPr>
          <w:p w14:paraId="71952DE6" w14:textId="4F7DA80F" w:rsidR="003953C5" w:rsidRPr="00E66383" w:rsidRDefault="00B947FF" w:rsidP="00F53336">
            <w:pPr>
              <w:jc w:val="center"/>
              <w:rPr>
                <w:rFonts w:ascii="Times New Roman" w:hAnsi="Times New Roman"/>
                <w:szCs w:val="22"/>
                <w:lang w:val="id-ID"/>
              </w:rPr>
            </w:pPr>
            <w:r w:rsidRPr="00E66383">
              <w:rPr>
                <w:rFonts w:ascii="Times New Roman" w:hAnsi="Times New Roman"/>
                <w:szCs w:val="22"/>
                <w:lang w:val="id-ID"/>
              </w:rPr>
              <w:t>Max. 0.8</w:t>
            </w:r>
          </w:p>
        </w:tc>
      </w:tr>
    </w:tbl>
    <w:p w14:paraId="25DA9EC9" w14:textId="77777777" w:rsidR="007C7BAB" w:rsidRPr="00E66383" w:rsidRDefault="007C7BAB" w:rsidP="00BF79A2">
      <w:pPr>
        <w:pStyle w:val="section"/>
        <w:numPr>
          <w:ilvl w:val="0"/>
          <w:numId w:val="0"/>
        </w:numPr>
        <w:rPr>
          <w:color w:val="auto"/>
        </w:rPr>
      </w:pPr>
    </w:p>
    <w:p w14:paraId="15D3565A" w14:textId="1DCB9332" w:rsidR="007C7BAB" w:rsidRPr="00E66383" w:rsidRDefault="0067481A" w:rsidP="00BF79A2">
      <w:pPr>
        <w:pStyle w:val="section"/>
        <w:rPr>
          <w:color w:val="auto"/>
        </w:rPr>
      </w:pPr>
      <w:r w:rsidRPr="00E66383">
        <w:rPr>
          <w:color w:val="auto"/>
        </w:rPr>
        <w:t xml:space="preserve">Conclusion </w:t>
      </w:r>
    </w:p>
    <w:p w14:paraId="7BD05D42" w14:textId="77777777" w:rsidR="006B6C4B" w:rsidRPr="00E66383" w:rsidRDefault="0033786D" w:rsidP="006B6C4B">
      <w:pPr>
        <w:pStyle w:val="Bulleted"/>
        <w:numPr>
          <w:ilvl w:val="0"/>
          <w:numId w:val="0"/>
        </w:numPr>
        <w:spacing w:after="240"/>
        <w:rPr>
          <w:rFonts w:ascii="Times New Roman" w:hAnsi="Times New Roman"/>
          <w:color w:val="auto"/>
        </w:rPr>
      </w:pPr>
      <w:r w:rsidRPr="00E66383">
        <w:rPr>
          <w:rFonts w:ascii="Times New Roman" w:hAnsi="Times New Roman"/>
          <w:color w:val="auto"/>
        </w:rPr>
        <w:t xml:space="preserve">The results showed that the yield increased with the increase in the mole ratio of methanol: </w:t>
      </w:r>
      <w:r w:rsidR="0077251F" w:rsidRPr="00E66383">
        <w:rPr>
          <w:rFonts w:ascii="Times New Roman" w:hAnsi="Times New Roman"/>
          <w:i/>
          <w:iCs/>
          <w:color w:val="auto"/>
          <w:lang w:val="id-ID"/>
        </w:rPr>
        <w:t>Jatropha curcas</w:t>
      </w:r>
      <w:r w:rsidRPr="00E66383">
        <w:rPr>
          <w:rFonts w:ascii="Times New Roman" w:hAnsi="Times New Roman"/>
          <w:color w:val="auto"/>
        </w:rPr>
        <w:t xml:space="preserve"> oil, but the yield decreased when the mole ratio of methanol: castor oil was too large. The results showed that the yield increased along with an increase in temperature</w:t>
      </w:r>
      <w:r w:rsidR="0077251F" w:rsidRPr="00E66383">
        <w:rPr>
          <w:rFonts w:ascii="Times New Roman" w:hAnsi="Times New Roman"/>
          <w:color w:val="auto"/>
        </w:rPr>
        <w:t>,</w:t>
      </w:r>
      <w:r w:rsidRPr="00E66383">
        <w:rPr>
          <w:rFonts w:ascii="Times New Roman" w:hAnsi="Times New Roman"/>
          <w:color w:val="auto"/>
        </w:rPr>
        <w:t xml:space="preserve"> but the yield will decrease if the temperature is too large and exceeds the boiling point of methanol (65</w:t>
      </w:r>
      <w:r w:rsidR="00CC0D0E" w:rsidRPr="00E66383">
        <w:rPr>
          <w:rFonts w:ascii="Times New Roman" w:hAnsi="Times New Roman"/>
          <w:color w:val="auto"/>
          <w:vertAlign w:val="superscript"/>
          <w:lang w:val="id-ID"/>
        </w:rPr>
        <w:t>o</w:t>
      </w:r>
      <w:r w:rsidRPr="00E66383">
        <w:rPr>
          <w:rFonts w:ascii="Times New Roman" w:hAnsi="Times New Roman"/>
          <w:color w:val="auto"/>
        </w:rPr>
        <w:t>C)</w:t>
      </w:r>
      <w:r w:rsidR="00F9388A" w:rsidRPr="00E66383">
        <w:rPr>
          <w:rFonts w:ascii="Times New Roman" w:hAnsi="Times New Roman"/>
          <w:color w:val="auto"/>
          <w:lang w:val="id-ID"/>
        </w:rPr>
        <w:t xml:space="preserve">. </w:t>
      </w:r>
      <w:r w:rsidRPr="00E66383">
        <w:rPr>
          <w:rFonts w:ascii="Times New Roman" w:hAnsi="Times New Roman"/>
          <w:color w:val="auto"/>
        </w:rPr>
        <w:t xml:space="preserve">The maximum condition for the </w:t>
      </w:r>
      <w:r w:rsidR="0077251F" w:rsidRPr="00E66383">
        <w:rPr>
          <w:rFonts w:ascii="Times New Roman" w:hAnsi="Times New Roman"/>
          <w:color w:val="auto"/>
        </w:rPr>
        <w:t>most abundan</w:t>
      </w:r>
      <w:r w:rsidRPr="00E66383">
        <w:rPr>
          <w:rFonts w:ascii="Times New Roman" w:hAnsi="Times New Roman"/>
          <w:color w:val="auto"/>
        </w:rPr>
        <w:t>t biodiesel yield is obtained in the mole ratio of methanol to castor oil of 15:1</w:t>
      </w:r>
      <w:r w:rsidR="00F9388A" w:rsidRPr="00E66383">
        <w:rPr>
          <w:rFonts w:ascii="Times New Roman" w:hAnsi="Times New Roman"/>
          <w:color w:val="auto"/>
          <w:lang w:val="id-ID"/>
        </w:rPr>
        <w:t xml:space="preserve"> </w:t>
      </w:r>
      <w:r w:rsidRPr="00E66383">
        <w:rPr>
          <w:rFonts w:ascii="Times New Roman" w:hAnsi="Times New Roman"/>
          <w:color w:val="auto"/>
        </w:rPr>
        <w:t>(mol</w:t>
      </w:r>
      <w:r w:rsidR="00B947FF" w:rsidRPr="00E66383">
        <w:rPr>
          <w:rFonts w:ascii="Times New Roman" w:hAnsi="Times New Roman"/>
          <w:color w:val="auto"/>
          <w:lang w:val="id-ID"/>
        </w:rPr>
        <w:t>/</w:t>
      </w:r>
      <w:r w:rsidRPr="00E66383">
        <w:rPr>
          <w:rFonts w:ascii="Times New Roman" w:hAnsi="Times New Roman"/>
          <w:color w:val="auto"/>
        </w:rPr>
        <w:t>mol) at 65</w:t>
      </w:r>
      <w:r w:rsidR="00CC0D0E" w:rsidRPr="00E66383">
        <w:rPr>
          <w:rFonts w:ascii="Times New Roman" w:hAnsi="Times New Roman"/>
          <w:color w:val="auto"/>
          <w:vertAlign w:val="superscript"/>
          <w:lang w:val="id-ID"/>
        </w:rPr>
        <w:t>o</w:t>
      </w:r>
      <w:r w:rsidRPr="00E66383">
        <w:rPr>
          <w:rFonts w:ascii="Times New Roman" w:hAnsi="Times New Roman"/>
          <w:color w:val="auto"/>
        </w:rPr>
        <w:t>C for 5 hours was 59.80%. The results showed that the physical properties for density, viscosity</w:t>
      </w:r>
      <w:r w:rsidR="0077251F" w:rsidRPr="00E66383">
        <w:rPr>
          <w:rFonts w:ascii="Times New Roman" w:hAnsi="Times New Roman"/>
          <w:color w:val="auto"/>
        </w:rPr>
        <w:t>,</w:t>
      </w:r>
      <w:r w:rsidRPr="00E66383">
        <w:rPr>
          <w:rFonts w:ascii="Times New Roman" w:hAnsi="Times New Roman"/>
          <w:color w:val="auto"/>
        </w:rPr>
        <w:t xml:space="preserve"> and acid number were in accordance with the quality standards of SNI 14-7182-2006 methyl ester.</w:t>
      </w:r>
      <w:r w:rsidR="00021B96" w:rsidRPr="00E66383">
        <w:rPr>
          <w:rFonts w:ascii="Times New Roman" w:hAnsi="Times New Roman"/>
          <w:color w:val="auto"/>
        </w:rPr>
        <w:t xml:space="preserve"> </w:t>
      </w:r>
      <w:r w:rsidR="00F6189C" w:rsidRPr="00E66383">
        <w:rPr>
          <w:rFonts w:ascii="Times New Roman" w:hAnsi="Times New Roman"/>
          <w:color w:val="auto"/>
        </w:rPr>
        <w:t xml:space="preserve">  </w:t>
      </w:r>
      <w:r w:rsidR="00E5638D" w:rsidRPr="00E66383">
        <w:rPr>
          <w:rFonts w:ascii="Times New Roman" w:hAnsi="Times New Roman"/>
          <w:color w:val="auto"/>
        </w:rPr>
        <w:t xml:space="preserve"> </w:t>
      </w:r>
      <w:r w:rsidR="00F507BE" w:rsidRPr="00E66383">
        <w:rPr>
          <w:rFonts w:ascii="Times New Roman" w:hAnsi="Times New Roman"/>
          <w:color w:val="auto"/>
        </w:rPr>
        <w:t xml:space="preserve"> </w:t>
      </w:r>
    </w:p>
    <w:p w14:paraId="1742A9C2" w14:textId="583875C4" w:rsidR="00AA4202" w:rsidRPr="00E66383" w:rsidRDefault="00F7028A" w:rsidP="006B6C4B">
      <w:pPr>
        <w:pStyle w:val="section"/>
        <w:rPr>
          <w:color w:val="auto"/>
        </w:rPr>
      </w:pPr>
      <w:r w:rsidRPr="00E66383">
        <w:rPr>
          <w:color w:val="auto"/>
        </w:rPr>
        <w:t>References</w:t>
      </w:r>
      <w:r w:rsidR="00AA4202" w:rsidRPr="00E66383">
        <w:rPr>
          <w:color w:val="auto"/>
        </w:rPr>
        <w:t xml:space="preserve"> </w:t>
      </w:r>
    </w:p>
    <w:p w14:paraId="6A0FDC4F" w14:textId="4D09A0EA" w:rsidR="00BF79A2" w:rsidRPr="00E66383" w:rsidRDefault="00756C25" w:rsidP="00AF59BD">
      <w:pPr>
        <w:pStyle w:val="section"/>
        <w:numPr>
          <w:ilvl w:val="0"/>
          <w:numId w:val="29"/>
        </w:numPr>
        <w:spacing w:after="0"/>
        <w:ind w:left="426"/>
        <w:rPr>
          <w:b w:val="0"/>
          <w:bCs/>
          <w:color w:val="auto"/>
        </w:rPr>
      </w:pPr>
      <w:bookmarkStart w:id="1" w:name="_Ref48456214"/>
      <w:r w:rsidRPr="00E66383">
        <w:rPr>
          <w:b w:val="0"/>
          <w:bCs/>
          <w:color w:val="auto"/>
        </w:rPr>
        <w:t>Islam, A., Taufiq-Yap, Y. H., Chu, C.-M., Chan, E.-S.</w:t>
      </w:r>
      <w:r w:rsidR="00270FCF" w:rsidRPr="00E66383">
        <w:rPr>
          <w:b w:val="0"/>
          <w:bCs/>
          <w:color w:val="auto"/>
        </w:rPr>
        <w:t>,</w:t>
      </w:r>
      <w:r w:rsidRPr="00E66383">
        <w:rPr>
          <w:b w:val="0"/>
          <w:bCs/>
          <w:color w:val="auto"/>
        </w:rPr>
        <w:t xml:space="preserve"> </w:t>
      </w:r>
      <w:r w:rsidR="00270FCF" w:rsidRPr="00E66383">
        <w:rPr>
          <w:b w:val="0"/>
          <w:bCs/>
          <w:color w:val="auto"/>
        </w:rPr>
        <w:t>and</w:t>
      </w:r>
      <w:r w:rsidRPr="00E66383">
        <w:rPr>
          <w:b w:val="0"/>
          <w:bCs/>
          <w:color w:val="auto"/>
        </w:rPr>
        <w:t xml:space="preserve"> Ravindra, P., 2013,</w:t>
      </w:r>
      <w:r w:rsidR="00270FCF" w:rsidRPr="00E66383">
        <w:rPr>
          <w:b w:val="0"/>
          <w:bCs/>
          <w:color w:val="auto"/>
        </w:rPr>
        <w:t>”</w:t>
      </w:r>
      <w:r w:rsidRPr="00E66383">
        <w:rPr>
          <w:b w:val="0"/>
          <w:bCs/>
          <w:color w:val="auto"/>
        </w:rPr>
        <w:t>Studies on Design of Heterogeneous Catalysts for Biodiesel Production”, Process Safety and Environmental Protection, Vol. 91, pp. 131–144.</w:t>
      </w:r>
      <w:bookmarkStart w:id="2" w:name="_Ref48456035"/>
      <w:bookmarkEnd w:id="1"/>
    </w:p>
    <w:p w14:paraId="6966166E" w14:textId="58FAA520" w:rsidR="00BF79A2" w:rsidRPr="00AE51D3" w:rsidRDefault="007549B5" w:rsidP="00AF59BD">
      <w:pPr>
        <w:pStyle w:val="section"/>
        <w:numPr>
          <w:ilvl w:val="0"/>
          <w:numId w:val="29"/>
        </w:numPr>
        <w:spacing w:after="0"/>
        <w:ind w:left="426"/>
        <w:rPr>
          <w:b w:val="0"/>
          <w:bCs/>
          <w:color w:val="auto"/>
        </w:rPr>
      </w:pPr>
      <w:r w:rsidRPr="00E66383">
        <w:rPr>
          <w:b w:val="0"/>
          <w:bCs/>
          <w:color w:val="auto"/>
        </w:rPr>
        <w:t>Kumar, S.A.A</w:t>
      </w:r>
      <w:r w:rsidR="00270FCF" w:rsidRPr="00E66383">
        <w:rPr>
          <w:b w:val="0"/>
          <w:bCs/>
          <w:color w:val="auto"/>
        </w:rPr>
        <w:t>.</w:t>
      </w:r>
      <w:r w:rsidRPr="00E66383">
        <w:rPr>
          <w:b w:val="0"/>
          <w:bCs/>
          <w:color w:val="auto"/>
        </w:rPr>
        <w:t>, Sakthinathan, G., Vignesh, R., Banu, J. Rajesh</w:t>
      </w:r>
      <w:r w:rsidR="00270FCF" w:rsidRPr="00E66383">
        <w:rPr>
          <w:b w:val="0"/>
          <w:bCs/>
          <w:color w:val="auto"/>
        </w:rPr>
        <w:t>.</w:t>
      </w:r>
      <w:r w:rsidRPr="00E66383">
        <w:rPr>
          <w:b w:val="0"/>
          <w:bCs/>
          <w:color w:val="auto"/>
        </w:rPr>
        <w:t xml:space="preserve">, </w:t>
      </w:r>
      <w:r w:rsidR="00270FCF" w:rsidRPr="00E66383">
        <w:rPr>
          <w:b w:val="0"/>
          <w:bCs/>
          <w:color w:val="auto"/>
        </w:rPr>
        <w:t xml:space="preserve">and </w:t>
      </w:r>
      <w:r w:rsidRPr="00E66383">
        <w:rPr>
          <w:b w:val="0"/>
          <w:bCs/>
          <w:color w:val="auto"/>
        </w:rPr>
        <w:t xml:space="preserve">Al-Muhtaseb, Ala'a H., 2019, ”Optimized transesterification reaction for efficient biodiesel production using Indian oil sardine fish as feedstock”, Fuel, </w:t>
      </w:r>
      <w:r w:rsidR="00270FCF" w:rsidRPr="00E66383">
        <w:rPr>
          <w:b w:val="0"/>
          <w:bCs/>
          <w:color w:val="auto"/>
        </w:rPr>
        <w:t>V</w:t>
      </w:r>
      <w:r w:rsidRPr="00E66383">
        <w:rPr>
          <w:b w:val="0"/>
          <w:bCs/>
          <w:color w:val="auto"/>
        </w:rPr>
        <w:t>ol. 253, pp. 921 – 929.</w:t>
      </w:r>
      <w:bookmarkStart w:id="3" w:name="_Ref48458237"/>
      <w:bookmarkEnd w:id="2"/>
    </w:p>
    <w:p w14:paraId="65A396E7" w14:textId="2BDDEC95" w:rsidR="00BF79A2" w:rsidRPr="00E66383" w:rsidRDefault="00270FCF" w:rsidP="00AF59BD">
      <w:pPr>
        <w:pStyle w:val="section"/>
        <w:numPr>
          <w:ilvl w:val="0"/>
          <w:numId w:val="29"/>
        </w:numPr>
        <w:spacing w:after="0"/>
        <w:ind w:left="426"/>
        <w:rPr>
          <w:b w:val="0"/>
          <w:bCs/>
          <w:color w:val="auto"/>
        </w:rPr>
      </w:pPr>
      <w:r w:rsidRPr="00E66383">
        <w:rPr>
          <w:b w:val="0"/>
          <w:bCs/>
          <w:color w:val="auto"/>
        </w:rPr>
        <w:t>Lee, J.-S. and Saka, S., 2010, “Biodiesel Production by Heterogeneous Catalysts and Supercritical Technologies”, Bioresource Technology, Vol. 101, pp. 7191–7200.</w:t>
      </w:r>
      <w:bookmarkStart w:id="4" w:name="_Ref48458192"/>
      <w:bookmarkEnd w:id="3"/>
    </w:p>
    <w:p w14:paraId="77B9552A" w14:textId="663E456F" w:rsidR="00BF79A2" w:rsidRPr="00E66383" w:rsidRDefault="00270FCF" w:rsidP="00AF59BD">
      <w:pPr>
        <w:pStyle w:val="section"/>
        <w:numPr>
          <w:ilvl w:val="0"/>
          <w:numId w:val="29"/>
        </w:numPr>
        <w:spacing w:after="0"/>
        <w:ind w:left="426"/>
        <w:rPr>
          <w:b w:val="0"/>
          <w:bCs/>
          <w:color w:val="auto"/>
        </w:rPr>
      </w:pPr>
      <w:r w:rsidRPr="00E66383">
        <w:rPr>
          <w:b w:val="0"/>
          <w:bCs/>
          <w:color w:val="auto"/>
        </w:rPr>
        <w:t>Ab Rahman, N. A., Olutoye, M. A., and Hameed, B. H., 2011, “Synthesis of Methyl Esters from Palm (Elaeis guineensis) Oil Using Cobalt Doped MgO as Solid Oxide Catalyst”, Bioresource Technology, Vol. 102, pp. 9749–9754.</w:t>
      </w:r>
      <w:bookmarkStart w:id="5" w:name="_Ref48461354"/>
      <w:bookmarkEnd w:id="4"/>
    </w:p>
    <w:p w14:paraId="4F4FDA41" w14:textId="00A92787" w:rsidR="00BF79A2" w:rsidRPr="00E66383" w:rsidRDefault="00D166EB" w:rsidP="00AF59BD">
      <w:pPr>
        <w:pStyle w:val="section"/>
        <w:numPr>
          <w:ilvl w:val="0"/>
          <w:numId w:val="29"/>
        </w:numPr>
        <w:spacing w:after="0"/>
        <w:ind w:left="426"/>
        <w:rPr>
          <w:b w:val="0"/>
          <w:bCs/>
          <w:color w:val="auto"/>
        </w:rPr>
      </w:pPr>
      <w:r w:rsidRPr="00E66383">
        <w:rPr>
          <w:b w:val="0"/>
          <w:bCs/>
          <w:color w:val="auto"/>
        </w:rPr>
        <w:t>Zabeti, M., Wan Daud, W. M. A.</w:t>
      </w:r>
      <w:r w:rsidR="006C30BE" w:rsidRPr="00E66383">
        <w:rPr>
          <w:b w:val="0"/>
          <w:bCs/>
          <w:color w:val="auto"/>
        </w:rPr>
        <w:t>, and</w:t>
      </w:r>
      <w:r w:rsidRPr="00E66383">
        <w:rPr>
          <w:b w:val="0"/>
          <w:bCs/>
          <w:color w:val="auto"/>
        </w:rPr>
        <w:t xml:space="preserve"> Aroua, M. K., 2009,</w:t>
      </w:r>
      <w:r w:rsidR="00375B1B" w:rsidRPr="00E66383">
        <w:rPr>
          <w:b w:val="0"/>
          <w:bCs/>
          <w:color w:val="auto"/>
        </w:rPr>
        <w:t xml:space="preserve"> “</w:t>
      </w:r>
      <w:r w:rsidRPr="00E66383">
        <w:rPr>
          <w:b w:val="0"/>
          <w:bCs/>
          <w:color w:val="auto"/>
        </w:rPr>
        <w:t>Activity of Solid Catalysts for Biodiesel Production: A review</w:t>
      </w:r>
      <w:r w:rsidR="00375B1B" w:rsidRPr="00E66383">
        <w:rPr>
          <w:b w:val="0"/>
          <w:bCs/>
          <w:color w:val="auto"/>
        </w:rPr>
        <w:t xml:space="preserve">”, </w:t>
      </w:r>
      <w:r w:rsidRPr="00E66383">
        <w:rPr>
          <w:b w:val="0"/>
          <w:bCs/>
          <w:color w:val="auto"/>
        </w:rPr>
        <w:t>Fuel Processing Technology, Vol.</w:t>
      </w:r>
      <w:r w:rsidR="00375B1B" w:rsidRPr="00E66383">
        <w:rPr>
          <w:b w:val="0"/>
          <w:bCs/>
          <w:color w:val="auto"/>
        </w:rPr>
        <w:t xml:space="preserve"> </w:t>
      </w:r>
      <w:r w:rsidRPr="00E66383">
        <w:rPr>
          <w:b w:val="0"/>
          <w:bCs/>
          <w:color w:val="auto"/>
        </w:rPr>
        <w:t xml:space="preserve">90, </w:t>
      </w:r>
      <w:r w:rsidR="00375B1B" w:rsidRPr="00E66383">
        <w:rPr>
          <w:b w:val="0"/>
          <w:bCs/>
          <w:color w:val="auto"/>
        </w:rPr>
        <w:t>pp</w:t>
      </w:r>
      <w:r w:rsidRPr="00E66383">
        <w:rPr>
          <w:b w:val="0"/>
          <w:bCs/>
          <w:color w:val="auto"/>
        </w:rPr>
        <w:t>.</w:t>
      </w:r>
      <w:r w:rsidR="00375B1B" w:rsidRPr="00E66383">
        <w:rPr>
          <w:b w:val="0"/>
          <w:bCs/>
          <w:color w:val="auto"/>
        </w:rPr>
        <w:t xml:space="preserve"> </w:t>
      </w:r>
      <w:r w:rsidRPr="00E66383">
        <w:rPr>
          <w:b w:val="0"/>
          <w:bCs/>
          <w:color w:val="auto"/>
        </w:rPr>
        <w:t>770–777.</w:t>
      </w:r>
      <w:bookmarkStart w:id="6" w:name="_Ref48462324"/>
      <w:bookmarkEnd w:id="5"/>
    </w:p>
    <w:p w14:paraId="768BF187" w14:textId="300DF6B3" w:rsidR="00BF79A2" w:rsidRPr="00E66383" w:rsidRDefault="00D821EA" w:rsidP="006B6C4B">
      <w:pPr>
        <w:pStyle w:val="section"/>
        <w:numPr>
          <w:ilvl w:val="0"/>
          <w:numId w:val="29"/>
        </w:numPr>
        <w:ind w:left="426"/>
        <w:rPr>
          <w:b w:val="0"/>
          <w:bCs/>
          <w:color w:val="auto"/>
        </w:rPr>
      </w:pPr>
      <w:r w:rsidRPr="00E66383">
        <w:rPr>
          <w:b w:val="0"/>
          <w:bCs/>
          <w:color w:val="auto"/>
        </w:rPr>
        <w:t>Louhasakul, Y., Cheirsilp, B., Maneerat, S., and Prasertsan, P., 2018, “Direct Transesterification of oleaginous yeast lipids into biodiesel: Development Of Vigorously Stirred Tank Reactor And Process Optimization, Biochemical Engineering Journal, Vol. 137, pp. 232 – 238.</w:t>
      </w:r>
      <w:bookmarkStart w:id="7" w:name="_Ref48462350"/>
      <w:bookmarkEnd w:id="6"/>
    </w:p>
    <w:p w14:paraId="53028762" w14:textId="77777777" w:rsidR="00A96484" w:rsidRPr="007C460D" w:rsidRDefault="00A96484" w:rsidP="00AF59BD">
      <w:pPr>
        <w:pStyle w:val="section"/>
        <w:numPr>
          <w:ilvl w:val="0"/>
          <w:numId w:val="29"/>
        </w:numPr>
        <w:spacing w:after="0"/>
        <w:ind w:left="567" w:hanging="501"/>
        <w:rPr>
          <w:b w:val="0"/>
          <w:bCs/>
          <w:color w:val="auto"/>
        </w:rPr>
      </w:pPr>
      <w:r w:rsidRPr="007C460D">
        <w:rPr>
          <w:b w:val="0"/>
          <w:bCs/>
          <w:color w:val="auto"/>
        </w:rPr>
        <w:lastRenderedPageBreak/>
        <w:t>Lam, M. K., Lee, K. T. and Mohamed, A. R., 2010, “Homogeneous, Heterogeneous and Enzymatic Catalysis for Transesterification of High Free Fatty Acid Oil (Waste Cooking Oil) to Biodiesel: Areview”, Biotechnology Advances, Vol. 28, pp. 500–518.</w:t>
      </w:r>
    </w:p>
    <w:p w14:paraId="158429F6" w14:textId="7DC359EB" w:rsidR="006B6C4B" w:rsidRPr="007C460D" w:rsidRDefault="00A96484" w:rsidP="00AF59BD">
      <w:pPr>
        <w:pStyle w:val="section"/>
        <w:numPr>
          <w:ilvl w:val="0"/>
          <w:numId w:val="29"/>
        </w:numPr>
        <w:spacing w:after="0"/>
        <w:ind w:left="567" w:hanging="501"/>
        <w:rPr>
          <w:b w:val="0"/>
          <w:bCs/>
          <w:color w:val="auto"/>
        </w:rPr>
      </w:pPr>
      <w:r w:rsidRPr="007C460D">
        <w:rPr>
          <w:b w:val="0"/>
          <w:bCs/>
          <w:color w:val="auto"/>
        </w:rPr>
        <w:t>Kim, S.K., Brand, S., Lee, H., Kim, Y., dan Kim, J. 2013. Production of renewable diesel by hydrotreatment of soybean oil: Effect of reaction parameters. Chemical Engineering Journal. 228:114-123.</w:t>
      </w:r>
      <w:bookmarkStart w:id="8" w:name="_Ref48462368"/>
      <w:bookmarkStart w:id="9" w:name="_Ref48462428"/>
      <w:bookmarkEnd w:id="7"/>
    </w:p>
    <w:p w14:paraId="4AB4264F" w14:textId="09167BB5" w:rsidR="006B6C4B" w:rsidRPr="00E66383" w:rsidRDefault="00D821EA" w:rsidP="00AF59BD">
      <w:pPr>
        <w:pStyle w:val="section"/>
        <w:numPr>
          <w:ilvl w:val="0"/>
          <w:numId w:val="29"/>
        </w:numPr>
        <w:spacing w:after="0"/>
        <w:ind w:left="567" w:hanging="501"/>
        <w:rPr>
          <w:b w:val="0"/>
          <w:bCs/>
          <w:color w:val="auto"/>
        </w:rPr>
      </w:pPr>
      <w:r w:rsidRPr="00E66383">
        <w:rPr>
          <w:b w:val="0"/>
          <w:bCs/>
          <w:color w:val="auto"/>
        </w:rPr>
        <w:t xml:space="preserve">Agarwal, M., Chauhan, G., Chaurasia, S. P. </w:t>
      </w:r>
      <w:r w:rsidR="0009159F" w:rsidRPr="00E66383">
        <w:rPr>
          <w:b w:val="0"/>
          <w:bCs/>
          <w:color w:val="auto"/>
        </w:rPr>
        <w:t>and</w:t>
      </w:r>
      <w:r w:rsidRPr="00E66383">
        <w:rPr>
          <w:b w:val="0"/>
          <w:bCs/>
          <w:color w:val="auto"/>
        </w:rPr>
        <w:t xml:space="preserve"> Singh, K., 2012, “Study of Catalytic Behavior of KOH as Homogeneous and Heterogeneous Catalyst for Biodiesel Production”, Journal of the Taiwan Institute of Chemical Engineers, Vol. 43, pp. 89–94.</w:t>
      </w:r>
      <w:bookmarkEnd w:id="8"/>
      <w:bookmarkEnd w:id="9"/>
    </w:p>
    <w:p w14:paraId="5B62714E" w14:textId="34DE2EBF" w:rsidR="00270FCF" w:rsidRPr="00E66383" w:rsidRDefault="00375B1B" w:rsidP="00AF59BD">
      <w:pPr>
        <w:pStyle w:val="section"/>
        <w:numPr>
          <w:ilvl w:val="0"/>
          <w:numId w:val="29"/>
        </w:numPr>
        <w:tabs>
          <w:tab w:val="left" w:pos="142"/>
        </w:tabs>
        <w:spacing w:after="0"/>
        <w:ind w:left="567" w:hanging="501"/>
        <w:rPr>
          <w:b w:val="0"/>
          <w:bCs/>
          <w:color w:val="auto"/>
        </w:rPr>
      </w:pPr>
      <w:r w:rsidRPr="00E66383">
        <w:rPr>
          <w:b w:val="0"/>
          <w:bCs/>
          <w:color w:val="auto"/>
        </w:rPr>
        <w:t>Feng, H. Z., Lan, P. Q.</w:t>
      </w:r>
      <w:r w:rsidR="0009159F" w:rsidRPr="00E66383">
        <w:rPr>
          <w:b w:val="0"/>
          <w:bCs/>
          <w:color w:val="auto"/>
        </w:rPr>
        <w:t>,</w:t>
      </w:r>
      <w:r w:rsidRPr="00E66383">
        <w:rPr>
          <w:b w:val="0"/>
          <w:bCs/>
          <w:color w:val="auto"/>
        </w:rPr>
        <w:t xml:space="preserve"> </w:t>
      </w:r>
      <w:r w:rsidR="0009159F" w:rsidRPr="00E66383">
        <w:rPr>
          <w:b w:val="0"/>
          <w:bCs/>
          <w:color w:val="auto"/>
        </w:rPr>
        <w:t>and</w:t>
      </w:r>
      <w:r w:rsidRPr="00E66383">
        <w:rPr>
          <w:b w:val="0"/>
          <w:bCs/>
          <w:color w:val="auto"/>
        </w:rPr>
        <w:t xml:space="preserve"> Wu, S. F.,</w:t>
      </w:r>
      <w:r w:rsidR="006C30BE" w:rsidRPr="00E66383">
        <w:rPr>
          <w:b w:val="0"/>
          <w:bCs/>
          <w:color w:val="auto"/>
        </w:rPr>
        <w:t xml:space="preserve"> </w:t>
      </w:r>
      <w:r w:rsidRPr="00E66383">
        <w:rPr>
          <w:b w:val="0"/>
          <w:bCs/>
          <w:color w:val="auto"/>
        </w:rPr>
        <w:t xml:space="preserve">2012, </w:t>
      </w:r>
      <w:r w:rsidR="006C30BE" w:rsidRPr="00E66383">
        <w:rPr>
          <w:b w:val="0"/>
          <w:bCs/>
          <w:color w:val="auto"/>
        </w:rPr>
        <w:t>“</w:t>
      </w:r>
      <w:r w:rsidRPr="00E66383">
        <w:rPr>
          <w:b w:val="0"/>
          <w:bCs/>
          <w:color w:val="auto"/>
        </w:rPr>
        <w:t>A Study on the Stability of a NiO–CaO/Al</w:t>
      </w:r>
      <w:r w:rsidRPr="00E66383">
        <w:rPr>
          <w:b w:val="0"/>
          <w:bCs/>
          <w:color w:val="auto"/>
          <w:vertAlign w:val="subscript"/>
        </w:rPr>
        <w:t>2</w:t>
      </w:r>
      <w:r w:rsidRPr="00E66383">
        <w:rPr>
          <w:b w:val="0"/>
          <w:bCs/>
          <w:color w:val="auto"/>
        </w:rPr>
        <w:t>O</w:t>
      </w:r>
      <w:r w:rsidRPr="00E66383">
        <w:rPr>
          <w:b w:val="0"/>
          <w:bCs/>
          <w:color w:val="auto"/>
          <w:vertAlign w:val="subscript"/>
        </w:rPr>
        <w:t>3</w:t>
      </w:r>
      <w:r w:rsidR="006C30BE" w:rsidRPr="00E66383">
        <w:rPr>
          <w:b w:val="0"/>
          <w:bCs/>
          <w:color w:val="auto"/>
        </w:rPr>
        <w:t xml:space="preserve"> </w:t>
      </w:r>
      <w:r w:rsidRPr="00E66383">
        <w:rPr>
          <w:b w:val="0"/>
          <w:bCs/>
          <w:color w:val="auto"/>
        </w:rPr>
        <w:t>Complex Catalyst by La</w:t>
      </w:r>
      <w:r w:rsidRPr="00E66383">
        <w:rPr>
          <w:b w:val="0"/>
          <w:bCs/>
          <w:color w:val="auto"/>
          <w:vertAlign w:val="subscript"/>
        </w:rPr>
        <w:t>2</w:t>
      </w:r>
      <w:r w:rsidRPr="00E66383">
        <w:rPr>
          <w:b w:val="0"/>
          <w:bCs/>
          <w:color w:val="auto"/>
        </w:rPr>
        <w:t>O</w:t>
      </w:r>
      <w:r w:rsidRPr="00E66383">
        <w:rPr>
          <w:b w:val="0"/>
          <w:bCs/>
          <w:color w:val="auto"/>
          <w:vertAlign w:val="subscript"/>
        </w:rPr>
        <w:t>3</w:t>
      </w:r>
      <w:r w:rsidR="006C30BE" w:rsidRPr="00E66383">
        <w:rPr>
          <w:b w:val="0"/>
          <w:bCs/>
          <w:color w:val="auto"/>
        </w:rPr>
        <w:t xml:space="preserve"> </w:t>
      </w:r>
      <w:r w:rsidRPr="00E66383">
        <w:rPr>
          <w:b w:val="0"/>
          <w:bCs/>
          <w:color w:val="auto"/>
        </w:rPr>
        <w:t>Modification for Hydrogen Productio</w:t>
      </w:r>
      <w:r w:rsidR="006C30BE" w:rsidRPr="00E66383">
        <w:rPr>
          <w:b w:val="0"/>
          <w:bCs/>
          <w:color w:val="auto"/>
        </w:rPr>
        <w:t xml:space="preserve">n”, </w:t>
      </w:r>
      <w:r w:rsidRPr="00E66383">
        <w:rPr>
          <w:b w:val="0"/>
          <w:bCs/>
          <w:color w:val="auto"/>
        </w:rPr>
        <w:t>International Journal of Hydrogen Energy</w:t>
      </w:r>
      <w:r w:rsidRPr="00E66383">
        <w:rPr>
          <w:color w:val="auto"/>
        </w:rPr>
        <w:t xml:space="preserve">, </w:t>
      </w:r>
      <w:r w:rsidRPr="00E66383">
        <w:rPr>
          <w:b w:val="0"/>
          <w:bCs/>
          <w:color w:val="auto"/>
        </w:rPr>
        <w:t>Vol.</w:t>
      </w:r>
      <w:r w:rsidR="006C30BE" w:rsidRPr="00E66383">
        <w:rPr>
          <w:b w:val="0"/>
          <w:bCs/>
          <w:color w:val="auto"/>
        </w:rPr>
        <w:t xml:space="preserve"> </w:t>
      </w:r>
      <w:r w:rsidRPr="00E66383">
        <w:rPr>
          <w:b w:val="0"/>
          <w:bCs/>
          <w:color w:val="auto"/>
        </w:rPr>
        <w:t xml:space="preserve">37, </w:t>
      </w:r>
      <w:r w:rsidR="006C30BE" w:rsidRPr="00E66383">
        <w:rPr>
          <w:b w:val="0"/>
          <w:bCs/>
          <w:color w:val="auto"/>
        </w:rPr>
        <w:t>pp</w:t>
      </w:r>
      <w:r w:rsidRPr="00E66383">
        <w:rPr>
          <w:b w:val="0"/>
          <w:bCs/>
          <w:color w:val="auto"/>
        </w:rPr>
        <w:t>. 14161–14166.</w:t>
      </w:r>
    </w:p>
    <w:sectPr w:rsidR="00270FCF" w:rsidRPr="00E66383" w:rsidSect="000E1719">
      <w:headerReference w:type="default" r:id="rId11"/>
      <w:footerReference w:type="default" r:id="rId12"/>
      <w:footnotePr>
        <w:pos w:val="beneathText"/>
      </w:footnotePr>
      <w:endnotePr>
        <w:numFmt w:val="chicago"/>
        <w:numStart w:val="4"/>
      </w:endnotePr>
      <w:pgSz w:w="11907" w:h="16840" w:code="9"/>
      <w:pgMar w:top="2268" w:right="1418" w:bottom="1531"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3D88CE" w14:textId="77777777" w:rsidR="00B03796" w:rsidRDefault="00B03796">
      <w:r>
        <w:separator/>
      </w:r>
    </w:p>
  </w:endnote>
  <w:endnote w:type="continuationSeparator" w:id="0">
    <w:p w14:paraId="4D4C0DC3" w14:textId="77777777" w:rsidR="00B03796" w:rsidRDefault="00B03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altName w:val="Calibri"/>
    <w:charset w:val="00"/>
    <w:family w:val="auto"/>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0C12D" w14:textId="7DD8EC04" w:rsidR="00B456B3" w:rsidRPr="00A54C55" w:rsidRDefault="00B456B3">
    <w:pPr>
      <w:pStyle w:val="Footer"/>
      <w:jc w:val="center"/>
      <w:rPr>
        <w:rFonts w:ascii="Times New Roman" w:hAnsi="Times New Roman"/>
        <w:sz w:val="18"/>
        <w:szCs w:val="18"/>
      </w:rPr>
    </w:pPr>
  </w:p>
  <w:p w14:paraId="3A6528E6" w14:textId="77777777" w:rsidR="00B456B3" w:rsidRDefault="00B456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744E4A" w14:textId="77777777" w:rsidR="00B03796" w:rsidRPr="00043761" w:rsidRDefault="00B03796">
      <w:pPr>
        <w:pStyle w:val="Bulleted"/>
        <w:numPr>
          <w:ilvl w:val="0"/>
          <w:numId w:val="0"/>
        </w:numPr>
        <w:rPr>
          <w:rFonts w:ascii="Sabon" w:hAnsi="Sabon"/>
          <w:color w:val="auto"/>
          <w:szCs w:val="20"/>
        </w:rPr>
      </w:pPr>
      <w:r>
        <w:separator/>
      </w:r>
    </w:p>
  </w:footnote>
  <w:footnote w:type="continuationSeparator" w:id="0">
    <w:p w14:paraId="16EC7534" w14:textId="77777777" w:rsidR="00B03796" w:rsidRDefault="00B03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F7482" w14:textId="77777777" w:rsidR="00B456B3" w:rsidRDefault="00B456B3">
    <w:pPr>
      <w:pStyle w:val="Header"/>
    </w:pPr>
  </w:p>
  <w:p w14:paraId="3BB55194" w14:textId="77777777" w:rsidR="00B456B3" w:rsidRDefault="00B456B3">
    <w:pPr>
      <w:pStyle w:val="Header"/>
    </w:pPr>
  </w:p>
  <w:p w14:paraId="36077701" w14:textId="77777777" w:rsidR="00B456B3" w:rsidRDefault="00B456B3">
    <w:pPr>
      <w:pStyle w:val="Header"/>
    </w:pPr>
  </w:p>
  <w:p w14:paraId="576D2BD7" w14:textId="77777777" w:rsidR="00B456B3" w:rsidRDefault="00B456B3">
    <w:pPr>
      <w:pStyle w:val="Header"/>
    </w:pPr>
  </w:p>
  <w:p w14:paraId="1237C614" w14:textId="77777777" w:rsidR="00B456B3" w:rsidRDefault="00B456B3">
    <w:pPr>
      <w:pStyle w:val="Header"/>
    </w:pPr>
  </w:p>
  <w:p w14:paraId="00B6A11F" w14:textId="77777777" w:rsidR="00B456B3" w:rsidRDefault="00B456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4" w15:restartNumberingAfterBreak="0">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BE536CD"/>
    <w:multiLevelType w:val="hybridMultilevel"/>
    <w:tmpl w:val="8A208AEE"/>
    <w:lvl w:ilvl="0" w:tplc="30CC758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3D105EBF"/>
    <w:multiLevelType w:val="multilevel"/>
    <w:tmpl w:val="22322B02"/>
    <w:lvl w:ilvl="0">
      <w:start w:val="1"/>
      <w:numFmt w:val="decimal"/>
      <w:pStyle w:val="section"/>
      <w:lvlText w:val="%1."/>
      <w:lvlJc w:val="left"/>
      <w:pPr>
        <w:ind w:left="720" w:hanging="360"/>
      </w:pPr>
      <w:rPr>
        <w:rFonts w:hint="default"/>
      </w:rPr>
    </w:lvl>
    <w:lvl w:ilvl="1">
      <w:start w:val="2"/>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7" w15:restartNumberingAfterBreak="0">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AC86BDC"/>
    <w:multiLevelType w:val="hybridMultilevel"/>
    <w:tmpl w:val="35FA0618"/>
    <w:lvl w:ilvl="0" w:tplc="3B00F0A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62301492"/>
    <w:multiLevelType w:val="hybridMultilevel"/>
    <w:tmpl w:val="1C1E2020"/>
    <w:lvl w:ilvl="0" w:tplc="D4D445C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63980CC6"/>
    <w:multiLevelType w:val="hybridMultilevel"/>
    <w:tmpl w:val="8C18021E"/>
    <w:lvl w:ilvl="0" w:tplc="9112CB5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63FF09B4"/>
    <w:multiLevelType w:val="multilevel"/>
    <w:tmpl w:val="BAE20C9C"/>
    <w:lvl w:ilvl="0">
      <w:start w:val="1"/>
      <w:numFmt w:val="decimal"/>
      <w:suff w:val="space"/>
      <w:lvlText w:val="%1."/>
      <w:lvlJc w:val="left"/>
      <w:pPr>
        <w:ind w:left="0" w:firstLine="0"/>
      </w:pPr>
      <w:rPr>
        <w:rFonts w:hint="default"/>
        <w:sz w:val="22"/>
      </w:rPr>
    </w:lvl>
    <w:lvl w:ilvl="1">
      <w:start w:val="1"/>
      <w:numFmt w:val="decimal"/>
      <w:pStyle w:val="subsection"/>
      <w:suff w:val="space"/>
      <w:lvlText w:val="%1.%2."/>
      <w:lvlJc w:val="left"/>
      <w:pPr>
        <w:ind w:left="142" w:firstLine="0"/>
      </w:pPr>
      <w:rPr>
        <w:rFonts w:hint="default"/>
        <w:color w:val="auto"/>
        <w:lang w:val="en-GB"/>
      </w:rPr>
    </w:lvl>
    <w:lvl w:ilvl="2">
      <w:start w:val="1"/>
      <w:numFmt w:val="decimal"/>
      <w:pStyle w:val="subsubsection"/>
      <w:suff w:val="space"/>
      <w:lvlText w:val="%1.%2.%3."/>
      <w:lvlJc w:val="left"/>
      <w:pPr>
        <w:ind w:left="851"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75B15F8D"/>
    <w:multiLevelType w:val="multilevel"/>
    <w:tmpl w:val="8C60CF8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3" w15:restartNumberingAfterBreak="0">
    <w:nsid w:val="761E25B6"/>
    <w:multiLevelType w:val="hybridMultilevel"/>
    <w:tmpl w:val="50485C8A"/>
    <w:lvl w:ilvl="0" w:tplc="843C70C2">
      <w:start w:val="1"/>
      <w:numFmt w:val="decimal"/>
      <w:lvlText w:val="[%1]"/>
      <w:lvlJc w:val="left"/>
      <w:pPr>
        <w:ind w:left="778" w:hanging="360"/>
      </w:pPr>
      <w:rPr>
        <w:rFonts w:hint="default"/>
      </w:rPr>
    </w:lvl>
    <w:lvl w:ilvl="1" w:tplc="38090019" w:tentative="1">
      <w:start w:val="1"/>
      <w:numFmt w:val="lowerLetter"/>
      <w:lvlText w:val="%2."/>
      <w:lvlJc w:val="left"/>
      <w:pPr>
        <w:ind w:left="1498" w:hanging="360"/>
      </w:pPr>
    </w:lvl>
    <w:lvl w:ilvl="2" w:tplc="3809001B" w:tentative="1">
      <w:start w:val="1"/>
      <w:numFmt w:val="lowerRoman"/>
      <w:lvlText w:val="%3."/>
      <w:lvlJc w:val="right"/>
      <w:pPr>
        <w:ind w:left="2218" w:hanging="180"/>
      </w:pPr>
    </w:lvl>
    <w:lvl w:ilvl="3" w:tplc="3809000F" w:tentative="1">
      <w:start w:val="1"/>
      <w:numFmt w:val="decimal"/>
      <w:lvlText w:val="%4."/>
      <w:lvlJc w:val="left"/>
      <w:pPr>
        <w:ind w:left="2938" w:hanging="360"/>
      </w:pPr>
    </w:lvl>
    <w:lvl w:ilvl="4" w:tplc="38090019" w:tentative="1">
      <w:start w:val="1"/>
      <w:numFmt w:val="lowerLetter"/>
      <w:lvlText w:val="%5."/>
      <w:lvlJc w:val="left"/>
      <w:pPr>
        <w:ind w:left="3658" w:hanging="360"/>
      </w:pPr>
    </w:lvl>
    <w:lvl w:ilvl="5" w:tplc="3809001B" w:tentative="1">
      <w:start w:val="1"/>
      <w:numFmt w:val="lowerRoman"/>
      <w:lvlText w:val="%6."/>
      <w:lvlJc w:val="right"/>
      <w:pPr>
        <w:ind w:left="4378" w:hanging="180"/>
      </w:pPr>
    </w:lvl>
    <w:lvl w:ilvl="6" w:tplc="3809000F" w:tentative="1">
      <w:start w:val="1"/>
      <w:numFmt w:val="decimal"/>
      <w:lvlText w:val="%7."/>
      <w:lvlJc w:val="left"/>
      <w:pPr>
        <w:ind w:left="5098" w:hanging="360"/>
      </w:pPr>
    </w:lvl>
    <w:lvl w:ilvl="7" w:tplc="38090019" w:tentative="1">
      <w:start w:val="1"/>
      <w:numFmt w:val="lowerLetter"/>
      <w:lvlText w:val="%8."/>
      <w:lvlJc w:val="left"/>
      <w:pPr>
        <w:ind w:left="5818" w:hanging="360"/>
      </w:pPr>
    </w:lvl>
    <w:lvl w:ilvl="8" w:tplc="3809001B" w:tentative="1">
      <w:start w:val="1"/>
      <w:numFmt w:val="lowerRoman"/>
      <w:lvlText w:val="%9."/>
      <w:lvlJc w:val="right"/>
      <w:pPr>
        <w:ind w:left="6538" w:hanging="180"/>
      </w:pPr>
    </w:lvl>
  </w:abstractNum>
  <w:abstractNum w:abstractNumId="24" w15:restartNumberingAfterBreak="0">
    <w:nsid w:val="7665568E"/>
    <w:multiLevelType w:val="hybridMultilevel"/>
    <w:tmpl w:val="B44EC282"/>
    <w:lvl w:ilvl="0" w:tplc="1DC68C6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7"/>
  </w:num>
  <w:num w:numId="13">
    <w:abstractNumId w:val="13"/>
  </w:num>
  <w:num w:numId="14">
    <w:abstractNumId w:val="10"/>
  </w:num>
  <w:num w:numId="15">
    <w:abstractNumId w:val="25"/>
  </w:num>
  <w:num w:numId="16">
    <w:abstractNumId w:val="12"/>
  </w:num>
  <w:num w:numId="17">
    <w:abstractNumId w:val="11"/>
  </w:num>
  <w:num w:numId="18">
    <w:abstractNumId w:val="21"/>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23"/>
    <w:lvlOverride w:ilvl="0">
      <w:startOverride w:val="1"/>
    </w:lvlOverride>
  </w:num>
  <w:num w:numId="22">
    <w:abstractNumId w:val="19"/>
  </w:num>
  <w:num w:numId="23">
    <w:abstractNumId w:val="18"/>
  </w:num>
  <w:num w:numId="24">
    <w:abstractNumId w:val="15"/>
  </w:num>
  <w:num w:numId="25">
    <w:abstractNumId w:val="20"/>
  </w:num>
  <w:num w:numId="26">
    <w:abstractNumId w:val="20"/>
    <w:lvlOverride w:ilvl="0">
      <w:startOverride w:val="1"/>
    </w:lvlOverride>
  </w:num>
  <w:num w:numId="27">
    <w:abstractNumId w:val="22"/>
  </w:num>
  <w:num w:numId="28">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wNzczMzc1MzE3NjJS0lEKTi0uzszPAykwrgUAP0+0kCwAAAA="/>
  </w:docVars>
  <w:rsids>
    <w:rsidRoot w:val="00A02FAE"/>
    <w:rsid w:val="00000DEC"/>
    <w:rsid w:val="00002AAA"/>
    <w:rsid w:val="00014C7F"/>
    <w:rsid w:val="000156D2"/>
    <w:rsid w:val="00021B96"/>
    <w:rsid w:val="00025932"/>
    <w:rsid w:val="0002737D"/>
    <w:rsid w:val="0002792C"/>
    <w:rsid w:val="000314EF"/>
    <w:rsid w:val="00044D4D"/>
    <w:rsid w:val="00047C3A"/>
    <w:rsid w:val="00064735"/>
    <w:rsid w:val="00067636"/>
    <w:rsid w:val="00071469"/>
    <w:rsid w:val="00071E46"/>
    <w:rsid w:val="0009159F"/>
    <w:rsid w:val="00097F1A"/>
    <w:rsid w:val="000A1930"/>
    <w:rsid w:val="000A219C"/>
    <w:rsid w:val="000B66D2"/>
    <w:rsid w:val="000B69EB"/>
    <w:rsid w:val="000C27CB"/>
    <w:rsid w:val="000D70B0"/>
    <w:rsid w:val="000E1719"/>
    <w:rsid w:val="000E59D3"/>
    <w:rsid w:val="000F05F0"/>
    <w:rsid w:val="000F1E54"/>
    <w:rsid w:val="000F374D"/>
    <w:rsid w:val="000F6F3B"/>
    <w:rsid w:val="00103C4E"/>
    <w:rsid w:val="0010496A"/>
    <w:rsid w:val="0011554B"/>
    <w:rsid w:val="00116D34"/>
    <w:rsid w:val="00120654"/>
    <w:rsid w:val="00121490"/>
    <w:rsid w:val="00126A3C"/>
    <w:rsid w:val="00137524"/>
    <w:rsid w:val="00140105"/>
    <w:rsid w:val="00156E56"/>
    <w:rsid w:val="00165E82"/>
    <w:rsid w:val="0017062B"/>
    <w:rsid w:val="00172376"/>
    <w:rsid w:val="001769A2"/>
    <w:rsid w:val="0018584B"/>
    <w:rsid w:val="00185BEA"/>
    <w:rsid w:val="00186B04"/>
    <w:rsid w:val="001961DB"/>
    <w:rsid w:val="001A5E0F"/>
    <w:rsid w:val="001A7B3E"/>
    <w:rsid w:val="001B4D7F"/>
    <w:rsid w:val="001B7923"/>
    <w:rsid w:val="001D17D0"/>
    <w:rsid w:val="001E4B77"/>
    <w:rsid w:val="0020244A"/>
    <w:rsid w:val="00211787"/>
    <w:rsid w:val="00222888"/>
    <w:rsid w:val="00227D88"/>
    <w:rsid w:val="002401C0"/>
    <w:rsid w:val="002455A4"/>
    <w:rsid w:val="00254205"/>
    <w:rsid w:val="0025454F"/>
    <w:rsid w:val="0026116F"/>
    <w:rsid w:val="00261240"/>
    <w:rsid w:val="002613B5"/>
    <w:rsid w:val="002656C5"/>
    <w:rsid w:val="00270FCF"/>
    <w:rsid w:val="00273850"/>
    <w:rsid w:val="00285423"/>
    <w:rsid w:val="002A0C1A"/>
    <w:rsid w:val="002A25B9"/>
    <w:rsid w:val="002B668E"/>
    <w:rsid w:val="002C4B30"/>
    <w:rsid w:val="002C542E"/>
    <w:rsid w:val="002D35EB"/>
    <w:rsid w:val="002E00EA"/>
    <w:rsid w:val="0030243D"/>
    <w:rsid w:val="003070BD"/>
    <w:rsid w:val="00311645"/>
    <w:rsid w:val="00314DDF"/>
    <w:rsid w:val="0033786D"/>
    <w:rsid w:val="003469B1"/>
    <w:rsid w:val="003502CD"/>
    <w:rsid w:val="00350606"/>
    <w:rsid w:val="003608F8"/>
    <w:rsid w:val="00372ACD"/>
    <w:rsid w:val="00375B1B"/>
    <w:rsid w:val="00381884"/>
    <w:rsid w:val="003840DD"/>
    <w:rsid w:val="00385242"/>
    <w:rsid w:val="0039039D"/>
    <w:rsid w:val="00394FE8"/>
    <w:rsid w:val="003953C5"/>
    <w:rsid w:val="003A274B"/>
    <w:rsid w:val="003B6418"/>
    <w:rsid w:val="003D6D9E"/>
    <w:rsid w:val="003E11BA"/>
    <w:rsid w:val="00406A67"/>
    <w:rsid w:val="004151A1"/>
    <w:rsid w:val="00451783"/>
    <w:rsid w:val="00453994"/>
    <w:rsid w:val="00460400"/>
    <w:rsid w:val="00480A2E"/>
    <w:rsid w:val="00496826"/>
    <w:rsid w:val="004A7AA3"/>
    <w:rsid w:val="004B1DD9"/>
    <w:rsid w:val="004B32CC"/>
    <w:rsid w:val="004B50BB"/>
    <w:rsid w:val="004C74F2"/>
    <w:rsid w:val="004C7F29"/>
    <w:rsid w:val="004D1027"/>
    <w:rsid w:val="004D4AE1"/>
    <w:rsid w:val="004D61DF"/>
    <w:rsid w:val="004F1DFF"/>
    <w:rsid w:val="004F5CC7"/>
    <w:rsid w:val="00500196"/>
    <w:rsid w:val="0051452B"/>
    <w:rsid w:val="00517444"/>
    <w:rsid w:val="0052148F"/>
    <w:rsid w:val="00521A70"/>
    <w:rsid w:val="00530592"/>
    <w:rsid w:val="005466FF"/>
    <w:rsid w:val="00557E40"/>
    <w:rsid w:val="00560D66"/>
    <w:rsid w:val="005839AB"/>
    <w:rsid w:val="00585C16"/>
    <w:rsid w:val="00591DE9"/>
    <w:rsid w:val="00593346"/>
    <w:rsid w:val="00597459"/>
    <w:rsid w:val="005A6309"/>
    <w:rsid w:val="005A794D"/>
    <w:rsid w:val="005C0743"/>
    <w:rsid w:val="005C24F9"/>
    <w:rsid w:val="005C7BB5"/>
    <w:rsid w:val="005D5E43"/>
    <w:rsid w:val="005E00E3"/>
    <w:rsid w:val="005E5E6C"/>
    <w:rsid w:val="005F03B4"/>
    <w:rsid w:val="005F0C11"/>
    <w:rsid w:val="00613F04"/>
    <w:rsid w:val="00617130"/>
    <w:rsid w:val="00622D1A"/>
    <w:rsid w:val="00627F24"/>
    <w:rsid w:val="00635CA0"/>
    <w:rsid w:val="00636813"/>
    <w:rsid w:val="006416A9"/>
    <w:rsid w:val="00641B94"/>
    <w:rsid w:val="00654E16"/>
    <w:rsid w:val="00657453"/>
    <w:rsid w:val="00663527"/>
    <w:rsid w:val="0067481A"/>
    <w:rsid w:val="006928BB"/>
    <w:rsid w:val="006A0158"/>
    <w:rsid w:val="006A2CF9"/>
    <w:rsid w:val="006B29EF"/>
    <w:rsid w:val="006B6C4B"/>
    <w:rsid w:val="006C30BE"/>
    <w:rsid w:val="006D3C30"/>
    <w:rsid w:val="006E3ED6"/>
    <w:rsid w:val="006E490A"/>
    <w:rsid w:val="006E67C9"/>
    <w:rsid w:val="0071195A"/>
    <w:rsid w:val="00721922"/>
    <w:rsid w:val="00721F49"/>
    <w:rsid w:val="007259D0"/>
    <w:rsid w:val="0073079E"/>
    <w:rsid w:val="007549B5"/>
    <w:rsid w:val="00756C25"/>
    <w:rsid w:val="0075749A"/>
    <w:rsid w:val="00761111"/>
    <w:rsid w:val="00772211"/>
    <w:rsid w:val="0077251F"/>
    <w:rsid w:val="00775275"/>
    <w:rsid w:val="007869BB"/>
    <w:rsid w:val="00787C3B"/>
    <w:rsid w:val="0079264D"/>
    <w:rsid w:val="007A3993"/>
    <w:rsid w:val="007A5ED1"/>
    <w:rsid w:val="007C460D"/>
    <w:rsid w:val="007C5D61"/>
    <w:rsid w:val="007C7BAB"/>
    <w:rsid w:val="007D39D1"/>
    <w:rsid w:val="007E1D25"/>
    <w:rsid w:val="007E6193"/>
    <w:rsid w:val="007F0DAC"/>
    <w:rsid w:val="007F3419"/>
    <w:rsid w:val="007F3BC9"/>
    <w:rsid w:val="00805322"/>
    <w:rsid w:val="00805C76"/>
    <w:rsid w:val="00824B91"/>
    <w:rsid w:val="00830BB0"/>
    <w:rsid w:val="00830E88"/>
    <w:rsid w:val="0084751C"/>
    <w:rsid w:val="0085457D"/>
    <w:rsid w:val="00856E70"/>
    <w:rsid w:val="00861F60"/>
    <w:rsid w:val="00877099"/>
    <w:rsid w:val="008829D8"/>
    <w:rsid w:val="008A456F"/>
    <w:rsid w:val="008D2727"/>
    <w:rsid w:val="008D7F62"/>
    <w:rsid w:val="008E0F9B"/>
    <w:rsid w:val="008E20F8"/>
    <w:rsid w:val="008F66AD"/>
    <w:rsid w:val="009006F1"/>
    <w:rsid w:val="00902DE6"/>
    <w:rsid w:val="00902F66"/>
    <w:rsid w:val="00913CC9"/>
    <w:rsid w:val="00934309"/>
    <w:rsid w:val="00935719"/>
    <w:rsid w:val="009406AF"/>
    <w:rsid w:val="00940BE1"/>
    <w:rsid w:val="00940CC4"/>
    <w:rsid w:val="00946C0D"/>
    <w:rsid w:val="009557D3"/>
    <w:rsid w:val="00960130"/>
    <w:rsid w:val="009612DA"/>
    <w:rsid w:val="0096132D"/>
    <w:rsid w:val="00984338"/>
    <w:rsid w:val="00990650"/>
    <w:rsid w:val="00993093"/>
    <w:rsid w:val="00997E68"/>
    <w:rsid w:val="009A169E"/>
    <w:rsid w:val="009A7AB7"/>
    <w:rsid w:val="009A7D93"/>
    <w:rsid w:val="009B1AA8"/>
    <w:rsid w:val="009B2912"/>
    <w:rsid w:val="009B4F25"/>
    <w:rsid w:val="009B797F"/>
    <w:rsid w:val="009C1761"/>
    <w:rsid w:val="009D0E98"/>
    <w:rsid w:val="009D3B56"/>
    <w:rsid w:val="009D3CAA"/>
    <w:rsid w:val="009E0354"/>
    <w:rsid w:val="009E190B"/>
    <w:rsid w:val="009F42D9"/>
    <w:rsid w:val="00A01EAA"/>
    <w:rsid w:val="00A02FAE"/>
    <w:rsid w:val="00A072AE"/>
    <w:rsid w:val="00A140FD"/>
    <w:rsid w:val="00A16CB1"/>
    <w:rsid w:val="00A17877"/>
    <w:rsid w:val="00A22C38"/>
    <w:rsid w:val="00A35BA5"/>
    <w:rsid w:val="00A36E2D"/>
    <w:rsid w:val="00A41E1F"/>
    <w:rsid w:val="00A4657E"/>
    <w:rsid w:val="00A52AD8"/>
    <w:rsid w:val="00A54C55"/>
    <w:rsid w:val="00A83DBC"/>
    <w:rsid w:val="00A922E4"/>
    <w:rsid w:val="00A95225"/>
    <w:rsid w:val="00A96484"/>
    <w:rsid w:val="00AA12CE"/>
    <w:rsid w:val="00AA4202"/>
    <w:rsid w:val="00AA6CCE"/>
    <w:rsid w:val="00AC312F"/>
    <w:rsid w:val="00AD5681"/>
    <w:rsid w:val="00AD657A"/>
    <w:rsid w:val="00AD6971"/>
    <w:rsid w:val="00AE51D3"/>
    <w:rsid w:val="00AF1AA4"/>
    <w:rsid w:val="00AF38EF"/>
    <w:rsid w:val="00AF59BD"/>
    <w:rsid w:val="00B03796"/>
    <w:rsid w:val="00B173E8"/>
    <w:rsid w:val="00B2080B"/>
    <w:rsid w:val="00B2641C"/>
    <w:rsid w:val="00B26C6D"/>
    <w:rsid w:val="00B40604"/>
    <w:rsid w:val="00B406EB"/>
    <w:rsid w:val="00B456B3"/>
    <w:rsid w:val="00B477E1"/>
    <w:rsid w:val="00B633D9"/>
    <w:rsid w:val="00B63FB9"/>
    <w:rsid w:val="00B7040C"/>
    <w:rsid w:val="00B76F75"/>
    <w:rsid w:val="00B81568"/>
    <w:rsid w:val="00B817F2"/>
    <w:rsid w:val="00B81DDD"/>
    <w:rsid w:val="00B821E9"/>
    <w:rsid w:val="00B83CA2"/>
    <w:rsid w:val="00B923FD"/>
    <w:rsid w:val="00B947FF"/>
    <w:rsid w:val="00BB04B5"/>
    <w:rsid w:val="00BB54F9"/>
    <w:rsid w:val="00BB57BB"/>
    <w:rsid w:val="00BC0B8F"/>
    <w:rsid w:val="00BC1D18"/>
    <w:rsid w:val="00BC776C"/>
    <w:rsid w:val="00BD1BC4"/>
    <w:rsid w:val="00BD2031"/>
    <w:rsid w:val="00BE020F"/>
    <w:rsid w:val="00BE19C8"/>
    <w:rsid w:val="00BF2B4C"/>
    <w:rsid w:val="00BF79A2"/>
    <w:rsid w:val="00C007CF"/>
    <w:rsid w:val="00C076E0"/>
    <w:rsid w:val="00C10B61"/>
    <w:rsid w:val="00C1536C"/>
    <w:rsid w:val="00C21EF4"/>
    <w:rsid w:val="00C32547"/>
    <w:rsid w:val="00C36A76"/>
    <w:rsid w:val="00C6200F"/>
    <w:rsid w:val="00C732DE"/>
    <w:rsid w:val="00C73531"/>
    <w:rsid w:val="00C749A0"/>
    <w:rsid w:val="00C77AB6"/>
    <w:rsid w:val="00C77C88"/>
    <w:rsid w:val="00C81960"/>
    <w:rsid w:val="00C94C10"/>
    <w:rsid w:val="00C95F67"/>
    <w:rsid w:val="00CA211F"/>
    <w:rsid w:val="00CB1565"/>
    <w:rsid w:val="00CC0828"/>
    <w:rsid w:val="00CC0D0E"/>
    <w:rsid w:val="00CD06D2"/>
    <w:rsid w:val="00CD10CC"/>
    <w:rsid w:val="00CD7A96"/>
    <w:rsid w:val="00CE57CF"/>
    <w:rsid w:val="00CF2093"/>
    <w:rsid w:val="00CF6699"/>
    <w:rsid w:val="00D02E61"/>
    <w:rsid w:val="00D12D43"/>
    <w:rsid w:val="00D166EB"/>
    <w:rsid w:val="00D20271"/>
    <w:rsid w:val="00D205AB"/>
    <w:rsid w:val="00D21DD8"/>
    <w:rsid w:val="00D2599A"/>
    <w:rsid w:val="00D30CE7"/>
    <w:rsid w:val="00D52C0F"/>
    <w:rsid w:val="00D53AF3"/>
    <w:rsid w:val="00D64145"/>
    <w:rsid w:val="00D7001C"/>
    <w:rsid w:val="00D70C87"/>
    <w:rsid w:val="00D7100D"/>
    <w:rsid w:val="00D724B0"/>
    <w:rsid w:val="00D80DAA"/>
    <w:rsid w:val="00D821EA"/>
    <w:rsid w:val="00D94DEC"/>
    <w:rsid w:val="00D9500E"/>
    <w:rsid w:val="00D97F8B"/>
    <w:rsid w:val="00DA35C1"/>
    <w:rsid w:val="00DA4ADD"/>
    <w:rsid w:val="00DB3691"/>
    <w:rsid w:val="00DB39BB"/>
    <w:rsid w:val="00DC318F"/>
    <w:rsid w:val="00DC672A"/>
    <w:rsid w:val="00DD10C2"/>
    <w:rsid w:val="00DD1955"/>
    <w:rsid w:val="00DD1C5F"/>
    <w:rsid w:val="00DE61F0"/>
    <w:rsid w:val="00DE73B1"/>
    <w:rsid w:val="00DF0B9A"/>
    <w:rsid w:val="00DF6A28"/>
    <w:rsid w:val="00E02AD8"/>
    <w:rsid w:val="00E04831"/>
    <w:rsid w:val="00E415D1"/>
    <w:rsid w:val="00E523C2"/>
    <w:rsid w:val="00E5638D"/>
    <w:rsid w:val="00E66383"/>
    <w:rsid w:val="00E71C93"/>
    <w:rsid w:val="00E72568"/>
    <w:rsid w:val="00E73C8D"/>
    <w:rsid w:val="00E74AFF"/>
    <w:rsid w:val="00E957BB"/>
    <w:rsid w:val="00EA3F4B"/>
    <w:rsid w:val="00EA5CA8"/>
    <w:rsid w:val="00ED6444"/>
    <w:rsid w:val="00ED7968"/>
    <w:rsid w:val="00EE4765"/>
    <w:rsid w:val="00F00FDC"/>
    <w:rsid w:val="00F0444B"/>
    <w:rsid w:val="00F120D6"/>
    <w:rsid w:val="00F13C62"/>
    <w:rsid w:val="00F148EE"/>
    <w:rsid w:val="00F341DC"/>
    <w:rsid w:val="00F35E7C"/>
    <w:rsid w:val="00F507BE"/>
    <w:rsid w:val="00F51D3D"/>
    <w:rsid w:val="00F531BA"/>
    <w:rsid w:val="00F53336"/>
    <w:rsid w:val="00F5661C"/>
    <w:rsid w:val="00F6189C"/>
    <w:rsid w:val="00F66D14"/>
    <w:rsid w:val="00F7028A"/>
    <w:rsid w:val="00F705F1"/>
    <w:rsid w:val="00F71C0F"/>
    <w:rsid w:val="00F72262"/>
    <w:rsid w:val="00F74C3A"/>
    <w:rsid w:val="00F80BE9"/>
    <w:rsid w:val="00F81CC3"/>
    <w:rsid w:val="00F83135"/>
    <w:rsid w:val="00F85919"/>
    <w:rsid w:val="00F86C11"/>
    <w:rsid w:val="00F9388A"/>
    <w:rsid w:val="00F93A39"/>
    <w:rsid w:val="00F968D6"/>
    <w:rsid w:val="00FA2C59"/>
    <w:rsid w:val="00FA7206"/>
    <w:rsid w:val="00FB724C"/>
    <w:rsid w:val="00FD3975"/>
    <w:rsid w:val="00FD4F50"/>
    <w:rsid w:val="00FD795F"/>
    <w:rsid w:val="00FD7AC1"/>
    <w:rsid w:val="00FF42C4"/>
    <w:rsid w:val="00FF6D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B8DCBF"/>
  <w15:docId w15:val="{033F7B95-9C1F-412B-B245-50053CDF8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rsid w:val="00BF79A2"/>
    <w:pPr>
      <w:numPr>
        <w:numId w:val="30"/>
      </w:numPr>
      <w:spacing w:after="240" w:line="276" w:lineRule="auto"/>
      <w:ind w:left="357" w:hanging="357"/>
      <w:jc w:val="both"/>
    </w:pPr>
    <w:rPr>
      <w:b/>
      <w:color w:val="FF0000"/>
      <w:sz w:val="22"/>
      <w:szCs w:val="22"/>
      <w:lang w:val="id-ID"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uiPriority w:val="20"/>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ind w:left="0" w:firstLine="0"/>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sid w:val="00BF79A2"/>
    <w:rPr>
      <w:b/>
      <w:color w:val="FF0000"/>
      <w:sz w:val="22"/>
      <w:szCs w:val="22"/>
      <w:lang w:val="id-ID"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 w:type="paragraph" w:styleId="ListParagraph">
    <w:name w:val="List Paragraph"/>
    <w:basedOn w:val="Normal"/>
    <w:link w:val="ListParagraphChar"/>
    <w:uiPriority w:val="34"/>
    <w:qFormat/>
    <w:rsid w:val="000A219C"/>
    <w:pPr>
      <w:ind w:left="720"/>
      <w:contextualSpacing/>
    </w:pPr>
    <w:rPr>
      <w:rFonts w:asciiTheme="minorHAnsi" w:eastAsiaTheme="minorHAnsi" w:hAnsiTheme="minorHAnsi" w:cstheme="minorBidi"/>
      <w:sz w:val="24"/>
      <w:szCs w:val="24"/>
      <w:lang w:val="en-US"/>
    </w:rPr>
  </w:style>
  <w:style w:type="character" w:customStyle="1" w:styleId="ListParagraphChar">
    <w:name w:val="List Paragraph Char"/>
    <w:link w:val="ListParagraph"/>
    <w:uiPriority w:val="34"/>
    <w:rsid w:val="000A219C"/>
    <w:rPr>
      <w:rFonts w:asciiTheme="minorHAnsi" w:eastAsiaTheme="minorHAnsi" w:hAnsiTheme="minorHAnsi" w:cstheme="minorBidi"/>
      <w:sz w:val="24"/>
      <w:szCs w:val="24"/>
      <w:lang w:val="en-US" w:eastAsia="en-US"/>
    </w:rPr>
  </w:style>
  <w:style w:type="character" w:customStyle="1" w:styleId="blueclass1">
    <w:name w:val="blueclass1"/>
    <w:basedOn w:val="DefaultParagraphFont"/>
    <w:rsid w:val="00F53336"/>
    <w:rPr>
      <w:color w:val="000000"/>
    </w:rPr>
  </w:style>
  <w:style w:type="character" w:customStyle="1" w:styleId="FooterChar">
    <w:name w:val="Footer Char"/>
    <w:basedOn w:val="DefaultParagraphFont"/>
    <w:link w:val="Footer"/>
    <w:uiPriority w:val="99"/>
    <w:rsid w:val="00A54C55"/>
    <w:rPr>
      <w:rFonts w:ascii="Sabon" w:hAnsi="Sabon"/>
      <w:sz w:val="22"/>
      <w:lang w:eastAsia="en-US"/>
    </w:rPr>
  </w:style>
  <w:style w:type="character" w:customStyle="1" w:styleId="title-text">
    <w:name w:val="title-text"/>
    <w:basedOn w:val="DefaultParagraphFont"/>
    <w:rsid w:val="00C10B61"/>
  </w:style>
  <w:style w:type="character" w:styleId="UnresolvedMention">
    <w:name w:val="Unresolved Mention"/>
    <w:basedOn w:val="DefaultParagraphFont"/>
    <w:uiPriority w:val="99"/>
    <w:semiHidden/>
    <w:unhideWhenUsed/>
    <w:rsid w:val="00BB04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550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stiawulandari_che@itat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D:\MATERI_PROJECT_BUKU_BIMBINGAN-PUBLIKASI_ITATS\Materi_Publikasi_JURNAL\ICTVT_UNY_2020\Data_Icatech%202020.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673798084749151"/>
          <c:y val="5.0925925925925923E-2"/>
          <c:w val="0.77826213542562928"/>
          <c:h val="0.81667748400459528"/>
        </c:manualLayout>
      </c:layout>
      <c:barChart>
        <c:barDir val="col"/>
        <c:grouping val="clustered"/>
        <c:varyColors val="0"/>
        <c:ser>
          <c:idx val="0"/>
          <c:order val="0"/>
          <c:tx>
            <c:strRef>
              <c:f>Sheet1!$B$6</c:f>
              <c:strCache>
                <c:ptCount val="1"/>
                <c:pt idx="0">
                  <c:v>60oC</c:v>
                </c:pt>
              </c:strCache>
            </c:strRef>
          </c:tx>
          <c:spPr>
            <a:pattFill prst="pct20">
              <a:fgClr>
                <a:schemeClr val="tx1"/>
              </a:fgClr>
              <a:bgClr>
                <a:schemeClr val="bg1"/>
              </a:bgClr>
            </a:pattFill>
            <a:ln>
              <a:solidFill>
                <a:schemeClr val="tx1"/>
              </a:solidFill>
            </a:ln>
            <a:effectLst/>
          </c:spPr>
          <c:invertIfNegative val="0"/>
          <c:cat>
            <c:strRef>
              <c:f>Sheet1!$D$6:$D$8</c:f>
              <c:strCache>
                <c:ptCount val="3"/>
                <c:pt idx="0">
                  <c:v>12:1</c:v>
                </c:pt>
                <c:pt idx="1">
                  <c:v>15:1</c:v>
                </c:pt>
                <c:pt idx="2">
                  <c:v>18:1</c:v>
                </c:pt>
              </c:strCache>
            </c:strRef>
          </c:cat>
          <c:val>
            <c:numRef>
              <c:f>Sheet1!$E$6:$E$8</c:f>
              <c:numCache>
                <c:formatCode>0.0000</c:formatCode>
                <c:ptCount val="3"/>
                <c:pt idx="0">
                  <c:v>1.6999999999999999E-3</c:v>
                </c:pt>
                <c:pt idx="1">
                  <c:v>7.0000000000000007E-2</c:v>
                </c:pt>
                <c:pt idx="2">
                  <c:v>6.7500000000000004E-2</c:v>
                </c:pt>
              </c:numCache>
            </c:numRef>
          </c:val>
          <c:extLst>
            <c:ext xmlns:c16="http://schemas.microsoft.com/office/drawing/2014/chart" uri="{C3380CC4-5D6E-409C-BE32-E72D297353CC}">
              <c16:uniqueId val="{00000000-F918-4903-BA9B-B1F1CF84D9B6}"/>
            </c:ext>
          </c:extLst>
        </c:ser>
        <c:ser>
          <c:idx val="1"/>
          <c:order val="1"/>
          <c:tx>
            <c:strRef>
              <c:f>Sheet1!$B$9</c:f>
              <c:strCache>
                <c:ptCount val="1"/>
                <c:pt idx="0">
                  <c:v>65oC</c:v>
                </c:pt>
              </c:strCache>
            </c:strRef>
          </c:tx>
          <c:spPr>
            <a:pattFill prst="wdUpDiag">
              <a:fgClr>
                <a:schemeClr val="tx1"/>
              </a:fgClr>
              <a:bgClr>
                <a:schemeClr val="bg1"/>
              </a:bgClr>
            </a:pattFill>
            <a:ln>
              <a:solidFill>
                <a:schemeClr val="tx1">
                  <a:alpha val="85000"/>
                </a:schemeClr>
              </a:solidFill>
            </a:ln>
            <a:effectLst/>
          </c:spPr>
          <c:invertIfNegative val="0"/>
          <c:dLbls>
            <c:dLbl>
              <c:idx val="0"/>
              <c:tx>
                <c:rich>
                  <a:bodyPr/>
                  <a:lstStyle/>
                  <a:p>
                    <a:r>
                      <a:rPr lang="en-US" sz="800" b="0" i="0" u="none" strike="noStrike" kern="1200" baseline="0">
                        <a:solidFill>
                          <a:sysClr val="windowText" lastClr="000000"/>
                        </a:solidFill>
                      </a:rPr>
                      <a:t>65</a:t>
                    </a:r>
                    <a:r>
                      <a:rPr lang="en-US" sz="800" b="0" i="0" u="none" strike="noStrike" kern="1200" baseline="30000">
                        <a:solidFill>
                          <a:sysClr val="windowText" lastClr="000000"/>
                        </a:solidFill>
                      </a:rPr>
                      <a:t>0</a:t>
                    </a:r>
                    <a:r>
                      <a:rPr lang="en-US" sz="800" b="0" i="0" u="none" strike="noStrike" kern="1200" baseline="0">
                        <a:solidFill>
                          <a:sysClr val="windowText" lastClr="000000"/>
                        </a:solidFill>
                      </a:rPr>
                      <a:t>C</a:t>
                    </a:r>
                    <a:r>
                      <a:rPr lang="en-US" baseline="0"/>
                      <a:t>; </a:t>
                    </a:r>
                    <a:fld id="{A8567294-7A56-48C9-8F0B-5BD7B77B8B8E}" type="VALUE">
                      <a:rPr lang="en-US" baseline="0"/>
                      <a:pPr/>
                      <a:t>[VALUE]</a:t>
                    </a:fld>
                    <a:endParaRPr lang="en-US" baseline="0"/>
                  </a:p>
                </c:rich>
              </c:tx>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F918-4903-BA9B-B1F1CF84D9B6}"/>
                </c:ext>
              </c:extLst>
            </c:dLbl>
            <c:dLbl>
              <c:idx val="1"/>
              <c:tx>
                <c:rich>
                  <a:bodyPr/>
                  <a:lstStyle/>
                  <a:p>
                    <a:r>
                      <a:rPr lang="en-US"/>
                      <a:t>65</a:t>
                    </a:r>
                    <a:r>
                      <a:rPr lang="en-US" baseline="30000"/>
                      <a:t>0</a:t>
                    </a:r>
                    <a:r>
                      <a:rPr lang="en-US"/>
                      <a:t>C; 59.80</a:t>
                    </a:r>
                  </a:p>
                </c:rich>
              </c:tx>
              <c:showLegendKey val="0"/>
              <c:showVal val="1"/>
              <c:showCatName val="0"/>
              <c:showSerName val="1"/>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F918-4903-BA9B-B1F1CF84D9B6}"/>
                </c:ext>
              </c:extLst>
            </c:dLbl>
            <c:dLbl>
              <c:idx val="2"/>
              <c:tx>
                <c:rich>
                  <a:bodyPr/>
                  <a:lstStyle/>
                  <a:p>
                    <a:r>
                      <a:rPr lang="en-US" sz="800" b="0" i="0" u="none" strike="noStrike" kern="1200" baseline="0">
                        <a:solidFill>
                          <a:sysClr val="windowText" lastClr="000000"/>
                        </a:solidFill>
                      </a:rPr>
                      <a:t>65</a:t>
                    </a:r>
                    <a:r>
                      <a:rPr lang="en-US" sz="800" b="0" i="0" u="none" strike="noStrike" kern="1200" baseline="30000">
                        <a:solidFill>
                          <a:sysClr val="windowText" lastClr="000000"/>
                        </a:solidFill>
                      </a:rPr>
                      <a:t>0</a:t>
                    </a:r>
                    <a:r>
                      <a:rPr lang="en-US" sz="800" b="0" i="0" u="none" strike="noStrike" kern="1200" baseline="0">
                        <a:solidFill>
                          <a:sysClr val="windowText" lastClr="000000"/>
                        </a:solidFill>
                      </a:rPr>
                      <a:t>C; </a:t>
                    </a:r>
                    <a:r>
                      <a:rPr lang="en-US"/>
                      <a:t>22.9104</a:t>
                    </a:r>
                  </a:p>
                </c:rich>
              </c:tx>
              <c:showLegendKey val="0"/>
              <c:showVal val="1"/>
              <c:showCatName val="0"/>
              <c:showSerName val="1"/>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F918-4903-BA9B-B1F1CF84D9B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Sheet1!$D$6:$D$8</c:f>
              <c:strCache>
                <c:ptCount val="3"/>
                <c:pt idx="0">
                  <c:v>12:1</c:v>
                </c:pt>
                <c:pt idx="1">
                  <c:v>15:1</c:v>
                </c:pt>
                <c:pt idx="2">
                  <c:v>18:1</c:v>
                </c:pt>
              </c:strCache>
            </c:strRef>
          </c:cat>
          <c:val>
            <c:numRef>
              <c:f>Sheet1!$E$9:$E$11</c:f>
              <c:numCache>
                <c:formatCode>0.0000</c:formatCode>
                <c:ptCount val="3"/>
                <c:pt idx="0">
                  <c:v>0.36549999999999999</c:v>
                </c:pt>
                <c:pt idx="1">
                  <c:v>59.8</c:v>
                </c:pt>
                <c:pt idx="2">
                  <c:v>22.910399999999999</c:v>
                </c:pt>
              </c:numCache>
            </c:numRef>
          </c:val>
          <c:extLst>
            <c:ext xmlns:c16="http://schemas.microsoft.com/office/drawing/2014/chart" uri="{C3380CC4-5D6E-409C-BE32-E72D297353CC}">
              <c16:uniqueId val="{00000004-F918-4903-BA9B-B1F1CF84D9B6}"/>
            </c:ext>
          </c:extLst>
        </c:ser>
        <c:ser>
          <c:idx val="2"/>
          <c:order val="2"/>
          <c:tx>
            <c:strRef>
              <c:f>Sheet1!$B$12</c:f>
              <c:strCache>
                <c:ptCount val="1"/>
                <c:pt idx="0">
                  <c:v>70oC</c:v>
                </c:pt>
              </c:strCache>
            </c:strRef>
          </c:tx>
          <c:spPr>
            <a:pattFill prst="dashUpDiag">
              <a:fgClr>
                <a:schemeClr val="tx1"/>
              </a:fgClr>
              <a:bgClr>
                <a:schemeClr val="bg1"/>
              </a:bgClr>
            </a:pattFill>
            <a:ln>
              <a:solidFill>
                <a:schemeClr val="tx1"/>
              </a:solid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5-F918-4903-BA9B-B1F1CF84D9B6}"/>
                </c:ext>
              </c:extLst>
            </c:dLbl>
            <c:dLbl>
              <c:idx val="1"/>
              <c:layout>
                <c:manualLayout>
                  <c:x val="5.1978828990144693E-2"/>
                  <c:y val="-2.9818956336528299E-2"/>
                </c:manualLayout>
              </c:layout>
              <c:tx>
                <c:rich>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800" b="0" i="0" u="none" strike="noStrike" kern="1200" baseline="0">
                        <a:solidFill>
                          <a:sysClr val="windowText" lastClr="000000"/>
                        </a:solidFill>
                        <a:latin typeface="Times New Roman" panose="02020603050405020304" pitchFamily="18" charset="0"/>
                        <a:cs typeface="Times New Roman" panose="02020603050405020304" pitchFamily="18" charset="0"/>
                      </a:rPr>
                      <a:t>70</a:t>
                    </a:r>
                    <a:r>
                      <a:rPr lang="en-US" sz="800" b="0" i="0" u="none" strike="noStrike" kern="1200" baseline="30000">
                        <a:solidFill>
                          <a:sysClr val="windowText" lastClr="000000"/>
                        </a:solidFill>
                        <a:latin typeface="Times New Roman" panose="02020603050405020304" pitchFamily="18" charset="0"/>
                        <a:cs typeface="Times New Roman" panose="02020603050405020304" pitchFamily="18" charset="0"/>
                      </a:rPr>
                      <a:t>0</a:t>
                    </a:r>
                    <a:r>
                      <a:rPr lang="en-US" sz="800" b="0" i="0" u="none" strike="noStrike" kern="1200" baseline="0">
                        <a:solidFill>
                          <a:sysClr val="windowText" lastClr="000000"/>
                        </a:solidFill>
                        <a:latin typeface="Times New Roman" panose="02020603050405020304" pitchFamily="18" charset="0"/>
                        <a:cs typeface="Times New Roman" panose="02020603050405020304" pitchFamily="18" charset="0"/>
                      </a:rPr>
                      <a:t>C; </a:t>
                    </a:r>
                    <a:r>
                      <a:rPr lang="en-US">
                        <a:latin typeface="Times New Roman" panose="02020603050405020304" pitchFamily="18" charset="0"/>
                        <a:cs typeface="Times New Roman" panose="02020603050405020304" pitchFamily="18" charset="0"/>
                      </a:rPr>
                      <a:t>9.0772</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417365623154164"/>
                      <c:h val="5.8572949946751864E-2"/>
                    </c:manualLayout>
                  </c15:layout>
                  <c15:showDataLabelsRange val="0"/>
                </c:ext>
                <c:ext xmlns:c16="http://schemas.microsoft.com/office/drawing/2014/chart" uri="{C3380CC4-5D6E-409C-BE32-E72D297353CC}">
                  <c16:uniqueId val="{00000006-F918-4903-BA9B-B1F1CF84D9B6}"/>
                </c:ext>
              </c:extLst>
            </c:dLbl>
            <c:dLbl>
              <c:idx val="2"/>
              <c:delete val="1"/>
              <c:extLst>
                <c:ext xmlns:c15="http://schemas.microsoft.com/office/drawing/2012/chart" uri="{CE6537A1-D6FC-4f65-9D91-7224C49458BB}"/>
                <c:ext xmlns:c16="http://schemas.microsoft.com/office/drawing/2014/chart" uri="{C3380CC4-5D6E-409C-BE32-E72D297353CC}">
                  <c16:uniqueId val="{00000007-F918-4903-BA9B-B1F1CF84D9B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olidFill>
                      <a:round/>
                    </a:ln>
                    <a:effectLst/>
                  </c:spPr>
                </c15:leaderLines>
              </c:ext>
            </c:extLst>
          </c:dLbls>
          <c:cat>
            <c:strRef>
              <c:f>Sheet1!$D$6:$D$8</c:f>
              <c:strCache>
                <c:ptCount val="3"/>
                <c:pt idx="0">
                  <c:v>12:1</c:v>
                </c:pt>
                <c:pt idx="1">
                  <c:v>15:1</c:v>
                </c:pt>
                <c:pt idx="2">
                  <c:v>18:1</c:v>
                </c:pt>
              </c:strCache>
            </c:strRef>
          </c:cat>
          <c:val>
            <c:numRef>
              <c:f>Sheet1!$E$12:$E$14</c:f>
              <c:numCache>
                <c:formatCode>0.0000</c:formatCode>
                <c:ptCount val="3"/>
                <c:pt idx="0">
                  <c:v>0.1555</c:v>
                </c:pt>
                <c:pt idx="1">
                  <c:v>9.0771999999999995</c:v>
                </c:pt>
                <c:pt idx="2">
                  <c:v>0.17130000000000001</c:v>
                </c:pt>
              </c:numCache>
            </c:numRef>
          </c:val>
          <c:extLst>
            <c:ext xmlns:c16="http://schemas.microsoft.com/office/drawing/2014/chart" uri="{C3380CC4-5D6E-409C-BE32-E72D297353CC}">
              <c16:uniqueId val="{00000008-F918-4903-BA9B-B1F1CF84D9B6}"/>
            </c:ext>
          </c:extLst>
        </c:ser>
        <c:dLbls>
          <c:showLegendKey val="0"/>
          <c:showVal val="0"/>
          <c:showCatName val="0"/>
          <c:showSerName val="0"/>
          <c:showPercent val="0"/>
          <c:showBubbleSize val="0"/>
        </c:dLbls>
        <c:gapWidth val="219"/>
        <c:overlap val="-27"/>
        <c:axId val="531884288"/>
        <c:axId val="531878712"/>
      </c:barChart>
      <c:catAx>
        <c:axId val="531884288"/>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id-ID">
                    <a:solidFill>
                      <a:sysClr val="windowText" lastClr="000000"/>
                    </a:solidFill>
                    <a:latin typeface="Times New Roman" panose="02020603050405020304" pitchFamily="18" charset="0"/>
                    <a:cs typeface="Times New Roman" panose="02020603050405020304" pitchFamily="18" charset="0"/>
                  </a:rPr>
                  <a:t>Mole</a:t>
                </a:r>
                <a:r>
                  <a:rPr lang="id-ID" baseline="0">
                    <a:solidFill>
                      <a:sysClr val="windowText" lastClr="000000"/>
                    </a:solidFill>
                    <a:latin typeface="Times New Roman" panose="02020603050405020304" pitchFamily="18" charset="0"/>
                    <a:cs typeface="Times New Roman" panose="02020603050405020304" pitchFamily="18" charset="0"/>
                  </a:rPr>
                  <a:t> Ratio Methanol:Jatropha curcas oil</a:t>
                </a:r>
                <a:endParaRPr lang="en-ID">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cross"/>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31878712"/>
        <c:crosses val="autoZero"/>
        <c:auto val="1"/>
        <c:lblAlgn val="ctr"/>
        <c:lblOffset val="100"/>
        <c:noMultiLvlLbl val="0"/>
      </c:catAx>
      <c:valAx>
        <c:axId val="531878712"/>
        <c:scaling>
          <c:orientation val="minMax"/>
          <c:max val="70"/>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id-ID">
                    <a:solidFill>
                      <a:sysClr val="windowText" lastClr="000000"/>
                    </a:solidFill>
                    <a:latin typeface="Times New Roman" panose="02020603050405020304" pitchFamily="18" charset="0"/>
                    <a:cs typeface="Times New Roman" panose="02020603050405020304" pitchFamily="18" charset="0"/>
                  </a:rPr>
                  <a:t>Yield Biodiesel (%)</a:t>
                </a:r>
                <a:endParaRPr lang="en-ID">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1.891940412350996E-2"/>
              <c:y val="0.2885723629594224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000" sourceLinked="0"/>
        <c:majorTickMark val="cross"/>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31884288"/>
        <c:crosses val="autoZero"/>
        <c:crossBetween val="between"/>
        <c:majorUnit val="10"/>
        <c:minorUnit val="0.30000000000000004"/>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0.49514</cdr:x>
      <cdr:y>0.93634</cdr:y>
    </cdr:from>
    <cdr:to>
      <cdr:x>0.69514</cdr:x>
      <cdr:y>1</cdr:y>
    </cdr:to>
    <cdr:sp macro="" textlink="">
      <cdr:nvSpPr>
        <cdr:cNvPr id="2" name="TextBox 1">
          <a:extLst xmlns:a="http://schemas.openxmlformats.org/drawingml/2006/main">
            <a:ext uri="{FF2B5EF4-FFF2-40B4-BE49-F238E27FC236}">
              <a16:creationId xmlns:a16="http://schemas.microsoft.com/office/drawing/2014/main" id="{CB2BB15F-AADC-4CA9-AB88-5DE5D085126A}"/>
            </a:ext>
          </a:extLst>
        </cdr:cNvPr>
        <cdr:cNvSpPr txBox="1"/>
      </cdr:nvSpPr>
      <cdr:spPr>
        <a:xfrm xmlns:a="http://schemas.openxmlformats.org/drawingml/2006/main">
          <a:off x="2263775" y="2568574"/>
          <a:ext cx="914400" cy="1746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ID"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849A9-BA90-4A43-836E-5F6373CB8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1234</TotalTime>
  <Pages>6</Pages>
  <Words>2612</Words>
  <Characters>14892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17470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HP</cp:lastModifiedBy>
  <cp:revision>14</cp:revision>
  <cp:lastPrinted>2007-03-22T16:16:00Z</cp:lastPrinted>
  <dcterms:created xsi:type="dcterms:W3CDTF">2020-10-02T02:20:00Z</dcterms:created>
  <dcterms:modified xsi:type="dcterms:W3CDTF">2020-10-04T12:38:00Z</dcterms:modified>
</cp:coreProperties>
</file>